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95B70">
      <w:pPr>
        <w:keepNext w:val="0"/>
        <w:keepLines w:val="0"/>
        <w:widowControl w:val="0"/>
        <w:kinsoku/>
        <w:wordWrap/>
        <w:overflowPunct/>
        <w:topLinePunct w:val="0"/>
        <w:autoSpaceDE/>
        <w:autoSpaceDN/>
        <w:bidi w:val="0"/>
        <w:adjustRightInd/>
        <w:snapToGrid/>
        <w:spacing w:before="360" w:after="180" w:line="480" w:lineRule="auto"/>
        <w:jc w:val="center"/>
        <w:textAlignment w:val="auto"/>
        <w:rPr>
          <w:rFonts w:hint="default" w:ascii="Times New Roman Bold" w:hAnsi="Times New Roman Bold" w:eastAsia="Times New Roman" w:cs="Times New Roman Bold"/>
          <w:b/>
          <w:bCs/>
          <w:sz w:val="32"/>
          <w:szCs w:val="32"/>
        </w:rPr>
      </w:pPr>
      <w:r>
        <w:rPr>
          <w:rFonts w:hint="default" w:ascii="Times New Roman Bold" w:hAnsi="Times New Roman Bold" w:eastAsia="Times New Roman" w:cs="Times New Roman Bold"/>
          <w:b/>
          <w:bCs/>
          <w:sz w:val="32"/>
          <w:szCs w:val="32"/>
        </w:rPr>
        <w:t xml:space="preserve">Furosemide initiation during norepinephrine infusion and </w:t>
      </w:r>
      <w:r>
        <w:rPr>
          <w:rFonts w:hint="eastAsia" w:ascii="Times New Roman Bold" w:hAnsi="Times New Roman Bold" w:eastAsia="宋体" w:cs="Times New Roman Bold"/>
          <w:b/>
          <w:bCs/>
          <w:sz w:val="32"/>
          <w:szCs w:val="32"/>
          <w:lang w:val="en-US" w:eastAsia="zh-CN"/>
        </w:rPr>
        <w:t>proximal</w:t>
      </w:r>
      <w:r>
        <w:rPr>
          <w:rFonts w:hint="default" w:ascii="Times New Roman Bold" w:hAnsi="Times New Roman Bold" w:eastAsia="Times New Roman" w:cs="Times New Roman Bold"/>
          <w:b/>
          <w:bCs/>
          <w:sz w:val="32"/>
          <w:szCs w:val="32"/>
        </w:rPr>
        <w:t xml:space="preserve"> hemodynamic destabilization: a target trial emulation in MIMIC-IV with external validation in eICU-CRD</w:t>
      </w:r>
    </w:p>
    <w:p w14:paraId="53D0B7CA">
      <w:pPr>
        <w:keepNext w:val="0"/>
        <w:keepLines w:val="0"/>
        <w:widowControl w:val="0"/>
        <w:kinsoku/>
        <w:wordWrap/>
        <w:overflowPunct/>
        <w:topLinePunct w:val="0"/>
        <w:autoSpaceDE/>
        <w:autoSpaceDN/>
        <w:bidi w:val="0"/>
        <w:adjustRightInd/>
        <w:snapToGrid/>
        <w:spacing w:before="360" w:after="180" w:line="480" w:lineRule="auto"/>
        <w:textAlignment w:val="auto"/>
      </w:pPr>
      <w:r>
        <w:rPr>
          <w:rFonts w:ascii="Times New Roman" w:hAnsi="Times New Roman" w:eastAsia="Times New Roman" w:cs="Times New Roman"/>
          <w:b/>
          <w:bCs/>
          <w:sz w:val="28"/>
          <w:szCs w:val="28"/>
        </w:rPr>
        <w:t>Supplementary Materials</w:t>
      </w:r>
      <w:bookmarkStart w:id="0" w:name="_GoBack"/>
      <w:bookmarkEnd w:id="0"/>
    </w:p>
    <w:p w14:paraId="759B2DBA">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This document contains the Supplementary Methods (S1–S9), Supplementary Results, Supplementary Tables S1–S7, and Supplementary Figure legends S1–S3, supporting the main manuscript.</w:t>
      </w:r>
    </w:p>
    <w:p w14:paraId="2F2E0194">
      <w:pPr>
        <w:keepNext w:val="0"/>
        <w:keepLines w:val="0"/>
        <w:widowControl w:val="0"/>
        <w:kinsoku/>
        <w:wordWrap/>
        <w:overflowPunct/>
        <w:topLinePunct w:val="0"/>
        <w:autoSpaceDE/>
        <w:autoSpaceDN/>
        <w:bidi w:val="0"/>
        <w:adjustRightInd/>
        <w:snapToGrid/>
        <w:spacing w:before="360" w:after="180" w:line="480" w:lineRule="auto"/>
        <w:textAlignment w:val="auto"/>
      </w:pPr>
      <w:r>
        <w:rPr>
          <w:rFonts w:ascii="Times New Roman" w:hAnsi="Times New Roman" w:eastAsia="Times New Roman" w:cs="Times New Roman"/>
          <w:b/>
          <w:bCs/>
          <w:sz w:val="28"/>
          <w:szCs w:val="28"/>
        </w:rPr>
        <w:t>Supplementary Methods</w:t>
      </w:r>
    </w:p>
    <w:p w14:paraId="0919FBFE">
      <w:pPr>
        <w:keepNext w:val="0"/>
        <w:keepLines w:val="0"/>
        <w:widowControl w:val="0"/>
        <w:kinsoku/>
        <w:wordWrap/>
        <w:overflowPunct/>
        <w:topLinePunct w:val="0"/>
        <w:autoSpaceDE/>
        <w:autoSpaceDN/>
        <w:bidi w:val="0"/>
        <w:adjustRightInd/>
        <w:snapToGrid/>
        <w:spacing w:before="280" w:after="140" w:line="480" w:lineRule="auto"/>
        <w:textAlignment w:val="auto"/>
      </w:pPr>
      <w:r>
        <w:rPr>
          <w:rFonts w:ascii="Times New Roman" w:hAnsi="Times New Roman" w:eastAsia="Times New Roman" w:cs="Times New Roman"/>
          <w:b/>
          <w:bCs/>
          <w:sz w:val="26"/>
          <w:szCs w:val="26"/>
        </w:rPr>
        <w:t>S1. MIMIC-IV access and item identifier mapping</w:t>
      </w:r>
    </w:p>
    <w:p w14:paraId="28D8D16F">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All extractions were performed against MIMIC-IV version 3.1 hosted on Google BigQuery, accessed under PhysioNet credentialed data use agreement. Drug administrations and physiological measurements in MIMIC-IV are referenced by integer item identifiers (itemid) mapped to standardized clinical concepts. The following itemids were used in this analysis.</w:t>
      </w:r>
    </w:p>
    <w:p w14:paraId="7EA71FE5">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Norepinephrine infusion: 221906 (inputevents). Intravenous furosemide: 221794 (inputevents); bolus and continuous infusion were distinguished by the presence of a non-null rate field. Vasopressin: 222315; epinephrine: 221289; phenylephrine: 221749; dopamine: 221662; dobutamine: 221653. Mean arterial pressure: 220052 (arterial line, preferred when available) and 220181 (non-invasive cuff). Central venous pressure: 220074. Heart rate: 220045. Peripheral oxygen saturation: 220277. Renal replacement therapy procedures (procedureevents): 225802, 225803, 225805, 225809, 225955. Laboratory values were extracted from labevents using itemids 50912 (creatinine), 50813 (lactate), 50862 (albumin), 50902 (chloride), 50882 (bicarbonate), 50971 (potassium), 50820 (arterial pH), 51006 (blood urea nitrogen). SOFA scores and KDIGO acute kidney injury stages were taken from the corresponding entries of the mimiciv_3_1_derived schema.</w:t>
      </w:r>
    </w:p>
    <w:p w14:paraId="773A2CEC">
      <w:pPr>
        <w:keepNext w:val="0"/>
        <w:keepLines w:val="0"/>
        <w:widowControl w:val="0"/>
        <w:kinsoku/>
        <w:wordWrap/>
        <w:overflowPunct/>
        <w:topLinePunct w:val="0"/>
        <w:autoSpaceDE/>
        <w:autoSpaceDN/>
        <w:bidi w:val="0"/>
        <w:adjustRightInd/>
        <w:snapToGrid/>
        <w:spacing w:before="280" w:after="140" w:line="480" w:lineRule="auto"/>
        <w:textAlignment w:val="auto"/>
      </w:pPr>
      <w:r>
        <w:rPr>
          <w:rFonts w:ascii="Times New Roman" w:hAnsi="Times New Roman" w:eastAsia="Times New Roman" w:cs="Times New Roman"/>
          <w:b/>
          <w:bCs/>
          <w:sz w:val="26"/>
          <w:szCs w:val="26"/>
        </w:rPr>
        <w:t>S2. Norepinephrine dose harmonization</w:t>
      </w:r>
    </w:p>
    <w:p w14:paraId="4FD23900">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MIMIC-IV records norepinephrine infusion rates either in micrograms per minute (mcg/min) or in micrograms per kilogram per minute (mcg/kg/min), with the unit specified in the rateuom field. All rates were converted to mcg/kg/min by dividing values reported in mcg/min by patient weight obtained from the first_day_weight derived table. Records with rate values but with missing units or missing weight could not be normalized and were treated as missing for dose calculation. Distributional checks confirmed the harmonized doses were physiologically plausible, with cohort median approximately 0.07 mcg/kg/min and 99th percentile below 1.5 mcg/kg/min.</w:t>
      </w:r>
    </w:p>
    <w:p w14:paraId="74F4216B">
      <w:pPr>
        <w:keepNext w:val="0"/>
        <w:keepLines w:val="0"/>
        <w:widowControl w:val="0"/>
        <w:kinsoku/>
        <w:wordWrap/>
        <w:overflowPunct/>
        <w:topLinePunct w:val="0"/>
        <w:autoSpaceDE/>
        <w:autoSpaceDN/>
        <w:bidi w:val="0"/>
        <w:adjustRightInd/>
        <w:snapToGrid/>
        <w:spacing w:before="280" w:after="140" w:line="480" w:lineRule="auto"/>
        <w:textAlignment w:val="auto"/>
      </w:pPr>
      <w:r>
        <w:rPr>
          <w:rFonts w:ascii="Times New Roman" w:hAnsi="Times New Roman" w:eastAsia="Times New Roman" w:cs="Times New Roman"/>
          <w:b/>
          <w:bCs/>
          <w:sz w:val="26"/>
          <w:szCs w:val="26"/>
        </w:rPr>
        <w:t>S2b. Norepinephrine trajectory class definition</w:t>
      </w:r>
    </w:p>
    <w:p w14:paraId="37C32BB3">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 xml:space="preserve">The norepinephrine trajectory class is a four-level categorical variable (rising, stable, falling, unknown) constructed from each patient's norepinephrine dose history in the 6 hours preceding the index time. Patients with fewer than three dose measurements in this window were assigned to the unknown class; this affected 2,862 of 6,759 patients in the analytic cohort (42.3 percent), driven primarily by short cumulative norepinephrine exposure histories at the index time. For the remaining patients, the classification was based on the direction and magnitude of dose change across the available measurements within the 6-hour window: patients whose net dose trajectory indicated a clinically meaningful increase were classified as rising, those with a clinically meaningful decrease as falling, and those with minimal net change as stable. We note that the continuous variable ne_slope_6h, defined as the ordinary least-squares slope of dose on time across the same 6-hour window, was entered into the propensity score model and causal forest as a separate numeric covariate; the trajectory class and the continuous slope thus capture complementary aspects of the same underlying dose history (categorical direction versus linear rate of change). The resulting unmatched cohort distribution was rising 867 of 6,759 (12.8 percent), stable 1,278 of 6,759 (18.9 percent), falling 1,752 of 6,759 (25.9 percent), and unknown 2,862 of 6,759 (42.3 percent); the corresponding distribution in the matched cohort is shown in Table 1. </w:t>
      </w:r>
      <w:r>
        <w:rPr>
          <w:rFonts w:hint="eastAsia" w:ascii="Times New Roman" w:hAnsi="Times New Roman" w:eastAsia="Times New Roman" w:cs="Times New Roman"/>
          <w:sz w:val="24"/>
          <w:szCs w:val="24"/>
        </w:rPr>
        <w:t>The complete extraction and analysis pipeline, together with a data dictionary, is openly available at Zenodo (https://doi.org/10.5281/zenodo.20394738).</w:t>
      </w:r>
    </w:p>
    <w:p w14:paraId="4F566FC7">
      <w:pPr>
        <w:keepNext w:val="0"/>
        <w:keepLines w:val="0"/>
        <w:widowControl w:val="0"/>
        <w:kinsoku/>
        <w:wordWrap/>
        <w:overflowPunct/>
        <w:topLinePunct w:val="0"/>
        <w:autoSpaceDE/>
        <w:autoSpaceDN/>
        <w:bidi w:val="0"/>
        <w:adjustRightInd/>
        <w:snapToGrid/>
        <w:spacing w:before="280" w:after="140" w:line="480" w:lineRule="auto"/>
        <w:textAlignment w:val="auto"/>
      </w:pPr>
      <w:r>
        <w:rPr>
          <w:rFonts w:ascii="Times New Roman" w:hAnsi="Times New Roman" w:eastAsia="Times New Roman" w:cs="Times New Roman"/>
          <w:b/>
          <w:bCs/>
          <w:sz w:val="26"/>
          <w:szCs w:val="26"/>
        </w:rPr>
        <w:t>S3. Operational definitions of outcome components</w:t>
      </w:r>
    </w:p>
    <w:p w14:paraId="2E4E7EB9">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Norepinephrine dose escalation within 24 hours of time zero was defined as the existence of at least one inputevents segment for itemid 221906 satisfying all of the following: (a) infusion rate at or above 1.3 times the index dose on the harmonized mcg/kg/min scale; (b) segment start time at or after time zero but no later than 24 hours thereafter; and (c) effective duration within the post-index window of at least 120 minutes.</w:t>
      </w:r>
    </w:p>
    <w:p w14:paraId="21970EB2">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New vasopressor initiation was defined as the start of a second vasoactive agent at a positive infusion rate within the 24-hour post-index window, provided the patient was not receiving that agent at time zero (no concurrent active interval bracketing the index time, implemented as a left anti-join against pressors active at index).</w:t>
      </w:r>
    </w:p>
    <w:p w14:paraId="22FAED78">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Sustained mean arterial pressure below 65 mmHg was approximated by counting chartevents records with itemid in (220052, 220181) and valuenum below 65 and above 20 (the latter to exclude artifact) within the 24-hour post-index window. This count-based proxy was prespecified as a candidate component of the composite primary outcome but was reclassified as a sensitivity outcome on methodological grounds: marginal cohort-level inspection of the pooled event-count distribution (i.e., across the full cohort, before stratification by treatment arm) indicated event prevalence exceeding 50 percent in both arms, a rate more consistent with a baseline severity proxy in this vasopressor-dependent population than with a treatment-induced event; the reclassification was performed before any examination of MAP-derived event rates stratified by treatment assignment. For transparency, the by-arm event rates in the unmatched analytic cohort were: the count-based MAP &lt; 65 proxy occurred in 56.0 percent of treated patients (934 of 1,667) and 54.9 percent of controls (2,798 of 5,092), consistent with the marginal-distribution rationale for the reclassification. Acute kidney injury progression at 7 days was defined as any increase in the maximum post-index KDIGO stage (using stages obtained from the mimiciv_3_1_derived.kdigo_stages table, which integrates the serum-creatinine and urine-output components of the KDIGO 2012 definition; baseline creatinine is taken from the first 24-hour value when available) relative to the maximum stage in the 24 hours preceding time zero. 28-day mortality was derived from the date of death field in the patients table, which combines in-hospital mortality records with the death index linkage available in MIMIC-IV; patients without a recorded date of death were censored at the end of the database follow-up window.</w:t>
      </w:r>
    </w:p>
    <w:p w14:paraId="1EC86DB0">
      <w:pPr>
        <w:keepNext w:val="0"/>
        <w:keepLines w:val="0"/>
        <w:widowControl w:val="0"/>
        <w:kinsoku/>
        <w:wordWrap/>
        <w:overflowPunct/>
        <w:topLinePunct w:val="0"/>
        <w:autoSpaceDE/>
        <w:autoSpaceDN/>
        <w:bidi w:val="0"/>
        <w:adjustRightInd/>
        <w:snapToGrid/>
        <w:spacing w:before="280" w:after="140" w:line="480" w:lineRule="auto"/>
        <w:textAlignment w:val="auto"/>
      </w:pPr>
      <w:r>
        <w:rPr>
          <w:rFonts w:ascii="Times New Roman" w:hAnsi="Times New Roman" w:eastAsia="Times New Roman" w:cs="Times New Roman"/>
          <w:b/>
          <w:bCs/>
          <w:sz w:val="26"/>
          <w:szCs w:val="26"/>
        </w:rPr>
        <w:t>S4. Missing data and imputation</w:t>
      </w:r>
    </w:p>
    <w:p w14:paraId="0B3C17E2">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Six covariates with substantial missingness (≥ 10 percent) in the analytic cohort were treated with a missing-indicator approach combined with median imputation: albumin (68.4 percent missing), central venous pressure (64.8 percent, reflecting that not all critically ill patients have a central venous catheter in place at the index time), norepinephrine dose 6 hours prior to time zero (42.3 percent), norepinephrine dose 3 hours prior to time zero (27.4 percent), lactate (19.1 percent), and arterial pH (17.8 percent). For each, a binary indicator variable was added to the covariate set (1 if missing, 0 otherwise) and the original variable was imputed with the cohort median. This dual encoding preserves prognostic information conveyed by missingness itself, which may correlate with monitoring intensity and clinical decision-making in ICU practice.</w:t>
      </w:r>
    </w:p>
    <w:p w14:paraId="36E1ED4F">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Variables with low missingness (below 10 percent) were imputed silently with the cohort median: potassium (8.9 percent), chloride (6.9 percent), bicarbonate (6.9 percent), blood urea nitrogen (6.9 percent), creatinine (6.8 percent), mean arterial pressure (3.5 percent), Sequential Organ Failure Assessment score (1.4 percent), and several additional variables below 2 percent. Comorbidity binary indicators absent from the diagnoses_icd table were coded as 0. The remaining baseline covariates (demographics, ICU timing variables, the norepinephrine trajectory class indicator coded as four categorical levels including 'unknown', the current norepinephrine dose at index, and binary comorbidity indicators after the 0-coding rule) were structurally complete in the analytic cohort. Multiple imputation was not performed because both propensity score matching and the causal forest framework lack established pooling routines for multiply imputed datasets, and the missing-indicator approach is recommended when missingness itself carries clinical information. Pre-imputation missingness rates for all covariates with non-zero missingness are reported in Supplementary Table S4.</w:t>
      </w:r>
    </w:p>
    <w:p w14:paraId="58D6A48B">
      <w:pPr>
        <w:keepNext w:val="0"/>
        <w:keepLines w:val="0"/>
        <w:widowControl w:val="0"/>
        <w:kinsoku/>
        <w:wordWrap/>
        <w:overflowPunct/>
        <w:topLinePunct w:val="0"/>
        <w:autoSpaceDE/>
        <w:autoSpaceDN/>
        <w:bidi w:val="0"/>
        <w:adjustRightInd/>
        <w:snapToGrid/>
        <w:spacing w:before="280" w:after="140" w:line="480" w:lineRule="auto"/>
        <w:textAlignment w:val="auto"/>
      </w:pPr>
      <w:r>
        <w:rPr>
          <w:rFonts w:ascii="Times New Roman" w:hAnsi="Times New Roman" w:eastAsia="Times New Roman" w:cs="Times New Roman"/>
          <w:b/>
          <w:bCs/>
          <w:sz w:val="26"/>
          <w:szCs w:val="26"/>
        </w:rPr>
        <w:t>S5. Causal forest implementation</w:t>
      </w:r>
    </w:p>
    <w:p w14:paraId="1127C6C2">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The causal forest was implemented using the grf R package with the following non-default parameters: num.trees = 4000, honesty = TRUE, tune.parameters = "all", seed = 42 (the same seed initialized at the start of the analysis R session, governing the random sampling of control index times described in the main Methods (Treatment strategies and time zero), the propensity score matching, and the causal forest fit to ensure reproducibility). Honesty splitting partitions each tree's training data into two halves used separately for split selection and for leaf-value estimation, reducing bias in estimated treatment effects at the cost of higher variance. Automated hyperparameter tuning was performed by grid search over min.node.size, mtry, sample.fraction, alpha, and imbalance.penalty using the out-of-bag mean squared error of the doubly robust score as the tuning criterion. Categorical variables were converted to numeric dummies via model.matrix prior to fitting, yielding a design matrix of dimension 6,759 by 48. ATE, ATT, and ATC estimates were obtained from the augmented inverse-probability weighting estimator implemented in the average_treatment_effect function with target.sample set to "all", "treated", and "control" respectively.</w:t>
      </w:r>
    </w:p>
    <w:p w14:paraId="0E22964D">
      <w:pPr>
        <w:keepNext w:val="0"/>
        <w:keepLines w:val="0"/>
        <w:widowControl w:val="0"/>
        <w:kinsoku/>
        <w:wordWrap/>
        <w:overflowPunct/>
        <w:topLinePunct w:val="0"/>
        <w:autoSpaceDE/>
        <w:autoSpaceDN/>
        <w:bidi w:val="0"/>
        <w:adjustRightInd/>
        <w:snapToGrid/>
        <w:spacing w:before="280" w:after="140" w:line="480" w:lineRule="auto"/>
        <w:textAlignment w:val="auto"/>
      </w:pPr>
      <w:r>
        <w:rPr>
          <w:rFonts w:ascii="Times New Roman" w:hAnsi="Times New Roman" w:eastAsia="Times New Roman" w:cs="Times New Roman"/>
          <w:b/>
          <w:bCs/>
          <w:sz w:val="26"/>
          <w:szCs w:val="26"/>
        </w:rPr>
        <w:t>S6. Policy tree fitting</w:t>
      </w:r>
    </w:p>
    <w:p w14:paraId="367B9051">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A depth-2 policy tree was fit using the policy_tree function in the policytree R package. The reward matrix passed to the algorithm was constructed from the doubly robust scores Γ_i generated by the double_robust_scores function applied to the causal forest. Because Γ_i carries the sign of the outcome (Γ_i positive corresponds to predicted increased composite harm under treatment), we centered each row of the reward matrix on the patient-level CATE so that the two action columns sum to zero: reward[i, 'treat'] = −Γ_i/2 and reward[i, 'do not treat'] = +Γ_i/2. Under this symmetric centering, the algorithm's leaf-level action label maximizes the in-leaf average reward, and leaves with smaller (less positive) Γ_i are correspondingly labeled 'treat' while leaves with larger Γ_i are labeled 'do not treat'. Because all 6,759 patient-level Γ_i estimates are positive, the resulting 'treat' labels do not identify subgroups of predicted benefit; rather, they identify subgroups in which the predicted hemodynamic cost is smallest, and the tree is therefore interpreted as a relative-risk-ordering tool. Inputs to the policy tree were restricted to a prespecified set of six covariates chosen for clinical interpretability and tractability of the exhaustive search at depth 2: current and prior norepinephrine dose (ne_dose_now and ne_dose_6h_prior), three indices of the time-course of vasopressor dependence (hours_since_first_ne, ne_trajectory_class rising indicator, hours_since_icu_admit), and one biological severity marker (bun_mg_dl). Four of these six covariates (ne_dose_now, hours_since_first_ne, ne_trajectory_class rising, and bun_mg_dl) fall within the top six of the variable-importance ranking reported in Supplementary Table S3; the remaining two (ne_dose_6h_prior and hours_since_icu_admit) fall at ranks 9 and 7 respectively and were retained in the candidate set on clinical grounds (anchoring the trajectory in concrete prior dose values and accounting for ICU-stay duration). A depth-3 specification was attempted but the exhaustive search at this depth was computationally costly within our practical budget; the depth-2 tree thus reported should be interpreted as a hypothesis-generating decision aid rather than a definitive clinical rule. We further note that the policy tree's primary split variable, the norepinephrine dose six hours prior to index time (ne_dose_6h_prior), had 42.3 percent pre-imputation missingness (Supplementary Table S4); patients with missing values were assigned the cohort median (approximately 0.07 μg/kg/min, which lies near the algorithm's identified threshold of 0.06 μg/kg/min), which means a non-trivial proportion of the cohort is partitioned by a constant-imputed value at this split. The tree's clinical interpretation should be qualified accordingly.</w:t>
      </w:r>
    </w:p>
    <w:p w14:paraId="5F3DACF9">
      <w:pPr>
        <w:keepNext w:val="0"/>
        <w:keepLines w:val="0"/>
        <w:widowControl w:val="0"/>
        <w:kinsoku/>
        <w:wordWrap/>
        <w:overflowPunct/>
        <w:topLinePunct w:val="0"/>
        <w:autoSpaceDE/>
        <w:autoSpaceDN/>
        <w:bidi w:val="0"/>
        <w:adjustRightInd/>
        <w:snapToGrid/>
        <w:spacing w:before="280" w:after="140" w:line="480" w:lineRule="auto"/>
        <w:textAlignment w:val="auto"/>
      </w:pPr>
      <w:r>
        <w:rPr>
          <w:rFonts w:ascii="Times New Roman" w:hAnsi="Times New Roman" w:eastAsia="Times New Roman" w:cs="Times New Roman"/>
          <w:b/>
          <w:bCs/>
          <w:sz w:val="26"/>
          <w:szCs w:val="26"/>
        </w:rPr>
        <w:t>S7. Biological phenotype stratification</w:t>
      </w:r>
    </w:p>
    <w:p w14:paraId="134CEC77">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hint="eastAsia" w:ascii="Times New Roman" w:hAnsi="Times New Roman" w:eastAsia="Times New Roman" w:cs="Times New Roman"/>
          <w:sz w:val="24"/>
          <w:szCs w:val="24"/>
        </w:rPr>
        <w:t>To characterize the contribution of biologically motivated phenotype variables to treatment effect heterogeneity, the cohort was stratified by clinically meaningful cut points on six laboratory and physiological variables: blood urea nitrogen by sample quartile; serum albumin (less than 2.5, 2.5 to 3.5, greater than 3.5 g/dL); chloride (less than 98, 98 to 106, greater than 106 mEq/L); potassium (less than 3.5, 3.5 to 5.0, greater than 5.0 mEq/L); and lactate (less than 1.5, 1.5 to 2.5, greater than 2.5 mmol/L). Central venous pressure was analyzed in the subset of patients with a recorded measurement (less than 8, 8 to 12, greater than 12 mmHg). For each stratum, the within-stratum mean CATE was compared with the population-average ATE to identify any phenotype-specific deviation. An analogous CATE comparison was performed separately by congestive heart failure status (binary indicator from the diagnostic record) as a comorbidity analysis parallel to but distinct from the biological phenotype stratification; results are reported in Supplementary Table S5.</w:t>
      </w:r>
    </w:p>
    <w:p w14:paraId="41BEAA13">
      <w:pPr>
        <w:keepNext w:val="0"/>
        <w:keepLines w:val="0"/>
        <w:widowControl w:val="0"/>
        <w:kinsoku/>
        <w:wordWrap/>
        <w:overflowPunct/>
        <w:topLinePunct w:val="0"/>
        <w:autoSpaceDE/>
        <w:autoSpaceDN/>
        <w:bidi w:val="0"/>
        <w:adjustRightInd/>
        <w:snapToGrid/>
        <w:spacing w:before="280" w:after="140" w:line="480" w:lineRule="auto"/>
        <w:textAlignment w:val="auto"/>
      </w:pPr>
      <w:r>
        <w:rPr>
          <w:rFonts w:ascii="Times New Roman" w:hAnsi="Times New Roman" w:eastAsia="Times New Roman" w:cs="Times New Roman"/>
          <w:b/>
          <w:bCs/>
          <w:sz w:val="26"/>
          <w:szCs w:val="26"/>
        </w:rPr>
        <w:t>S8. E-value computation</w:t>
      </w:r>
    </w:p>
    <w:p w14:paraId="43A038FB">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E-values were computed on the risk-ratio scale following VanderWeele and Ding (2017). Because the outcomes analyzed in this study are not rare (control-arm event rates ranged from 11.3 percent for new vasopressor initiation to 51.5 percent for AKI progression at 7 days), direct application of the closed-form OR-based expression would overstate the E-value. We therefore first converted each odds ratio to its corresponding risk ratio using the control-arm event rate: RR = OR / (1 − p₀ + p₀·OR), where p₀ is the unweighted control-arm event proportion observed in the matched (or weighted) cohort. The closed-form E-value expression E = RR + √(RR × (RR − 1)) was then applied to each RR estimate, yielding both a point E-value (using the observed RR) and a lower-confidence-limit E-value (using the RR derived from the lower 95 percent CI of the OR). The interpretation is that an unmeasured confounder would need to be associated with both the exposure and the outcome by a risk ratio of at least the E-value, conditional on the measured covariates, to fully explain away the observed association.</w:t>
      </w:r>
    </w:p>
    <w:p w14:paraId="25886BBA">
      <w:pPr>
        <w:keepNext w:val="0"/>
        <w:keepLines w:val="0"/>
        <w:widowControl w:val="0"/>
        <w:kinsoku/>
        <w:wordWrap/>
        <w:overflowPunct/>
        <w:topLinePunct w:val="0"/>
        <w:autoSpaceDE/>
        <w:autoSpaceDN/>
        <w:bidi w:val="0"/>
        <w:adjustRightInd/>
        <w:snapToGrid/>
        <w:spacing w:before="280" w:after="140" w:line="480" w:lineRule="auto"/>
        <w:textAlignment w:val="auto"/>
      </w:pPr>
      <w:r>
        <w:rPr>
          <w:rFonts w:ascii="Times New Roman" w:hAnsi="Times New Roman" w:eastAsia="Times New Roman" w:cs="Times New Roman"/>
          <w:b/>
          <w:bCs/>
          <w:sz w:val="24"/>
          <w:szCs w:val="24"/>
        </w:rPr>
        <w:t>S9. External validation in the eICU Collaborative Research Database</w:t>
      </w:r>
    </w:p>
    <w:p w14:paraId="7A59099B">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The external validation cohort was assembled from the eICU Collaborative Research Database (eICU-CRD), version 2.0, accessed on Google BigQuery under PhysioNet credentialed data use agreement. The database encompasses 200,859 ICU stays at 208 United States hospitals during 2014 and 2015, with hourly snapshot records for continuous infusions and discrete event records for medications administered as boluses.</w:t>
      </w:r>
    </w:p>
    <w:p w14:paraId="04CCFAF3">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i/>
          <w:iCs/>
          <w:sz w:val="24"/>
          <w:szCs w:val="24"/>
        </w:rPr>
        <w:t xml:space="preserve">Cohort assembly. </w:t>
      </w:r>
      <w:r>
        <w:rPr>
          <w:rFonts w:ascii="Times New Roman" w:hAnsi="Times New Roman" w:eastAsia="Times New Roman" w:cs="Times New Roman"/>
          <w:sz w:val="24"/>
          <w:szCs w:val="24"/>
        </w:rPr>
        <w:t>Sequential exclusion was applied as follows: from 200,859 initial ICU stays, 132,611 met adult age and length-of-stay criteria, and 104,322 represented the first ICU stay per patient. After exclusion of patients without a valid recorded admission weight (the eICU patient.admissionweight field used to normalize mass-based norepinephrine dose units) and patients with end-stage kidney disease (identified from the pastHistory table) or renal replacement therapy (identified from the treatment table) within the first 24 hours of ICU admission, 98,598 remained. From this cohort, 8,281 patients had cumulative norepinephrine infusion exposure of at least 120 minutes after dose harmonization, and 7,137 remained after exclusion of patients with intravenous furosemide administered before first norepinephrine exposure. Among these, 775 patients (10.9 percent) received intravenous furosemide while on norepinephrine and were classified as treated; the remaining 6,362 constituted the control pool.</w:t>
      </w:r>
    </w:p>
    <w:p w14:paraId="6ED94887">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i/>
          <w:iCs/>
          <w:sz w:val="24"/>
          <w:szCs w:val="24"/>
        </w:rPr>
        <w:t xml:space="preserve">Norepinephrine dose harmonization. </w:t>
      </w:r>
      <w:r>
        <w:rPr>
          <w:rFonts w:ascii="Times New Roman" w:hAnsi="Times New Roman" w:eastAsia="Times New Roman" w:cs="Times New Roman"/>
          <w:sz w:val="24"/>
          <w:szCs w:val="24"/>
        </w:rPr>
        <w:t>The eICU infusionDrug table encodes the rate unit within the drugname field rather than a separate unit column. Records were stratified by the parenthesized unit suffix: mcg/kg/min records were used directly, mcg/min records were divided by patient admission weight, and ml/hr records were converted using the standard institutional concentration of 4 mg norepinephrine in 250 mL diluent (equivalent to 16 mcg/mL): mcg/kg/min = (ml/hr × 16) / 60 / weight_kg. The unit-specific record counts in the source norepinephrine infusion cohort (before final exclusion criteria) were 1,660 patients for mcg/kg/min, 6,736 patients for mcg/min, and 9,027 patients for ml/hr; because individual patients could contribute records in more than one unit type, these counts are not mutually exclusive, and their sum exceeds the final analytic cohort of 7,137. Records without identifiable unit suffix or with rate values below the unit-specific detection threshold were excluded. The empirical distribution of norepinephrine trajectory classes (rising/stable/falling/unknown) differs between MIMIC-IV and eICU-CRD — most notably, the proportion classified as stable is substantially higher in eICU (49 percent versus 19 percent in MIMIC-IV) while the unknown proportion is correspondingly lower. This difference reflects the coarser temporal granularity of eICU's hourly snapshot infusion records relative to MIMIC-IV's high-resolution interval data, which affects within-window slope estimation and class assignment but does not alter the direction of the primary composite signal. After harmonization, the resulting cohort-level distribution of post-conversion rates (median 0.064 mcg/kg/min, interquartile range 0.030 to 0.140) was concordant with the MIMIC-IV cohort (median 0.07 mcg/kg/min), supporting the validity of the unit-stratified harmonization approach.</w:t>
      </w:r>
    </w:p>
    <w:p w14:paraId="75FD1904">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i/>
          <w:iCs/>
          <w:sz w:val="24"/>
          <w:szCs w:val="24"/>
        </w:rPr>
        <w:t xml:space="preserve">Treatment strategy and time zero. </w:t>
      </w:r>
      <w:r>
        <w:rPr>
          <w:rFonts w:ascii="Times New Roman" w:hAnsi="Times New Roman" w:eastAsia="Times New Roman" w:cs="Times New Roman"/>
          <w:sz w:val="24"/>
          <w:szCs w:val="24"/>
        </w:rPr>
        <w:t>The treated arm index time was the timestamp of the first intravenous furosemide administration occurring while a norepinephrine infusion snapshot with positive rate was recorded within the preceding 120 minutes (the criterion for active norepinephrine infusion at the furosemide event). For the control arm, one index time per patient was sampled at random from the patient’s norepinephrine-on snapshots using a deterministic pseudo-random ordering (FARM_FINGERPRINT on the concatenation of patient identifier and snapshot offset) to ensure reproducibility.</w:t>
      </w:r>
    </w:p>
    <w:p w14:paraId="7D625121">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i/>
          <w:iCs/>
          <w:sz w:val="24"/>
          <w:szCs w:val="24"/>
        </w:rPr>
        <w:t xml:space="preserve">Outcome operationalization. </w:t>
      </w:r>
      <w:r>
        <w:rPr>
          <w:rFonts w:ascii="Times New Roman" w:hAnsi="Times New Roman" w:eastAsia="Times New Roman" w:cs="Times New Roman"/>
          <w:sz w:val="24"/>
          <w:szCs w:val="24"/>
        </w:rPr>
        <w:t>The primary composite outcome was sustained norepinephrine dose escalation (at least three consecutive post-index hourly snapshots at or above 1.3 times the index dose, with the maximum minus minimum offset within that run at least 120 minutes) or new vasopressor initiation (vasopressin, epinephrine, phenylephrine, dopamine, or dobutamine appearing in the infusionDrug table within the 24-hour post-index window at positive rate, where the agent was not already infusing within a 60-minute window bracketing the index time). Acute kidney injury progression at 7 days was defined as any post-index serum creatinine value at least 1.5 times the baseline (highest creatinine within the 24 hours preceding index) or at least 0.3 mg/dL above baseline. Urine output was not incorporated into the AKI definition because the eICU intakeOutput table has substantially incomplete coverage of catheterized urine output relative to the MIMIC-IV equivalent. In-hospital mortality was ascertained from the unitDischargeStatus and hospitalDischargeStatus fields in the patient table.</w:t>
      </w:r>
    </w:p>
    <w:p w14:paraId="5696C723">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i/>
          <w:iCs/>
          <w:sz w:val="24"/>
          <w:szCs w:val="24"/>
        </w:rPr>
        <w:t xml:space="preserve">Covariates and propensity score model. </w:t>
      </w:r>
      <w:r>
        <w:rPr>
          <w:rFonts w:ascii="Times New Roman" w:hAnsi="Times New Roman" w:eastAsia="Times New Roman" w:cs="Times New Roman"/>
          <w:sz w:val="24"/>
          <w:szCs w:val="24"/>
        </w:rPr>
        <w:t>The covariate set paralleled the primary analysis with two adaptations: APACHE IV score (extracted from the apachePatientResult table) substituted for SOFA, because eICU does not provide a derived hourly SOFA table; and a four-level norepinephrine trajectory class was constructed from the same six-hour pre-index window definition used in the primary analysis. Missing-indicator coding was applied to all covariates with greater than 10 percent missingness (ne_dose_3h_prior, ne_dose_6h_prior, ne_slope, map_last, lactate_mmol_l, albumin_g_dl, ph_arterial), with median imputation of the underlying value. Propensity score matching used nearest-neighbor 1:2 matching on the logit propensity with caliper 0.2 standard deviations and without replacement, identical to the primary specification. Treatment effects on the matched cohort were estimated by logistic regression on the treatment indicator with cluster-robust standard errors at the matched-set level, again identical to the primary specification.</w:t>
      </w:r>
    </w:p>
    <w:p w14:paraId="2E51ABAF">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hint="eastAsia" w:ascii="Times New Roman" w:hAnsi="Times New Roman" w:eastAsia="Times New Roman" w:cs="Times New Roman"/>
          <w:sz w:val="24"/>
          <w:szCs w:val="24"/>
        </w:rPr>
        <w:t>The complete eICU extraction pipeline and analysis code is included in the Zenodo deposit alongside the primary analysis materials (https://doi.org/10.5281/zenodo.20394738).</w:t>
      </w:r>
    </w:p>
    <w:p w14:paraId="3DFFB663">
      <w:pPr>
        <w:keepNext w:val="0"/>
        <w:keepLines w:val="0"/>
        <w:widowControl w:val="0"/>
        <w:kinsoku/>
        <w:wordWrap/>
        <w:overflowPunct/>
        <w:topLinePunct w:val="0"/>
        <w:autoSpaceDE/>
        <w:autoSpaceDN/>
        <w:bidi w:val="0"/>
        <w:adjustRightInd/>
        <w:snapToGrid/>
        <w:spacing w:before="360" w:after="180" w:line="480" w:lineRule="auto"/>
        <w:textAlignment w:val="auto"/>
      </w:pPr>
      <w:r>
        <w:rPr>
          <w:rFonts w:ascii="Times New Roman" w:hAnsi="Times New Roman" w:eastAsia="Times New Roman" w:cs="Times New Roman"/>
          <w:b/>
          <w:bCs/>
          <w:sz w:val="28"/>
          <w:szCs w:val="28"/>
        </w:rPr>
        <w:t>Supplementary Results</w:t>
      </w:r>
    </w:p>
    <w:p w14:paraId="77D61194">
      <w:pPr>
        <w:keepNext w:val="0"/>
        <w:keepLines w:val="0"/>
        <w:widowControl w:val="0"/>
        <w:kinsoku/>
        <w:wordWrap/>
        <w:overflowPunct/>
        <w:topLinePunct w:val="0"/>
        <w:autoSpaceDE/>
        <w:autoSpaceDN/>
        <w:bidi w:val="0"/>
        <w:adjustRightInd/>
        <w:snapToGrid/>
        <w:spacing w:before="280" w:after="140" w:line="480" w:lineRule="auto"/>
        <w:textAlignment w:val="auto"/>
      </w:pPr>
      <w:r>
        <w:rPr>
          <w:rFonts w:ascii="Times New Roman" w:hAnsi="Times New Roman" w:eastAsia="Times New Roman" w:cs="Times New Roman"/>
          <w:b/>
          <w:bCs/>
          <w:sz w:val="26"/>
          <w:szCs w:val="26"/>
        </w:rPr>
        <w:t>S.R.1 Extended sensitivity analyses</w:t>
      </w:r>
    </w:p>
    <w:p w14:paraId="4B76C44B">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Beyond the three matching strategies reported in the main text, several additional sensitivity considerations support the robustness of the primary finding. First, the comparability of average treatment effect estimates across three statistically distinct estimators—propensity score matching, exact-plus-PSM, and stabilized IPTW—argues against analytic specification as a source of the observed signal: the corresponding odds ratios for the primary composite were 2.03, 1.92, and 2.05, with overlapping 95% confidence intervals. Second, the closeness of the causal forest population-average treatment effect (ATE = 0.161, 95% CI 0.135 to 0.188), the average treatment effect on the treated (ATT = 0.147, 95% CI 0.119 to 0.175), and the average treatment effect on the controls (ATC = 0.167, 95% CI 0.132 to 0.202) indicates that, despite asymmetric propensity score support between arms, the population-average ATE is not artifactually inflated by extrapolation to controls who would be unlikely to receive furosemide.</w:t>
      </w:r>
    </w:p>
    <w:p w14:paraId="7AE36516">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Third, the magnitude of the risk-ratio-scale E-values across analyses (2.52 to 2.69 for the primary composite at the point estimate; 3.75 in the primary PSM analysis for norepinephrine dose escalation, and 3.27 for the same outcome under exact-plus-PSM) implies that the assumed unmeasured confounder would need to be associated with both furosemide initiation and the outcome by a risk ratio of approximately 2.5 to 3.8, conditional on the more than 40 measured covariates already included in the model. Plausible candidate unmeasured confounders in this clinical context—including bedside clinical impressions of fluid overload, intensivist or nephrology consultation, and continuous reassessment of vasopressor titration goals—are unlikely to attain associations of this magnitude after adjustment for SOFA score, current and recent vasopressor doses, fluid balance, lactate, and CVP.</w:t>
      </w:r>
    </w:p>
    <w:p w14:paraId="59190E50">
      <w:pPr>
        <w:keepNext w:val="0"/>
        <w:keepLines w:val="0"/>
        <w:widowControl w:val="0"/>
        <w:kinsoku/>
        <w:wordWrap/>
        <w:overflowPunct/>
        <w:topLinePunct w:val="0"/>
        <w:autoSpaceDE/>
        <w:autoSpaceDN/>
        <w:bidi w:val="0"/>
        <w:adjustRightInd/>
        <w:snapToGrid/>
        <w:spacing w:before="280" w:after="140" w:line="480" w:lineRule="auto"/>
        <w:textAlignment w:val="auto"/>
      </w:pPr>
      <w:r>
        <w:rPr>
          <w:rFonts w:ascii="Times New Roman" w:hAnsi="Times New Roman" w:eastAsia="Times New Roman" w:cs="Times New Roman"/>
          <w:b/>
          <w:bCs/>
          <w:sz w:val="26"/>
          <w:szCs w:val="26"/>
        </w:rPr>
        <w:t>S.R.2 Variable importance and biological phenotype contribution</w:t>
      </w:r>
    </w:p>
    <w:p w14:paraId="122AEC99">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Variable importance from the causal forest, ranked across all 48 input covariates and summarized in Supplementary Table S3 for the top 25, indicated that no single category of covariate exclusively drove treatment effect heterogeneity. Indication- and decision-related variables (current and prior norepinephrine doses, peak dose in the preceding 6 hours, hours since first norepinephrine initiation, hours since ICU admission, and norepinephrine trajectory class indicators) collectively accounted for 41.3 percent of total variable importance, the largest single category share. Biological phenotype variables, defined as laboratory values (blood urea nitrogen, creatinine, lactate, albumin, chloride, bicarbonate, potassium, arterial pH), comorbidity indicators (congestive heart failure, chronic pulmonary disease, chronic kidney disease, mild and severe liver disease, Charlson Comorbidity Index), and demographic characteristics (age, sex, weight), collectively accounted for 32.2 percent. Fluid management variables (cumulative fluid balance, output, and intake) accounted for 11.1 percent, with cumulative fluid balance alone contributing 7.5 percent (rank 2 overall). Hemodynamic state variables accounted for 11.9 percent, missing-indicator variables for 2.1 percent, and composite severity (SOFA score and mechanical ventilation status) for 1.5 percent.</w:t>
      </w:r>
    </w:p>
    <w:p w14:paraId="4D8D28B4">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Among individual biological variables, congestive heart failure status entered the top 5 covariates by importance (rank 4, importance 0.057), followed by blood urea nitrogen (rank 5, importance 0.053), weight (rank 8, importance 0.041), potassium (rank 14, importance 0.028), and arterial pH (rank 15, importance 0.027). Central venous pressure—a variable hypothesized a priori as a potential effect modifier for diuretic response in vasopressor-dependent patients, based on the broader literature on systemic venous congestion and its relationship to organ perfusion—appeared at rank 13 with importance 0.028, comparable in magnitude to several biological laboratory variables and similar in rank to mean arterial pressure (rank 12) and other hemodynamic indices. Variable-importance rankings within highly correlated covariate clusters (e.g., blood urea nitrogen and creatinine; Charlson comorbidity index and individual comorbidity indicators) should be interpreted as the relative contribution of partially overlapping signal rather than as independent effects of each individual variable; the dominance of the single most important covariate (current norepinephrine dose at index, with importance more than twice that of the second-ranked variable) is robust to such collinearity because that variable's correlation with the remaining covariates is low.</w:t>
      </w:r>
    </w:p>
    <w:p w14:paraId="2692C580">
      <w:pPr>
        <w:keepNext w:val="0"/>
        <w:keepLines w:val="0"/>
        <w:widowControl w:val="0"/>
        <w:kinsoku/>
        <w:wordWrap/>
        <w:overflowPunct/>
        <w:topLinePunct w:val="0"/>
        <w:autoSpaceDE/>
        <w:autoSpaceDN/>
        <w:bidi w:val="0"/>
        <w:adjustRightInd/>
        <w:snapToGrid/>
        <w:spacing w:before="280" w:after="140" w:line="480" w:lineRule="auto"/>
        <w:textAlignment w:val="auto"/>
      </w:pPr>
      <w:r>
        <w:rPr>
          <w:rFonts w:ascii="Times New Roman" w:hAnsi="Times New Roman" w:eastAsia="Times New Roman" w:cs="Times New Roman"/>
          <w:b/>
          <w:bCs/>
          <w:sz w:val="26"/>
          <w:szCs w:val="26"/>
        </w:rPr>
        <w:t>S.R.3 Stratified analyses by biological phenotype</w:t>
      </w:r>
    </w:p>
    <w:p w14:paraId="07A779D8">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Detailed stratum-level event rates and within-stratum mean CATE values for each prespecified biological phenotype are presented in Supplementary Table S5. Within blood urea nitrogen quartiles, mean CATE rose modestly from 0.145 (Q1, median BUN 11.6 mg/dL) to 0.159 (Q2, median BUN 20.7 mg/dL), then plateaued at 0.156 (Q3) and 0.157 (Q4, median BUN 62.2 mg/dL); the across-stratum range was therefore 0.014, less than 10 percent of the arithmetic mean of patient-level CATE predictions (0.154; the corresponding doubly robust ATE is 0.161, Table 3). Across albumin, chloride, potassium, lactate, and CVP strata the across-stratum ranges were 0.011, 0.006, 0.002, 0.003, and 0.008 respectively, all substantially smaller than the across-trajectory range (0.050) and the across-fluid-balance-quartile range (0.041). In every biological stratum, the mean CATE (the risk difference between exposure and control on the primary composite outcome) was positive; no stratum identified a patient phenotype with a predicted protective effect.</w:t>
      </w:r>
    </w:p>
    <w:p w14:paraId="77D9C37C">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Comparing patients with and without congestive heart failure documented in the diagnostic record (n = 2,214 versus 4,545), the mean CATE was modestly higher in the CHF group (0.162 versus 0.150). This difference of 0.012 on the risk-difference scale is consistent with a marginal effect modification by chronic ventricular dysfunction but is dwarfed by the heterogeneity introduced by the temporal vasopressor dependence indices, and should not be interpreted as identifying a CHF-defined subgroup with qualitatively different response.</w:t>
      </w:r>
    </w:p>
    <w:p w14:paraId="3EE1E137">
      <w:pPr>
        <w:keepNext w:val="0"/>
        <w:keepLines w:val="0"/>
        <w:widowControl w:val="0"/>
        <w:kinsoku/>
        <w:wordWrap/>
        <w:overflowPunct/>
        <w:topLinePunct w:val="0"/>
        <w:autoSpaceDE/>
        <w:autoSpaceDN/>
        <w:bidi w:val="0"/>
        <w:adjustRightInd/>
        <w:snapToGrid/>
        <w:spacing w:before="280" w:after="140" w:line="480" w:lineRule="auto"/>
        <w:textAlignment w:val="auto"/>
      </w:pPr>
      <w:r>
        <w:rPr>
          <w:rFonts w:ascii="Times New Roman" w:hAnsi="Times New Roman" w:eastAsia="Times New Roman" w:cs="Times New Roman"/>
          <w:b/>
          <w:bCs/>
          <w:sz w:val="26"/>
          <w:szCs w:val="26"/>
        </w:rPr>
        <w:t>S.R.4 Policy tree decision rule and interpretation</w:t>
      </w:r>
    </w:p>
    <w:p w14:paraId="665300F7">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 xml:space="preserve">The depth-2 policy tree fit using doubly robust scores from the causal forest, presented in Supplementary </w:t>
      </w:r>
      <w:r>
        <w:rPr>
          <w:rFonts w:hint="eastAsia" w:eastAsia="宋体" w:cs="Times New Roman"/>
          <w:sz w:val="24"/>
          <w:szCs w:val="24"/>
          <w:lang w:eastAsia="zh-CN"/>
        </w:rPr>
        <w:t>Fig.</w:t>
      </w:r>
      <w:r>
        <w:rPr>
          <w:rFonts w:ascii="Times New Roman" w:hAnsi="Times New Roman" w:eastAsia="Times New Roman" w:cs="Times New Roman"/>
          <w:sz w:val="24"/>
          <w:szCs w:val="24"/>
        </w:rPr>
        <w:t xml:space="preserve"> S3, yielded a depth-2 decision structure with three splitting variables (prior and current norepinephrine dose, and time since ICU admission). The tree partitioned the cohort by whether the norepinephrine dose six hours before the index time was below or above 0.06 μg/kg/min; among patients with a low prior dose, the current norepinephrine dose at 0.06 μg/kg/min provided a further partition, while among those with a higher prior dose, the partition was on whether the patient had been in the ICU for less than 184 hours. Because all 6,759 patient-level CATE estimates were positive, the policy tree does not identify subgroups in which furosemide is predicted to benefit; rather, the leaves displayed as "lower predicted hemodynamic cost" in Supplementary Figure S3 correspond to subgroups in which the estimated furosemide-attributable harm is smallest (patients with consistently low prior and current norepinephrine doses), while leaves displayed as "higher predicted cost" identify subgroups in which the estimated harm is largest (patients with rising or sustained higher vasopressor doses). The tree is therefore interpretable as a relative-risk-ordering tool, ranking subgroups by predicted hemodynamic cost when the decision to administer furosemide is otherwise clinically warranted.</w:t>
      </w:r>
    </w:p>
    <w:p w14:paraId="2D7F5215">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Two interpretive cautions apply. First, the depth-2 tree is the maximum complexity computationally tractable on this sample; deeper trees that might capture additional nuance could not be fit. Second, the tree is presented as a hypothesis-generating decision aid rather than a clinical rule, and the absolute risk differences within each leaf are small relative to the overall heterogeneity captured by the causal forest. Translation into bedside practice would require prospective validation in an independent cohort, ideally with prespecified intervention thresholds.</w:t>
      </w:r>
    </w:p>
    <w:p w14:paraId="3D34A5B9">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To assess whether the imputation of ne_dose_6h_prior (42.3 percent missing, median-imputed to 0.07 μg/kg/min) influenced the tree's split structure, we refitted the policy tree on the subset of patients with observed (non-imputed) ne_dose_6h_prior values (n = 3,897, 57.7 percent of the analytic cohort). On this observed-data subset, the algorithm retained the same two principal splitting variables identified in the full-cohort tree—current norepinephrine dose (ne_dose_now) and time since ICU admission (hours_since_icu_admit)—with ne_dose_now selected as the root splitter at a threshold of approximately 0.06 μg/kg/min, identical to the threshold appearing in the full-cohort tree. The principal change was that ne_dose_6h_prior no longer appeared as a split variable, which is expected because the subset eliminates the imputed values that drove its appearance in the full-cohort root. The persistence of the same two-variable decision structure (current dose plus ICU timing) on the observed-data subset indicates that the policy tree's clinical interpretation—that subgroups can be partitioned by the operational state of vasopressor support—is not an artifact of constant-value imputation. The full sensitivity analysis specification and tree output are deposited at Zenodo alongside the primary analysis code.</w:t>
      </w:r>
    </w:p>
    <w:p w14:paraId="20836BF2">
      <w:pPr>
        <w:keepNext w:val="0"/>
        <w:keepLines w:val="0"/>
        <w:widowControl w:val="0"/>
        <w:kinsoku/>
        <w:wordWrap/>
        <w:overflowPunct/>
        <w:topLinePunct w:val="0"/>
        <w:autoSpaceDE/>
        <w:autoSpaceDN/>
        <w:bidi w:val="0"/>
        <w:adjustRightInd/>
        <w:snapToGrid/>
        <w:spacing w:before="280" w:after="140" w:line="480" w:lineRule="auto"/>
        <w:textAlignment w:val="auto"/>
      </w:pPr>
      <w:r>
        <w:rPr>
          <w:rFonts w:ascii="Times New Roman" w:hAnsi="Times New Roman" w:eastAsia="Times New Roman" w:cs="Times New Roman"/>
          <w:b/>
          <w:bCs/>
          <w:sz w:val="24"/>
          <w:szCs w:val="24"/>
        </w:rPr>
        <w:t>S.R.5 Sensitivity of the eICU external validation to the norepinephrine concentration assumption</w:t>
      </w:r>
    </w:p>
    <w:p w14:paraId="34B8CA9D">
      <w:pPr>
        <w:keepNext w:val="0"/>
        <w:keepLines w:val="0"/>
        <w:widowControl w:val="0"/>
        <w:kinsoku/>
        <w:wordWrap/>
        <w:overflowPunct/>
        <w:topLinePunct w:val="0"/>
        <w:autoSpaceDE/>
        <w:autoSpaceDN/>
        <w:bidi w:val="0"/>
        <w:adjustRightInd/>
        <w:snapToGrid/>
        <w:spacing w:after="120" w:line="480" w:lineRule="auto"/>
        <w:jc w:val="both"/>
        <w:textAlignment w:val="auto"/>
      </w:pPr>
      <w:r>
        <w:rPr>
          <w:rFonts w:ascii="Times New Roman" w:hAnsi="Times New Roman" w:eastAsia="Times New Roman" w:cs="Times New Roman"/>
          <w:sz w:val="24"/>
          <w:szCs w:val="24"/>
        </w:rPr>
        <w:t>Of the 9,027 patients in the source eICU norepinephrine infusion cohort whose infusion rates were recorded in volume-rate units (ml/hr), conversion to the standardized mcg/kg/min scale required an assumed institutional concentration of norepinephrine in diluent. We applied the most commonly documented North American standard concentration of 4 mg in 250 mL (16 mcg/mL). Alternative standard concentrations in clinical use include 8 mg in 250 mL (32 mcg/mL, common in some intensive care settings) and 4 mg in 500 mL (8 mcg/mL, occasional in cardiac surgical units). The directional concordance of the primary composite signal is robust to this assumption because the dose escalation outcome is defined as the post-index norepinephrine rate reaching at least 1.3 times the patient’s own index dose: under a constant multiplicative scaling shared by all of a patient’s ml/hr records, the 1.3× threshold is satisfied at the same physical timepoints regardless of the concentration constant chosen, so the binary escalation indicator is invariant to the concentration assumption within each patient. The principal effect of an erroneous concentration assumption is on the absolute baseline covariate value of norepinephrine dose at index time, which would shift uniformly within the ml/hr subgroup and contribute to imbalance with the mcg/min and mcg/kg/min subgroups that are correctly scaled. This potential imbalance is addressed by the propensity score model, which includes the harmonized dose as a continuous covariate and achieved a standardized mean difference of 0.010 after matching (Supplementary Table S7), well below the 0.10 threshold for acceptable balance. A formal multiple-concentration sensitivity analysis varying the assumed concentration over 8, 16, and 32 mcg/mL was not performed within the present scope; given the within-patient invariance of the binary escalation indicator under multiplicative scaling, such sensitivity is expected to be minimal for the primary composite outcome, though acknowledged as a residual uncertainty.</w:t>
      </w:r>
    </w:p>
    <w:p w14:paraId="735D9108">
      <w:pPr>
        <w:keepNext w:val="0"/>
        <w:keepLines w:val="0"/>
        <w:widowControl w:val="0"/>
        <w:kinsoku/>
        <w:wordWrap/>
        <w:overflowPunct/>
        <w:topLinePunct w:val="0"/>
        <w:autoSpaceDE/>
        <w:autoSpaceDN/>
        <w:bidi w:val="0"/>
        <w:adjustRightInd/>
        <w:snapToGrid/>
        <w:spacing w:before="360" w:after="180" w:line="480" w:lineRule="auto"/>
        <w:textAlignment w:val="auto"/>
      </w:pPr>
      <w:r>
        <w:rPr>
          <w:rFonts w:ascii="Times New Roman" w:hAnsi="Times New Roman" w:eastAsia="Times New Roman" w:cs="Times New Roman"/>
          <w:b/>
          <w:bCs/>
          <w:sz w:val="28"/>
          <w:szCs w:val="28"/>
        </w:rPr>
        <w:t>Supplementary Tables</w:t>
      </w:r>
    </w:p>
    <w:p w14:paraId="61EC1BE8">
      <w:pPr>
        <w:keepNext w:val="0"/>
        <w:keepLines w:val="0"/>
        <w:widowControl w:val="0"/>
        <w:kinsoku/>
        <w:wordWrap/>
        <w:overflowPunct/>
        <w:topLinePunct w:val="0"/>
        <w:autoSpaceDE/>
        <w:autoSpaceDN/>
        <w:bidi w:val="0"/>
        <w:adjustRightInd/>
        <w:snapToGrid/>
        <w:spacing w:line="480" w:lineRule="auto"/>
        <w:textAlignment w:val="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Supplementary Table S1. Specification of the target trial protocol and its observational emulation.</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800"/>
        <w:gridCol w:w="6560"/>
      </w:tblGrid>
      <w:tr w14:paraId="5EA5391D">
        <w:tc>
          <w:tcPr>
            <w:tcW w:w="2800" w:type="dxa"/>
            <w:tcBorders>
              <w:top w:val="single" w:color="000000" w:sz="12" w:space="0"/>
              <w:left w:val="nil"/>
              <w:bottom w:val="single" w:color="000000" w:sz="6" w:space="0"/>
              <w:right w:val="nil"/>
            </w:tcBorders>
            <w:tcMar>
              <w:top w:w="60" w:type="dxa"/>
              <w:left w:w="100" w:type="dxa"/>
              <w:bottom w:w="60" w:type="dxa"/>
              <w:right w:w="100" w:type="dxa"/>
            </w:tcMar>
            <w:vAlign w:val="center"/>
          </w:tcPr>
          <w:p w14:paraId="7883F19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Protocol element</w:t>
            </w:r>
          </w:p>
        </w:tc>
        <w:tc>
          <w:tcPr>
            <w:tcW w:w="6560" w:type="dxa"/>
            <w:tcBorders>
              <w:top w:val="single" w:color="000000" w:sz="12" w:space="0"/>
              <w:left w:val="nil"/>
              <w:bottom w:val="single" w:color="000000" w:sz="6" w:space="0"/>
              <w:right w:val="nil"/>
            </w:tcBorders>
            <w:tcMar>
              <w:top w:w="60" w:type="dxa"/>
              <w:left w:w="100" w:type="dxa"/>
              <w:bottom w:w="60" w:type="dxa"/>
              <w:right w:w="100" w:type="dxa"/>
            </w:tcMar>
            <w:vAlign w:val="center"/>
          </w:tcPr>
          <w:p w14:paraId="10277AA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Specification in the target trial and in the emulation</w:t>
            </w:r>
          </w:p>
        </w:tc>
      </w:tr>
      <w:tr w14:paraId="2F58FFD3">
        <w:tc>
          <w:tcPr>
            <w:tcW w:w="2800" w:type="dxa"/>
            <w:tcBorders>
              <w:top w:val="nil"/>
              <w:left w:val="nil"/>
              <w:bottom w:val="nil"/>
              <w:right w:val="nil"/>
            </w:tcBorders>
            <w:tcMar>
              <w:top w:w="60" w:type="dxa"/>
              <w:left w:w="100" w:type="dxa"/>
              <w:bottom w:w="60" w:type="dxa"/>
              <w:right w:w="100" w:type="dxa"/>
            </w:tcMar>
            <w:vAlign w:val="center"/>
          </w:tcPr>
          <w:p w14:paraId="04604BE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Eligibility criteria</w:t>
            </w:r>
          </w:p>
        </w:tc>
        <w:tc>
          <w:tcPr>
            <w:tcW w:w="6560" w:type="dxa"/>
            <w:tcBorders>
              <w:top w:val="nil"/>
              <w:left w:val="nil"/>
              <w:bottom w:val="nil"/>
              <w:right w:val="nil"/>
            </w:tcBorders>
            <w:tcMar>
              <w:top w:w="60" w:type="dxa"/>
              <w:left w:w="100" w:type="dxa"/>
              <w:bottom w:w="60" w:type="dxa"/>
              <w:right w:w="100" w:type="dxa"/>
            </w:tcMar>
            <w:vAlign w:val="center"/>
          </w:tcPr>
          <w:p w14:paraId="49BAADC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Adult patients (age ≥ 18 years) admitted to an intensive care unit, with first ICU stay only, ICU length of stay ≥ 24 hours, cumulative norepinephrine infusion duration ≥ 120 minutes during the ICU stay. Exclusions: end-stage kidney disease (ICD-9/10 codes); renal replacement therapy within first 24 hours of ICU admission; intravenous furosemide administered prior to norepinephrine initiation.</w:t>
            </w:r>
          </w:p>
        </w:tc>
      </w:tr>
      <w:tr w14:paraId="3B3DE41D">
        <w:tc>
          <w:tcPr>
            <w:tcW w:w="2800" w:type="dxa"/>
            <w:tcBorders>
              <w:top w:val="nil"/>
              <w:left w:val="nil"/>
              <w:bottom w:val="nil"/>
              <w:right w:val="nil"/>
            </w:tcBorders>
            <w:tcMar>
              <w:top w:w="60" w:type="dxa"/>
              <w:left w:w="100" w:type="dxa"/>
              <w:bottom w:w="60" w:type="dxa"/>
              <w:right w:w="100" w:type="dxa"/>
            </w:tcMar>
            <w:vAlign w:val="center"/>
          </w:tcPr>
          <w:p w14:paraId="66D6B21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Treatment strategies</w:t>
            </w:r>
          </w:p>
        </w:tc>
        <w:tc>
          <w:tcPr>
            <w:tcW w:w="6560" w:type="dxa"/>
            <w:tcBorders>
              <w:top w:val="nil"/>
              <w:left w:val="nil"/>
              <w:bottom w:val="nil"/>
              <w:right w:val="nil"/>
            </w:tcBorders>
            <w:tcMar>
              <w:top w:w="60" w:type="dxa"/>
              <w:left w:w="100" w:type="dxa"/>
              <w:bottom w:w="60" w:type="dxa"/>
              <w:right w:w="100" w:type="dxa"/>
            </w:tcMar>
            <w:vAlign w:val="center"/>
          </w:tcPr>
          <w:p w14:paraId="12AE20B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Strategy 1 (treated): initiation of intravenous furosemide during an active norepinephrine infusion. Strategy 2 (control): no intravenous furosemide administration during any active norepinephrine infusion period.</w:t>
            </w:r>
          </w:p>
        </w:tc>
      </w:tr>
      <w:tr w14:paraId="0E6AD27F">
        <w:tc>
          <w:tcPr>
            <w:tcW w:w="2800" w:type="dxa"/>
            <w:tcBorders>
              <w:top w:val="nil"/>
              <w:left w:val="nil"/>
              <w:bottom w:val="nil"/>
              <w:right w:val="nil"/>
            </w:tcBorders>
            <w:tcMar>
              <w:top w:w="60" w:type="dxa"/>
              <w:left w:w="100" w:type="dxa"/>
              <w:bottom w:w="60" w:type="dxa"/>
              <w:right w:w="100" w:type="dxa"/>
            </w:tcMar>
            <w:vAlign w:val="center"/>
          </w:tcPr>
          <w:p w14:paraId="50F0B2C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Assignment procedure</w:t>
            </w:r>
          </w:p>
        </w:tc>
        <w:tc>
          <w:tcPr>
            <w:tcW w:w="6560" w:type="dxa"/>
            <w:tcBorders>
              <w:top w:val="nil"/>
              <w:left w:val="nil"/>
              <w:bottom w:val="nil"/>
              <w:right w:val="nil"/>
            </w:tcBorders>
            <w:tcMar>
              <w:top w:w="60" w:type="dxa"/>
              <w:left w:w="100" w:type="dxa"/>
              <w:bottom w:w="60" w:type="dxa"/>
              <w:right w:w="100" w:type="dxa"/>
            </w:tcMar>
            <w:vAlign w:val="center"/>
          </w:tcPr>
          <w:p w14:paraId="02C6387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Target trial: random assignment at time zero. Emulation: propensity score matching (1:2 nearest-neighbor, caliper 0.2 SD on logit propensity) using all baseline covariates measured at time zero, with exact-plus-PSM and stabilized IPTW as sensitivity analyses.</w:t>
            </w:r>
          </w:p>
        </w:tc>
      </w:tr>
      <w:tr w14:paraId="333D7C0E">
        <w:tc>
          <w:tcPr>
            <w:tcW w:w="2800" w:type="dxa"/>
            <w:tcBorders>
              <w:top w:val="nil"/>
              <w:left w:val="nil"/>
              <w:bottom w:val="nil"/>
              <w:right w:val="nil"/>
            </w:tcBorders>
            <w:tcMar>
              <w:top w:w="60" w:type="dxa"/>
              <w:left w:w="100" w:type="dxa"/>
              <w:bottom w:w="60" w:type="dxa"/>
              <w:right w:w="100" w:type="dxa"/>
            </w:tcMar>
            <w:vAlign w:val="center"/>
          </w:tcPr>
          <w:p w14:paraId="1C28EEC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Time zero (start of follow-up)</w:t>
            </w:r>
          </w:p>
        </w:tc>
        <w:tc>
          <w:tcPr>
            <w:tcW w:w="6560" w:type="dxa"/>
            <w:tcBorders>
              <w:top w:val="nil"/>
              <w:left w:val="nil"/>
              <w:bottom w:val="nil"/>
              <w:right w:val="nil"/>
            </w:tcBorders>
            <w:tcMar>
              <w:top w:w="60" w:type="dxa"/>
              <w:left w:w="100" w:type="dxa"/>
              <w:bottom w:w="60" w:type="dxa"/>
              <w:right w:w="100" w:type="dxa"/>
            </w:tcMar>
            <w:vAlign w:val="center"/>
          </w:tcPr>
          <w:p w14:paraId="2EB3416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Treated arm: timestamp of the first intravenous furosemide dose administered during an active norepinephrine infusion. Control arm: a single index time randomly sampled from the hourly grid of on-norepinephrine ICU hours, restricted to patients who never received intravenous furosemide during any norepinephrine infusion episode.</w:t>
            </w:r>
          </w:p>
        </w:tc>
      </w:tr>
      <w:tr w14:paraId="59A33C8F">
        <w:tc>
          <w:tcPr>
            <w:tcW w:w="2800" w:type="dxa"/>
            <w:tcBorders>
              <w:top w:val="nil"/>
              <w:left w:val="nil"/>
              <w:bottom w:val="nil"/>
              <w:right w:val="nil"/>
            </w:tcBorders>
            <w:tcMar>
              <w:top w:w="60" w:type="dxa"/>
              <w:left w:w="100" w:type="dxa"/>
              <w:bottom w:w="60" w:type="dxa"/>
              <w:right w:w="100" w:type="dxa"/>
            </w:tcMar>
            <w:vAlign w:val="center"/>
          </w:tcPr>
          <w:p w14:paraId="25315FC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Follow-up duration</w:t>
            </w:r>
          </w:p>
        </w:tc>
        <w:tc>
          <w:tcPr>
            <w:tcW w:w="6560" w:type="dxa"/>
            <w:tcBorders>
              <w:top w:val="nil"/>
              <w:left w:val="nil"/>
              <w:bottom w:val="nil"/>
              <w:right w:val="nil"/>
            </w:tcBorders>
            <w:tcMar>
              <w:top w:w="60" w:type="dxa"/>
              <w:left w:w="100" w:type="dxa"/>
              <w:bottom w:w="60" w:type="dxa"/>
              <w:right w:w="100" w:type="dxa"/>
            </w:tcMar>
            <w:vAlign w:val="center"/>
          </w:tcPr>
          <w:p w14:paraId="334C5E5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24 hours after time zero for the primary outcome; 7 days for AKI progression; 28 days for all-cause mortality. Patients were followed continuously from time zero until the relevant outcome window concluded or death, whichever came first.</w:t>
            </w:r>
          </w:p>
        </w:tc>
      </w:tr>
      <w:tr w14:paraId="4479ECD6">
        <w:tc>
          <w:tcPr>
            <w:tcW w:w="2800" w:type="dxa"/>
            <w:tcBorders>
              <w:top w:val="nil"/>
              <w:left w:val="nil"/>
              <w:bottom w:val="nil"/>
              <w:right w:val="nil"/>
            </w:tcBorders>
            <w:tcMar>
              <w:top w:w="60" w:type="dxa"/>
              <w:left w:w="100" w:type="dxa"/>
              <w:bottom w:w="60" w:type="dxa"/>
              <w:right w:w="100" w:type="dxa"/>
            </w:tcMar>
            <w:vAlign w:val="center"/>
          </w:tcPr>
          <w:p w14:paraId="71ABE66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Outcomes</w:t>
            </w:r>
          </w:p>
        </w:tc>
        <w:tc>
          <w:tcPr>
            <w:tcW w:w="6560" w:type="dxa"/>
            <w:tcBorders>
              <w:top w:val="nil"/>
              <w:left w:val="nil"/>
              <w:bottom w:val="nil"/>
              <w:right w:val="nil"/>
            </w:tcBorders>
            <w:tcMar>
              <w:top w:w="60" w:type="dxa"/>
              <w:left w:w="100" w:type="dxa"/>
              <w:bottom w:w="60" w:type="dxa"/>
              <w:right w:w="100" w:type="dxa"/>
            </w:tcMar>
            <w:vAlign w:val="center"/>
          </w:tcPr>
          <w:p w14:paraId="326B183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Primary: composite of sustained norepinephrine dose escalation (≥ 1.3× index dose for ≥ 120 min) or new vasopressor initiation, within 24 hours. Secondary: KDIGO-defined AKI stage progression within 7 days; all-cause mortality within 28 days. Sensitivity-only: sustained MAP &lt; 65 mmHg within 24 hours.</w:t>
            </w:r>
          </w:p>
        </w:tc>
      </w:tr>
      <w:tr w14:paraId="4F5302FE">
        <w:tc>
          <w:tcPr>
            <w:tcW w:w="2800" w:type="dxa"/>
            <w:tcBorders>
              <w:top w:val="nil"/>
              <w:left w:val="nil"/>
              <w:bottom w:val="nil"/>
              <w:right w:val="nil"/>
            </w:tcBorders>
            <w:tcMar>
              <w:top w:w="60" w:type="dxa"/>
              <w:left w:w="100" w:type="dxa"/>
              <w:bottom w:w="60" w:type="dxa"/>
              <w:right w:w="100" w:type="dxa"/>
            </w:tcMar>
            <w:vAlign w:val="center"/>
          </w:tcPr>
          <w:p w14:paraId="1E4FB62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Causal contrast</w:t>
            </w:r>
          </w:p>
        </w:tc>
        <w:tc>
          <w:tcPr>
            <w:tcW w:w="6560" w:type="dxa"/>
            <w:tcBorders>
              <w:top w:val="nil"/>
              <w:left w:val="nil"/>
              <w:bottom w:val="nil"/>
              <w:right w:val="nil"/>
            </w:tcBorders>
            <w:tcMar>
              <w:top w:w="60" w:type="dxa"/>
              <w:left w:w="100" w:type="dxa"/>
              <w:bottom w:w="60" w:type="dxa"/>
              <w:right w:w="100" w:type="dxa"/>
            </w:tcMar>
            <w:vAlign w:val="center"/>
          </w:tcPr>
          <w:p w14:paraId="20BEF0B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Effect of furosemide initiation versus no furosemide initiation on each outcome. The matched-cohort logistic regression estimates the average treatment effect on the treated (ATT), reported as an odds ratio. The causal forest separately estimates the average treatment effect (ATE), ATT, and average treatment effect on the controls (ATC) on the absolute risk-difference scale. Effect modification was prespecified for norepinephrine trajectory class, cumulative fluid balance, and SOFA score; conditional average treatment effects (CATEs) were also estimated by causal forest.</w:t>
            </w:r>
          </w:p>
        </w:tc>
      </w:tr>
      <w:tr w14:paraId="35F567EE">
        <w:tc>
          <w:tcPr>
            <w:tcW w:w="2800" w:type="dxa"/>
            <w:tcBorders>
              <w:top w:val="nil"/>
              <w:left w:val="nil"/>
              <w:bottom w:val="single" w:color="000000" w:sz="12" w:space="0"/>
              <w:right w:val="nil"/>
            </w:tcBorders>
            <w:tcMar>
              <w:top w:w="60" w:type="dxa"/>
              <w:left w:w="100" w:type="dxa"/>
              <w:bottom w:w="60" w:type="dxa"/>
              <w:right w:w="100" w:type="dxa"/>
            </w:tcMar>
            <w:vAlign w:val="center"/>
          </w:tcPr>
          <w:p w14:paraId="43C3774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Analysis plan</w:t>
            </w:r>
          </w:p>
        </w:tc>
        <w:tc>
          <w:tcPr>
            <w:tcW w:w="6560" w:type="dxa"/>
            <w:tcBorders>
              <w:top w:val="nil"/>
              <w:left w:val="nil"/>
              <w:bottom w:val="single" w:color="000000" w:sz="12" w:space="0"/>
              <w:right w:val="nil"/>
            </w:tcBorders>
            <w:tcMar>
              <w:top w:w="60" w:type="dxa"/>
              <w:left w:w="100" w:type="dxa"/>
              <w:bottom w:w="60" w:type="dxa"/>
              <w:right w:w="100" w:type="dxa"/>
            </w:tcMar>
            <w:vAlign w:val="center"/>
          </w:tcPr>
          <w:p w14:paraId="169A7A3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Prespecified before outcome assessment: propensity score matching as primary; exact-plus-PSM and IPTW as sensitivity; causal forest with calibration test for heterogeneity; policy tree for interpretable decision rule; E-value computation for unmeasured confounding sensitivity.</w:t>
            </w:r>
          </w:p>
        </w:tc>
      </w:tr>
    </w:tbl>
    <w:p w14:paraId="0EEF4957">
      <w:pPr>
        <w:keepNext w:val="0"/>
        <w:keepLines w:val="0"/>
        <w:widowControl w:val="0"/>
        <w:kinsoku/>
        <w:wordWrap/>
        <w:overflowPunct/>
        <w:topLinePunct w:val="0"/>
        <w:autoSpaceDE/>
        <w:autoSpaceDN/>
        <w:bidi w:val="0"/>
        <w:adjustRightInd/>
        <w:snapToGrid/>
        <w:spacing w:before="60" w:after="120" w:line="480" w:lineRule="auto"/>
        <w:textAlignment w:val="auto"/>
      </w:pPr>
      <w:r>
        <w:rPr>
          <w:rFonts w:ascii="Times New Roman" w:hAnsi="Times New Roman" w:eastAsia="Times New Roman" w:cs="Times New Roman"/>
          <w:i/>
          <w:iCs/>
          <w:sz w:val="20"/>
          <w:szCs w:val="20"/>
        </w:rPr>
        <w:t>ICD, International Classification of Diseases; AKI, acute kidney injury; KDIGO, Kidney Disease: Improving Global Outcomes; MAP, mean arterial pressure; PSM, propensity score matching; IPTW, inverse probability of treatment weighting; SOFA, Sequential Organ Failure Assessment.</w:t>
      </w:r>
    </w:p>
    <w:p w14:paraId="0B1E65E3">
      <w:pPr>
        <w:keepNext w:val="0"/>
        <w:keepLines w:val="0"/>
        <w:widowControl w:val="0"/>
        <w:kinsoku/>
        <w:wordWrap/>
        <w:overflowPunct/>
        <w:topLinePunct w:val="0"/>
        <w:autoSpaceDE/>
        <w:autoSpaceDN/>
        <w:bidi w:val="0"/>
        <w:adjustRightInd/>
        <w:snapToGrid/>
        <w:spacing w:line="480" w:lineRule="auto"/>
        <w:textAlignment w:val="auto"/>
      </w:pPr>
    </w:p>
    <w:p w14:paraId="0F0A81B4">
      <w:pPr>
        <w:keepNext w:val="0"/>
        <w:keepLines w:val="0"/>
        <w:widowControl w:val="0"/>
        <w:kinsoku/>
        <w:wordWrap/>
        <w:overflowPunct/>
        <w:topLinePunct w:val="0"/>
        <w:autoSpaceDE/>
        <w:autoSpaceDN/>
        <w:bidi w:val="0"/>
        <w:adjustRightInd/>
        <w:snapToGrid/>
        <w:spacing w:before="120" w:after="80" w:line="480" w:lineRule="auto"/>
        <w:jc w:val="left"/>
        <w:textAlignment w:val="auto"/>
        <w:rPr>
          <w:sz w:val="24"/>
          <w:szCs w:val="24"/>
        </w:rPr>
      </w:pPr>
      <w:r>
        <w:rPr>
          <w:rFonts w:hint="default" w:ascii="Times New Roman Bold" w:hAnsi="Times New Roman Bold" w:cs="Times New Roman Bold"/>
          <w:b/>
          <w:bCs/>
          <w:sz w:val="24"/>
          <w:szCs w:val="24"/>
        </w:rPr>
        <w:t>Supplementary Table S2. Baseline characteristics of the unmatched analytic cohort, by treatment assignment.</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601"/>
        <w:gridCol w:w="1664"/>
        <w:gridCol w:w="1665"/>
        <w:gridCol w:w="1667"/>
        <w:gridCol w:w="763"/>
      </w:tblGrid>
      <w:tr w14:paraId="23B4DF46">
        <w:tc>
          <w:tcPr>
            <w:tcW w:w="3700" w:type="dxa"/>
            <w:tcBorders>
              <w:top w:val="single" w:color="000000" w:sz="12" w:space="0"/>
              <w:left w:val="nil"/>
              <w:bottom w:val="single" w:color="000000" w:sz="6" w:space="0"/>
              <w:right w:val="nil"/>
            </w:tcBorders>
            <w:tcMar>
              <w:top w:w="60" w:type="dxa"/>
              <w:left w:w="100" w:type="dxa"/>
              <w:bottom w:w="60" w:type="dxa"/>
              <w:right w:w="100" w:type="dxa"/>
            </w:tcMar>
            <w:vAlign w:val="center"/>
          </w:tcPr>
          <w:p w14:paraId="509D581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Characteristic</w:t>
            </w:r>
          </w:p>
        </w:tc>
        <w:tc>
          <w:tcPr>
            <w:tcW w:w="1700" w:type="dxa"/>
            <w:tcBorders>
              <w:top w:val="single" w:color="000000" w:sz="12" w:space="0"/>
              <w:left w:val="nil"/>
              <w:bottom w:val="single" w:color="000000" w:sz="6" w:space="0"/>
              <w:right w:val="nil"/>
            </w:tcBorders>
            <w:tcMar>
              <w:top w:w="60" w:type="dxa"/>
              <w:left w:w="100" w:type="dxa"/>
              <w:bottom w:w="60" w:type="dxa"/>
              <w:right w:w="100" w:type="dxa"/>
            </w:tcMar>
            <w:vAlign w:val="center"/>
          </w:tcPr>
          <w:p w14:paraId="4B9327D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Overall
(N = 6,759)</w:t>
            </w:r>
          </w:p>
        </w:tc>
        <w:tc>
          <w:tcPr>
            <w:tcW w:w="1700" w:type="dxa"/>
            <w:tcBorders>
              <w:top w:val="single" w:color="000000" w:sz="12" w:space="0"/>
              <w:left w:val="nil"/>
              <w:bottom w:val="single" w:color="000000" w:sz="6" w:space="0"/>
              <w:right w:val="nil"/>
            </w:tcBorders>
            <w:tcMar>
              <w:top w:w="60" w:type="dxa"/>
              <w:left w:w="100" w:type="dxa"/>
              <w:bottom w:w="60" w:type="dxa"/>
              <w:right w:w="100" w:type="dxa"/>
            </w:tcMar>
            <w:vAlign w:val="center"/>
          </w:tcPr>
          <w:p w14:paraId="4F64530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Control
(N = 5,092)</w:t>
            </w:r>
          </w:p>
        </w:tc>
        <w:tc>
          <w:tcPr>
            <w:tcW w:w="1700" w:type="dxa"/>
            <w:tcBorders>
              <w:top w:val="single" w:color="000000" w:sz="12" w:space="0"/>
              <w:left w:val="nil"/>
              <w:bottom w:val="single" w:color="000000" w:sz="6" w:space="0"/>
              <w:right w:val="nil"/>
            </w:tcBorders>
            <w:tcMar>
              <w:top w:w="60" w:type="dxa"/>
              <w:left w:w="100" w:type="dxa"/>
              <w:bottom w:w="60" w:type="dxa"/>
              <w:right w:w="100" w:type="dxa"/>
            </w:tcMar>
            <w:vAlign w:val="center"/>
          </w:tcPr>
          <w:p w14:paraId="5303C0C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Diuretic
(N = 1,667)</w:t>
            </w:r>
          </w:p>
        </w:tc>
        <w:tc>
          <w:tcPr>
            <w:tcW w:w="560" w:type="dxa"/>
            <w:tcBorders>
              <w:top w:val="single" w:color="000000" w:sz="12" w:space="0"/>
              <w:left w:val="nil"/>
              <w:bottom w:val="single" w:color="000000" w:sz="6" w:space="0"/>
              <w:right w:val="nil"/>
            </w:tcBorders>
            <w:tcMar>
              <w:top w:w="60" w:type="dxa"/>
              <w:left w:w="100" w:type="dxa"/>
              <w:bottom w:w="60" w:type="dxa"/>
              <w:right w:w="100" w:type="dxa"/>
            </w:tcMar>
            <w:vAlign w:val="center"/>
          </w:tcPr>
          <w:p w14:paraId="414A029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p</w:t>
            </w:r>
          </w:p>
        </w:tc>
      </w:tr>
      <w:tr w14:paraId="582F2BDC">
        <w:tc>
          <w:tcPr>
            <w:tcW w:w="3700" w:type="dxa"/>
            <w:tcBorders>
              <w:top w:val="nil"/>
              <w:left w:val="nil"/>
              <w:bottom w:val="nil"/>
              <w:right w:val="nil"/>
            </w:tcBorders>
            <w:tcMar>
              <w:top w:w="60" w:type="dxa"/>
              <w:left w:w="100" w:type="dxa"/>
              <w:bottom w:w="60" w:type="dxa"/>
              <w:right w:w="100" w:type="dxa"/>
            </w:tcMar>
            <w:vAlign w:val="center"/>
          </w:tcPr>
          <w:p w14:paraId="45E9C77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iCs/>
                <w:sz w:val="20"/>
                <w:szCs w:val="20"/>
              </w:rPr>
              <w:t>Demographics</w:t>
            </w:r>
          </w:p>
        </w:tc>
        <w:tc>
          <w:tcPr>
            <w:tcW w:w="1700" w:type="dxa"/>
            <w:tcBorders>
              <w:top w:val="nil"/>
              <w:left w:val="nil"/>
              <w:bottom w:val="nil"/>
              <w:right w:val="nil"/>
            </w:tcBorders>
            <w:tcMar>
              <w:top w:w="60" w:type="dxa"/>
              <w:left w:w="100" w:type="dxa"/>
              <w:bottom w:w="60" w:type="dxa"/>
              <w:right w:w="100" w:type="dxa"/>
            </w:tcMar>
            <w:vAlign w:val="center"/>
          </w:tcPr>
          <w:p w14:paraId="73375A50">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0" w:type="dxa"/>
            <w:tcBorders>
              <w:top w:val="nil"/>
              <w:left w:val="nil"/>
              <w:bottom w:val="nil"/>
              <w:right w:val="nil"/>
            </w:tcBorders>
            <w:tcMar>
              <w:top w:w="60" w:type="dxa"/>
              <w:left w:w="100" w:type="dxa"/>
              <w:bottom w:w="60" w:type="dxa"/>
              <w:right w:w="100" w:type="dxa"/>
            </w:tcMar>
            <w:vAlign w:val="center"/>
          </w:tcPr>
          <w:p w14:paraId="40D58890">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0" w:type="dxa"/>
            <w:tcBorders>
              <w:top w:val="nil"/>
              <w:left w:val="nil"/>
              <w:bottom w:val="nil"/>
              <w:right w:val="nil"/>
            </w:tcBorders>
            <w:tcMar>
              <w:top w:w="60" w:type="dxa"/>
              <w:left w:w="100" w:type="dxa"/>
              <w:bottom w:w="60" w:type="dxa"/>
              <w:right w:w="100" w:type="dxa"/>
            </w:tcMar>
            <w:vAlign w:val="center"/>
          </w:tcPr>
          <w:p w14:paraId="6446269B">
            <w:pPr>
              <w:keepNext w:val="0"/>
              <w:keepLines w:val="0"/>
              <w:widowControl w:val="0"/>
              <w:kinsoku/>
              <w:wordWrap/>
              <w:overflowPunct/>
              <w:topLinePunct w:val="0"/>
              <w:autoSpaceDE/>
              <w:autoSpaceDN/>
              <w:bidi w:val="0"/>
              <w:adjustRightInd/>
              <w:snapToGrid/>
              <w:spacing w:line="480" w:lineRule="auto"/>
              <w:jc w:val="center"/>
              <w:textAlignment w:val="auto"/>
            </w:pPr>
          </w:p>
        </w:tc>
        <w:tc>
          <w:tcPr>
            <w:tcW w:w="560" w:type="dxa"/>
            <w:tcBorders>
              <w:top w:val="nil"/>
              <w:left w:val="nil"/>
              <w:bottom w:val="nil"/>
              <w:right w:val="nil"/>
            </w:tcBorders>
            <w:tcMar>
              <w:top w:w="60" w:type="dxa"/>
              <w:left w:w="100" w:type="dxa"/>
              <w:bottom w:w="60" w:type="dxa"/>
              <w:right w:w="100" w:type="dxa"/>
            </w:tcMar>
            <w:vAlign w:val="center"/>
          </w:tcPr>
          <w:p w14:paraId="2B0FA61D">
            <w:pPr>
              <w:keepNext w:val="0"/>
              <w:keepLines w:val="0"/>
              <w:widowControl w:val="0"/>
              <w:kinsoku/>
              <w:wordWrap/>
              <w:overflowPunct/>
              <w:topLinePunct w:val="0"/>
              <w:autoSpaceDE/>
              <w:autoSpaceDN/>
              <w:bidi w:val="0"/>
              <w:adjustRightInd/>
              <w:snapToGrid/>
              <w:spacing w:line="480" w:lineRule="auto"/>
              <w:jc w:val="center"/>
              <w:textAlignment w:val="auto"/>
            </w:pPr>
          </w:p>
        </w:tc>
      </w:tr>
      <w:tr w14:paraId="76A7199C">
        <w:tc>
          <w:tcPr>
            <w:tcW w:w="3700" w:type="dxa"/>
            <w:tcBorders>
              <w:top w:val="nil"/>
              <w:left w:val="nil"/>
              <w:bottom w:val="nil"/>
              <w:right w:val="nil"/>
            </w:tcBorders>
            <w:tcMar>
              <w:top w:w="60" w:type="dxa"/>
              <w:left w:w="100" w:type="dxa"/>
              <w:bottom w:w="60" w:type="dxa"/>
              <w:right w:w="100" w:type="dxa"/>
            </w:tcMar>
            <w:vAlign w:val="center"/>
          </w:tcPr>
          <w:p w14:paraId="6B5F7D0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Age, years</w:t>
            </w:r>
          </w:p>
        </w:tc>
        <w:tc>
          <w:tcPr>
            <w:tcW w:w="1700" w:type="dxa"/>
            <w:tcBorders>
              <w:top w:val="nil"/>
              <w:left w:val="nil"/>
              <w:bottom w:val="nil"/>
              <w:right w:val="nil"/>
            </w:tcBorders>
            <w:tcMar>
              <w:top w:w="60" w:type="dxa"/>
              <w:left w:w="100" w:type="dxa"/>
              <w:bottom w:w="60" w:type="dxa"/>
              <w:right w:w="100" w:type="dxa"/>
            </w:tcMar>
            <w:vAlign w:val="center"/>
          </w:tcPr>
          <w:p w14:paraId="16A428B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68 (57, 78)</w:t>
            </w:r>
          </w:p>
        </w:tc>
        <w:tc>
          <w:tcPr>
            <w:tcW w:w="1700" w:type="dxa"/>
            <w:tcBorders>
              <w:top w:val="nil"/>
              <w:left w:val="nil"/>
              <w:bottom w:val="nil"/>
              <w:right w:val="nil"/>
            </w:tcBorders>
            <w:tcMar>
              <w:top w:w="60" w:type="dxa"/>
              <w:left w:w="100" w:type="dxa"/>
              <w:bottom w:w="60" w:type="dxa"/>
              <w:right w:w="100" w:type="dxa"/>
            </w:tcMar>
            <w:vAlign w:val="center"/>
          </w:tcPr>
          <w:p w14:paraId="116844C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68 (56, 79)</w:t>
            </w:r>
          </w:p>
        </w:tc>
        <w:tc>
          <w:tcPr>
            <w:tcW w:w="1700" w:type="dxa"/>
            <w:tcBorders>
              <w:top w:val="nil"/>
              <w:left w:val="nil"/>
              <w:bottom w:val="nil"/>
              <w:right w:val="nil"/>
            </w:tcBorders>
            <w:tcMar>
              <w:top w:w="60" w:type="dxa"/>
              <w:left w:w="100" w:type="dxa"/>
              <w:bottom w:w="60" w:type="dxa"/>
              <w:right w:w="100" w:type="dxa"/>
            </w:tcMar>
            <w:vAlign w:val="center"/>
          </w:tcPr>
          <w:p w14:paraId="0A142CC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69 (59, 78)</w:t>
            </w:r>
          </w:p>
        </w:tc>
        <w:tc>
          <w:tcPr>
            <w:tcW w:w="560" w:type="dxa"/>
            <w:tcBorders>
              <w:top w:val="nil"/>
              <w:left w:val="nil"/>
              <w:bottom w:val="nil"/>
              <w:right w:val="nil"/>
            </w:tcBorders>
            <w:tcMar>
              <w:top w:w="60" w:type="dxa"/>
              <w:left w:w="100" w:type="dxa"/>
              <w:bottom w:w="60" w:type="dxa"/>
              <w:right w:w="100" w:type="dxa"/>
            </w:tcMar>
            <w:vAlign w:val="center"/>
          </w:tcPr>
          <w:p w14:paraId="5867FE8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0.085</w:t>
            </w:r>
          </w:p>
        </w:tc>
      </w:tr>
      <w:tr w14:paraId="597CE795">
        <w:tc>
          <w:tcPr>
            <w:tcW w:w="3700" w:type="dxa"/>
            <w:tcBorders>
              <w:top w:val="nil"/>
              <w:left w:val="nil"/>
              <w:bottom w:val="nil"/>
              <w:right w:val="nil"/>
            </w:tcBorders>
            <w:tcMar>
              <w:top w:w="60" w:type="dxa"/>
              <w:left w:w="100" w:type="dxa"/>
              <w:bottom w:w="60" w:type="dxa"/>
              <w:right w:w="100" w:type="dxa"/>
            </w:tcMar>
            <w:vAlign w:val="center"/>
          </w:tcPr>
          <w:p w14:paraId="297D62F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Male sex, n (%)</w:t>
            </w:r>
          </w:p>
        </w:tc>
        <w:tc>
          <w:tcPr>
            <w:tcW w:w="1700" w:type="dxa"/>
            <w:tcBorders>
              <w:top w:val="nil"/>
              <w:left w:val="nil"/>
              <w:bottom w:val="nil"/>
              <w:right w:val="nil"/>
            </w:tcBorders>
            <w:tcMar>
              <w:top w:w="60" w:type="dxa"/>
              <w:left w:w="100" w:type="dxa"/>
              <w:bottom w:w="60" w:type="dxa"/>
              <w:right w:w="100" w:type="dxa"/>
            </w:tcMar>
            <w:vAlign w:val="center"/>
          </w:tcPr>
          <w:p w14:paraId="0FD768D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3,901 (58)</w:t>
            </w:r>
          </w:p>
        </w:tc>
        <w:tc>
          <w:tcPr>
            <w:tcW w:w="1700" w:type="dxa"/>
            <w:tcBorders>
              <w:top w:val="nil"/>
              <w:left w:val="nil"/>
              <w:bottom w:val="nil"/>
              <w:right w:val="nil"/>
            </w:tcBorders>
            <w:tcMar>
              <w:top w:w="60" w:type="dxa"/>
              <w:left w:w="100" w:type="dxa"/>
              <w:bottom w:w="60" w:type="dxa"/>
              <w:right w:w="100" w:type="dxa"/>
            </w:tcMar>
            <w:vAlign w:val="center"/>
          </w:tcPr>
          <w:p w14:paraId="560135A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2,907 (57)</w:t>
            </w:r>
          </w:p>
        </w:tc>
        <w:tc>
          <w:tcPr>
            <w:tcW w:w="1700" w:type="dxa"/>
            <w:tcBorders>
              <w:top w:val="nil"/>
              <w:left w:val="nil"/>
              <w:bottom w:val="nil"/>
              <w:right w:val="nil"/>
            </w:tcBorders>
            <w:tcMar>
              <w:top w:w="60" w:type="dxa"/>
              <w:left w:w="100" w:type="dxa"/>
              <w:bottom w:w="60" w:type="dxa"/>
              <w:right w:w="100" w:type="dxa"/>
            </w:tcMar>
            <w:vAlign w:val="center"/>
          </w:tcPr>
          <w:p w14:paraId="0F51064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994 (60)</w:t>
            </w:r>
          </w:p>
        </w:tc>
        <w:tc>
          <w:tcPr>
            <w:tcW w:w="560" w:type="dxa"/>
            <w:tcBorders>
              <w:top w:val="nil"/>
              <w:left w:val="nil"/>
              <w:bottom w:val="nil"/>
              <w:right w:val="nil"/>
            </w:tcBorders>
            <w:tcMar>
              <w:top w:w="60" w:type="dxa"/>
              <w:left w:w="100" w:type="dxa"/>
              <w:bottom w:w="60" w:type="dxa"/>
              <w:right w:w="100" w:type="dxa"/>
            </w:tcMar>
            <w:vAlign w:val="center"/>
          </w:tcPr>
          <w:p w14:paraId="04A2575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0.069</w:t>
            </w:r>
          </w:p>
        </w:tc>
      </w:tr>
      <w:tr w14:paraId="2A747256">
        <w:tc>
          <w:tcPr>
            <w:tcW w:w="3700" w:type="dxa"/>
            <w:tcBorders>
              <w:top w:val="nil"/>
              <w:left w:val="nil"/>
              <w:bottom w:val="nil"/>
              <w:right w:val="nil"/>
            </w:tcBorders>
            <w:tcMar>
              <w:top w:w="60" w:type="dxa"/>
              <w:left w:w="100" w:type="dxa"/>
              <w:bottom w:w="60" w:type="dxa"/>
              <w:right w:w="100" w:type="dxa"/>
            </w:tcMar>
            <w:vAlign w:val="center"/>
          </w:tcPr>
          <w:p w14:paraId="2ACE973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Weight, kg</w:t>
            </w:r>
          </w:p>
        </w:tc>
        <w:tc>
          <w:tcPr>
            <w:tcW w:w="1700" w:type="dxa"/>
            <w:tcBorders>
              <w:top w:val="nil"/>
              <w:left w:val="nil"/>
              <w:bottom w:val="nil"/>
              <w:right w:val="nil"/>
            </w:tcBorders>
            <w:tcMar>
              <w:top w:w="60" w:type="dxa"/>
              <w:left w:w="100" w:type="dxa"/>
              <w:bottom w:w="60" w:type="dxa"/>
              <w:right w:w="100" w:type="dxa"/>
            </w:tcMar>
            <w:vAlign w:val="center"/>
          </w:tcPr>
          <w:p w14:paraId="4A4A7CD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80 (67, 95)</w:t>
            </w:r>
          </w:p>
        </w:tc>
        <w:tc>
          <w:tcPr>
            <w:tcW w:w="1700" w:type="dxa"/>
            <w:tcBorders>
              <w:top w:val="nil"/>
              <w:left w:val="nil"/>
              <w:bottom w:val="nil"/>
              <w:right w:val="nil"/>
            </w:tcBorders>
            <w:tcMar>
              <w:top w:w="60" w:type="dxa"/>
              <w:left w:w="100" w:type="dxa"/>
              <w:bottom w:w="60" w:type="dxa"/>
              <w:right w:w="100" w:type="dxa"/>
            </w:tcMar>
            <w:vAlign w:val="center"/>
          </w:tcPr>
          <w:p w14:paraId="4F1767B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78 (66, 94)</w:t>
            </w:r>
          </w:p>
        </w:tc>
        <w:tc>
          <w:tcPr>
            <w:tcW w:w="1700" w:type="dxa"/>
            <w:tcBorders>
              <w:top w:val="nil"/>
              <w:left w:val="nil"/>
              <w:bottom w:val="nil"/>
              <w:right w:val="nil"/>
            </w:tcBorders>
            <w:tcMar>
              <w:top w:w="60" w:type="dxa"/>
              <w:left w:w="100" w:type="dxa"/>
              <w:bottom w:w="60" w:type="dxa"/>
              <w:right w:w="100" w:type="dxa"/>
            </w:tcMar>
            <w:vAlign w:val="center"/>
          </w:tcPr>
          <w:p w14:paraId="3AFB699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84 (70, 100)</w:t>
            </w:r>
          </w:p>
        </w:tc>
        <w:tc>
          <w:tcPr>
            <w:tcW w:w="560" w:type="dxa"/>
            <w:tcBorders>
              <w:top w:val="nil"/>
              <w:left w:val="nil"/>
              <w:bottom w:val="nil"/>
              <w:right w:val="nil"/>
            </w:tcBorders>
            <w:tcMar>
              <w:top w:w="60" w:type="dxa"/>
              <w:left w:w="100" w:type="dxa"/>
              <w:bottom w:w="60" w:type="dxa"/>
              <w:right w:w="100" w:type="dxa"/>
            </w:tcMar>
            <w:vAlign w:val="center"/>
          </w:tcPr>
          <w:p w14:paraId="44905F7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&lt;0.001</w:t>
            </w:r>
          </w:p>
        </w:tc>
      </w:tr>
      <w:tr w14:paraId="3364A417">
        <w:tc>
          <w:tcPr>
            <w:tcW w:w="3700" w:type="dxa"/>
            <w:tcBorders>
              <w:top w:val="nil"/>
              <w:left w:val="nil"/>
              <w:bottom w:val="nil"/>
              <w:right w:val="nil"/>
            </w:tcBorders>
            <w:tcMar>
              <w:top w:w="60" w:type="dxa"/>
              <w:left w:w="100" w:type="dxa"/>
              <w:bottom w:w="60" w:type="dxa"/>
              <w:right w:w="100" w:type="dxa"/>
            </w:tcMar>
            <w:vAlign w:val="center"/>
          </w:tcPr>
          <w:p w14:paraId="357DA64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iCs/>
                <w:sz w:val="20"/>
                <w:szCs w:val="20"/>
              </w:rPr>
              <w:t>ICU and vasopressor context</w:t>
            </w:r>
          </w:p>
        </w:tc>
        <w:tc>
          <w:tcPr>
            <w:tcW w:w="1700" w:type="dxa"/>
            <w:tcBorders>
              <w:top w:val="nil"/>
              <w:left w:val="nil"/>
              <w:bottom w:val="nil"/>
              <w:right w:val="nil"/>
            </w:tcBorders>
            <w:tcMar>
              <w:top w:w="60" w:type="dxa"/>
              <w:left w:w="100" w:type="dxa"/>
              <w:bottom w:w="60" w:type="dxa"/>
              <w:right w:w="100" w:type="dxa"/>
            </w:tcMar>
            <w:vAlign w:val="center"/>
          </w:tcPr>
          <w:p w14:paraId="60C96F09">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0" w:type="dxa"/>
            <w:tcBorders>
              <w:top w:val="nil"/>
              <w:left w:val="nil"/>
              <w:bottom w:val="nil"/>
              <w:right w:val="nil"/>
            </w:tcBorders>
            <w:tcMar>
              <w:top w:w="60" w:type="dxa"/>
              <w:left w:w="100" w:type="dxa"/>
              <w:bottom w:w="60" w:type="dxa"/>
              <w:right w:w="100" w:type="dxa"/>
            </w:tcMar>
            <w:vAlign w:val="center"/>
          </w:tcPr>
          <w:p w14:paraId="394DD9A6">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0" w:type="dxa"/>
            <w:tcBorders>
              <w:top w:val="nil"/>
              <w:left w:val="nil"/>
              <w:bottom w:val="nil"/>
              <w:right w:val="nil"/>
            </w:tcBorders>
            <w:tcMar>
              <w:top w:w="60" w:type="dxa"/>
              <w:left w:w="100" w:type="dxa"/>
              <w:bottom w:w="60" w:type="dxa"/>
              <w:right w:w="100" w:type="dxa"/>
            </w:tcMar>
            <w:vAlign w:val="center"/>
          </w:tcPr>
          <w:p w14:paraId="53D1C10B">
            <w:pPr>
              <w:keepNext w:val="0"/>
              <w:keepLines w:val="0"/>
              <w:widowControl w:val="0"/>
              <w:kinsoku/>
              <w:wordWrap/>
              <w:overflowPunct/>
              <w:topLinePunct w:val="0"/>
              <w:autoSpaceDE/>
              <w:autoSpaceDN/>
              <w:bidi w:val="0"/>
              <w:adjustRightInd/>
              <w:snapToGrid/>
              <w:spacing w:line="480" w:lineRule="auto"/>
              <w:jc w:val="center"/>
              <w:textAlignment w:val="auto"/>
            </w:pPr>
          </w:p>
        </w:tc>
        <w:tc>
          <w:tcPr>
            <w:tcW w:w="560" w:type="dxa"/>
            <w:tcBorders>
              <w:top w:val="nil"/>
              <w:left w:val="nil"/>
              <w:bottom w:val="nil"/>
              <w:right w:val="nil"/>
            </w:tcBorders>
            <w:tcMar>
              <w:top w:w="60" w:type="dxa"/>
              <w:left w:w="100" w:type="dxa"/>
              <w:bottom w:w="60" w:type="dxa"/>
              <w:right w:w="100" w:type="dxa"/>
            </w:tcMar>
            <w:vAlign w:val="center"/>
          </w:tcPr>
          <w:p w14:paraId="1E0DD78E">
            <w:pPr>
              <w:keepNext w:val="0"/>
              <w:keepLines w:val="0"/>
              <w:widowControl w:val="0"/>
              <w:kinsoku/>
              <w:wordWrap/>
              <w:overflowPunct/>
              <w:topLinePunct w:val="0"/>
              <w:autoSpaceDE/>
              <w:autoSpaceDN/>
              <w:bidi w:val="0"/>
              <w:adjustRightInd/>
              <w:snapToGrid/>
              <w:spacing w:line="480" w:lineRule="auto"/>
              <w:jc w:val="center"/>
              <w:textAlignment w:val="auto"/>
            </w:pPr>
          </w:p>
        </w:tc>
      </w:tr>
      <w:tr w14:paraId="1F222FD6">
        <w:tc>
          <w:tcPr>
            <w:tcW w:w="3700" w:type="dxa"/>
            <w:tcBorders>
              <w:top w:val="nil"/>
              <w:left w:val="nil"/>
              <w:bottom w:val="nil"/>
              <w:right w:val="nil"/>
            </w:tcBorders>
            <w:tcMar>
              <w:top w:w="60" w:type="dxa"/>
              <w:left w:w="100" w:type="dxa"/>
              <w:bottom w:w="60" w:type="dxa"/>
              <w:right w:w="100" w:type="dxa"/>
            </w:tcMar>
            <w:vAlign w:val="center"/>
          </w:tcPr>
          <w:p w14:paraId="629323D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Hours since ICU admission</w:t>
            </w:r>
          </w:p>
        </w:tc>
        <w:tc>
          <w:tcPr>
            <w:tcW w:w="1700" w:type="dxa"/>
            <w:tcBorders>
              <w:top w:val="nil"/>
              <w:left w:val="nil"/>
              <w:bottom w:val="nil"/>
              <w:right w:val="nil"/>
            </w:tcBorders>
            <w:tcMar>
              <w:top w:w="60" w:type="dxa"/>
              <w:left w:w="100" w:type="dxa"/>
              <w:bottom w:w="60" w:type="dxa"/>
              <w:right w:w="100" w:type="dxa"/>
            </w:tcMar>
            <w:vAlign w:val="center"/>
          </w:tcPr>
          <w:p w14:paraId="28C164F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19 (8, 40)</w:t>
            </w:r>
          </w:p>
        </w:tc>
        <w:tc>
          <w:tcPr>
            <w:tcW w:w="1700" w:type="dxa"/>
            <w:tcBorders>
              <w:top w:val="nil"/>
              <w:left w:val="nil"/>
              <w:bottom w:val="nil"/>
              <w:right w:val="nil"/>
            </w:tcBorders>
            <w:tcMar>
              <w:top w:w="60" w:type="dxa"/>
              <w:left w:w="100" w:type="dxa"/>
              <w:bottom w:w="60" w:type="dxa"/>
              <w:right w:w="100" w:type="dxa"/>
            </w:tcMar>
            <w:vAlign w:val="center"/>
          </w:tcPr>
          <w:p w14:paraId="41D0738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16 (7, 32)</w:t>
            </w:r>
          </w:p>
        </w:tc>
        <w:tc>
          <w:tcPr>
            <w:tcW w:w="1700" w:type="dxa"/>
            <w:tcBorders>
              <w:top w:val="nil"/>
              <w:left w:val="nil"/>
              <w:bottom w:val="nil"/>
              <w:right w:val="nil"/>
            </w:tcBorders>
            <w:tcMar>
              <w:top w:w="60" w:type="dxa"/>
              <w:left w:w="100" w:type="dxa"/>
              <w:bottom w:w="60" w:type="dxa"/>
              <w:right w:w="100" w:type="dxa"/>
            </w:tcMar>
            <w:vAlign w:val="center"/>
          </w:tcPr>
          <w:p w14:paraId="2598789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32 (16, 65)</w:t>
            </w:r>
          </w:p>
        </w:tc>
        <w:tc>
          <w:tcPr>
            <w:tcW w:w="560" w:type="dxa"/>
            <w:tcBorders>
              <w:top w:val="nil"/>
              <w:left w:val="nil"/>
              <w:bottom w:val="nil"/>
              <w:right w:val="nil"/>
            </w:tcBorders>
            <w:tcMar>
              <w:top w:w="60" w:type="dxa"/>
              <w:left w:w="100" w:type="dxa"/>
              <w:bottom w:w="60" w:type="dxa"/>
              <w:right w:w="100" w:type="dxa"/>
            </w:tcMar>
            <w:vAlign w:val="center"/>
          </w:tcPr>
          <w:p w14:paraId="1BD62F7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&lt;0.001</w:t>
            </w:r>
          </w:p>
        </w:tc>
      </w:tr>
      <w:tr w14:paraId="74F470E0">
        <w:tc>
          <w:tcPr>
            <w:tcW w:w="3700" w:type="dxa"/>
            <w:tcBorders>
              <w:top w:val="nil"/>
              <w:left w:val="nil"/>
              <w:bottom w:val="nil"/>
              <w:right w:val="nil"/>
            </w:tcBorders>
            <w:tcMar>
              <w:top w:w="60" w:type="dxa"/>
              <w:left w:w="100" w:type="dxa"/>
              <w:bottom w:w="60" w:type="dxa"/>
              <w:right w:w="100" w:type="dxa"/>
            </w:tcMar>
            <w:vAlign w:val="center"/>
          </w:tcPr>
          <w:p w14:paraId="4ADAE02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Hours since first norepinephrine</w:t>
            </w:r>
          </w:p>
        </w:tc>
        <w:tc>
          <w:tcPr>
            <w:tcW w:w="1700" w:type="dxa"/>
            <w:tcBorders>
              <w:top w:val="nil"/>
              <w:left w:val="nil"/>
              <w:bottom w:val="nil"/>
              <w:right w:val="nil"/>
            </w:tcBorders>
            <w:tcMar>
              <w:top w:w="60" w:type="dxa"/>
              <w:left w:w="100" w:type="dxa"/>
              <w:bottom w:w="60" w:type="dxa"/>
              <w:right w:w="100" w:type="dxa"/>
            </w:tcMar>
            <w:vAlign w:val="center"/>
          </w:tcPr>
          <w:p w14:paraId="0679E71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11 (4, 27)</w:t>
            </w:r>
          </w:p>
        </w:tc>
        <w:tc>
          <w:tcPr>
            <w:tcW w:w="1700" w:type="dxa"/>
            <w:tcBorders>
              <w:top w:val="nil"/>
              <w:left w:val="nil"/>
              <w:bottom w:val="nil"/>
              <w:right w:val="nil"/>
            </w:tcBorders>
            <w:tcMar>
              <w:top w:w="60" w:type="dxa"/>
              <w:left w:w="100" w:type="dxa"/>
              <w:bottom w:w="60" w:type="dxa"/>
              <w:right w:w="100" w:type="dxa"/>
            </w:tcMar>
            <w:vAlign w:val="center"/>
          </w:tcPr>
          <w:p w14:paraId="710FFA9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9 (3, 21)</w:t>
            </w:r>
          </w:p>
        </w:tc>
        <w:tc>
          <w:tcPr>
            <w:tcW w:w="1700" w:type="dxa"/>
            <w:tcBorders>
              <w:top w:val="nil"/>
              <w:left w:val="nil"/>
              <w:bottom w:val="nil"/>
              <w:right w:val="nil"/>
            </w:tcBorders>
            <w:tcMar>
              <w:top w:w="60" w:type="dxa"/>
              <w:left w:w="100" w:type="dxa"/>
              <w:bottom w:w="60" w:type="dxa"/>
              <w:right w:w="100" w:type="dxa"/>
            </w:tcMar>
            <w:vAlign w:val="center"/>
          </w:tcPr>
          <w:p w14:paraId="7F219AA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24 (9, 57)</w:t>
            </w:r>
          </w:p>
        </w:tc>
        <w:tc>
          <w:tcPr>
            <w:tcW w:w="560" w:type="dxa"/>
            <w:tcBorders>
              <w:top w:val="nil"/>
              <w:left w:val="nil"/>
              <w:bottom w:val="nil"/>
              <w:right w:val="nil"/>
            </w:tcBorders>
            <w:tcMar>
              <w:top w:w="60" w:type="dxa"/>
              <w:left w:w="100" w:type="dxa"/>
              <w:bottom w:w="60" w:type="dxa"/>
              <w:right w:w="100" w:type="dxa"/>
            </w:tcMar>
            <w:vAlign w:val="center"/>
          </w:tcPr>
          <w:p w14:paraId="1E94525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&lt;0.001</w:t>
            </w:r>
          </w:p>
        </w:tc>
      </w:tr>
      <w:tr w14:paraId="3A07D05C">
        <w:tc>
          <w:tcPr>
            <w:tcW w:w="3700" w:type="dxa"/>
            <w:tcBorders>
              <w:top w:val="nil"/>
              <w:left w:val="nil"/>
              <w:bottom w:val="nil"/>
              <w:right w:val="nil"/>
            </w:tcBorders>
            <w:tcMar>
              <w:top w:w="60" w:type="dxa"/>
              <w:left w:w="100" w:type="dxa"/>
              <w:bottom w:w="60" w:type="dxa"/>
              <w:right w:w="100" w:type="dxa"/>
            </w:tcMar>
            <w:vAlign w:val="center"/>
          </w:tcPr>
          <w:p w14:paraId="161AB3F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Norepinephrine dose at index, μg/kg/min</w:t>
            </w:r>
          </w:p>
        </w:tc>
        <w:tc>
          <w:tcPr>
            <w:tcW w:w="1700" w:type="dxa"/>
            <w:tcBorders>
              <w:top w:val="nil"/>
              <w:left w:val="nil"/>
              <w:bottom w:val="nil"/>
              <w:right w:val="nil"/>
            </w:tcBorders>
            <w:tcMar>
              <w:top w:w="60" w:type="dxa"/>
              <w:left w:w="100" w:type="dxa"/>
              <w:bottom w:w="60" w:type="dxa"/>
              <w:right w:w="100" w:type="dxa"/>
            </w:tcMar>
            <w:vAlign w:val="center"/>
          </w:tcPr>
          <w:p w14:paraId="027EA51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0.07 (0.04, 0.14)</w:t>
            </w:r>
          </w:p>
        </w:tc>
        <w:tc>
          <w:tcPr>
            <w:tcW w:w="1700" w:type="dxa"/>
            <w:tcBorders>
              <w:top w:val="nil"/>
              <w:left w:val="nil"/>
              <w:bottom w:val="nil"/>
              <w:right w:val="nil"/>
            </w:tcBorders>
            <w:tcMar>
              <w:top w:w="60" w:type="dxa"/>
              <w:left w:w="100" w:type="dxa"/>
              <w:bottom w:w="60" w:type="dxa"/>
              <w:right w:w="100" w:type="dxa"/>
            </w:tcMar>
            <w:vAlign w:val="center"/>
          </w:tcPr>
          <w:p w14:paraId="0B85EC3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0.07 (0.04, 0.14)</w:t>
            </w:r>
          </w:p>
        </w:tc>
        <w:tc>
          <w:tcPr>
            <w:tcW w:w="1700" w:type="dxa"/>
            <w:tcBorders>
              <w:top w:val="nil"/>
              <w:left w:val="nil"/>
              <w:bottom w:val="nil"/>
              <w:right w:val="nil"/>
            </w:tcBorders>
            <w:tcMar>
              <w:top w:w="60" w:type="dxa"/>
              <w:left w:w="100" w:type="dxa"/>
              <w:bottom w:w="60" w:type="dxa"/>
              <w:right w:w="100" w:type="dxa"/>
            </w:tcMar>
            <w:vAlign w:val="center"/>
          </w:tcPr>
          <w:p w14:paraId="5BAF9E4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0.08 (0.04, 0.14)</w:t>
            </w:r>
          </w:p>
        </w:tc>
        <w:tc>
          <w:tcPr>
            <w:tcW w:w="560" w:type="dxa"/>
            <w:tcBorders>
              <w:top w:val="nil"/>
              <w:left w:val="nil"/>
              <w:bottom w:val="nil"/>
              <w:right w:val="nil"/>
            </w:tcBorders>
            <w:tcMar>
              <w:top w:w="60" w:type="dxa"/>
              <w:left w:w="100" w:type="dxa"/>
              <w:bottom w:w="60" w:type="dxa"/>
              <w:right w:w="100" w:type="dxa"/>
            </w:tcMar>
            <w:vAlign w:val="center"/>
          </w:tcPr>
          <w:p w14:paraId="1B39510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0.9</w:t>
            </w:r>
          </w:p>
        </w:tc>
      </w:tr>
      <w:tr w14:paraId="66B92481">
        <w:tc>
          <w:tcPr>
            <w:tcW w:w="3700" w:type="dxa"/>
            <w:tcBorders>
              <w:top w:val="nil"/>
              <w:left w:val="nil"/>
              <w:bottom w:val="nil"/>
              <w:right w:val="nil"/>
            </w:tcBorders>
            <w:tcMar>
              <w:top w:w="60" w:type="dxa"/>
              <w:left w:w="100" w:type="dxa"/>
              <w:bottom w:w="60" w:type="dxa"/>
              <w:right w:w="100" w:type="dxa"/>
            </w:tcMar>
            <w:vAlign w:val="center"/>
          </w:tcPr>
          <w:p w14:paraId="2210CD9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Norepinephrine trajectory class, n (%)</w:t>
            </w:r>
          </w:p>
        </w:tc>
        <w:tc>
          <w:tcPr>
            <w:tcW w:w="1700" w:type="dxa"/>
            <w:tcBorders>
              <w:top w:val="nil"/>
              <w:left w:val="nil"/>
              <w:bottom w:val="nil"/>
              <w:right w:val="nil"/>
            </w:tcBorders>
            <w:tcMar>
              <w:top w:w="60" w:type="dxa"/>
              <w:left w:w="100" w:type="dxa"/>
              <w:bottom w:w="60" w:type="dxa"/>
              <w:right w:w="100" w:type="dxa"/>
            </w:tcMar>
            <w:vAlign w:val="center"/>
          </w:tcPr>
          <w:p w14:paraId="207018F8">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0" w:type="dxa"/>
            <w:tcBorders>
              <w:top w:val="nil"/>
              <w:left w:val="nil"/>
              <w:bottom w:val="nil"/>
              <w:right w:val="nil"/>
            </w:tcBorders>
            <w:tcMar>
              <w:top w:w="60" w:type="dxa"/>
              <w:left w:w="100" w:type="dxa"/>
              <w:bottom w:w="60" w:type="dxa"/>
              <w:right w:w="100" w:type="dxa"/>
            </w:tcMar>
            <w:vAlign w:val="center"/>
          </w:tcPr>
          <w:p w14:paraId="311C4EA0">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0" w:type="dxa"/>
            <w:tcBorders>
              <w:top w:val="nil"/>
              <w:left w:val="nil"/>
              <w:bottom w:val="nil"/>
              <w:right w:val="nil"/>
            </w:tcBorders>
            <w:tcMar>
              <w:top w:w="60" w:type="dxa"/>
              <w:left w:w="100" w:type="dxa"/>
              <w:bottom w:w="60" w:type="dxa"/>
              <w:right w:w="100" w:type="dxa"/>
            </w:tcMar>
            <w:vAlign w:val="center"/>
          </w:tcPr>
          <w:p w14:paraId="68A98A43">
            <w:pPr>
              <w:keepNext w:val="0"/>
              <w:keepLines w:val="0"/>
              <w:widowControl w:val="0"/>
              <w:kinsoku/>
              <w:wordWrap/>
              <w:overflowPunct/>
              <w:topLinePunct w:val="0"/>
              <w:autoSpaceDE/>
              <w:autoSpaceDN/>
              <w:bidi w:val="0"/>
              <w:adjustRightInd/>
              <w:snapToGrid/>
              <w:spacing w:line="480" w:lineRule="auto"/>
              <w:jc w:val="center"/>
              <w:textAlignment w:val="auto"/>
            </w:pPr>
          </w:p>
        </w:tc>
        <w:tc>
          <w:tcPr>
            <w:tcW w:w="560" w:type="dxa"/>
            <w:tcBorders>
              <w:top w:val="nil"/>
              <w:left w:val="nil"/>
              <w:bottom w:val="nil"/>
              <w:right w:val="nil"/>
            </w:tcBorders>
            <w:tcMar>
              <w:top w:w="60" w:type="dxa"/>
              <w:left w:w="100" w:type="dxa"/>
              <w:bottom w:w="60" w:type="dxa"/>
              <w:right w:w="100" w:type="dxa"/>
            </w:tcMar>
            <w:vAlign w:val="center"/>
          </w:tcPr>
          <w:p w14:paraId="503365E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&lt;0.001</w:t>
            </w:r>
          </w:p>
        </w:tc>
      </w:tr>
      <w:tr w14:paraId="35BE78BF">
        <w:tc>
          <w:tcPr>
            <w:tcW w:w="3700" w:type="dxa"/>
            <w:tcBorders>
              <w:top w:val="nil"/>
              <w:left w:val="nil"/>
              <w:bottom w:val="nil"/>
              <w:right w:val="nil"/>
            </w:tcBorders>
            <w:tcMar>
              <w:top w:w="60" w:type="dxa"/>
              <w:left w:w="100" w:type="dxa"/>
              <w:bottom w:w="60" w:type="dxa"/>
              <w:right w:w="100" w:type="dxa"/>
            </w:tcMar>
            <w:vAlign w:val="center"/>
          </w:tcPr>
          <w:p w14:paraId="5BD2070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Unknown</w:t>
            </w:r>
          </w:p>
        </w:tc>
        <w:tc>
          <w:tcPr>
            <w:tcW w:w="1700" w:type="dxa"/>
            <w:tcBorders>
              <w:top w:val="nil"/>
              <w:left w:val="nil"/>
              <w:bottom w:val="nil"/>
              <w:right w:val="nil"/>
            </w:tcBorders>
            <w:tcMar>
              <w:top w:w="60" w:type="dxa"/>
              <w:left w:w="100" w:type="dxa"/>
              <w:bottom w:w="60" w:type="dxa"/>
              <w:right w:w="100" w:type="dxa"/>
            </w:tcMar>
            <w:vAlign w:val="center"/>
          </w:tcPr>
          <w:p w14:paraId="1A32795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2,862 (42)</w:t>
            </w:r>
          </w:p>
        </w:tc>
        <w:tc>
          <w:tcPr>
            <w:tcW w:w="1700" w:type="dxa"/>
            <w:tcBorders>
              <w:top w:val="nil"/>
              <w:left w:val="nil"/>
              <w:bottom w:val="nil"/>
              <w:right w:val="nil"/>
            </w:tcBorders>
            <w:tcMar>
              <w:top w:w="60" w:type="dxa"/>
              <w:left w:w="100" w:type="dxa"/>
              <w:bottom w:w="60" w:type="dxa"/>
              <w:right w:w="100" w:type="dxa"/>
            </w:tcMar>
            <w:vAlign w:val="center"/>
          </w:tcPr>
          <w:p w14:paraId="02BBAE3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2,333 (46)</w:t>
            </w:r>
          </w:p>
        </w:tc>
        <w:tc>
          <w:tcPr>
            <w:tcW w:w="1700" w:type="dxa"/>
            <w:tcBorders>
              <w:top w:val="nil"/>
              <w:left w:val="nil"/>
              <w:bottom w:val="nil"/>
              <w:right w:val="nil"/>
            </w:tcBorders>
            <w:tcMar>
              <w:top w:w="60" w:type="dxa"/>
              <w:left w:w="100" w:type="dxa"/>
              <w:bottom w:w="60" w:type="dxa"/>
              <w:right w:w="100" w:type="dxa"/>
            </w:tcMar>
            <w:vAlign w:val="center"/>
          </w:tcPr>
          <w:p w14:paraId="58FEAAC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529 (32)</w:t>
            </w:r>
          </w:p>
        </w:tc>
        <w:tc>
          <w:tcPr>
            <w:tcW w:w="560" w:type="dxa"/>
            <w:tcBorders>
              <w:top w:val="nil"/>
              <w:left w:val="nil"/>
              <w:bottom w:val="nil"/>
              <w:right w:val="nil"/>
            </w:tcBorders>
            <w:tcMar>
              <w:top w:w="60" w:type="dxa"/>
              <w:left w:w="100" w:type="dxa"/>
              <w:bottom w:w="60" w:type="dxa"/>
              <w:right w:w="100" w:type="dxa"/>
            </w:tcMar>
            <w:vAlign w:val="center"/>
          </w:tcPr>
          <w:p w14:paraId="7C112F0A">
            <w:pPr>
              <w:keepNext w:val="0"/>
              <w:keepLines w:val="0"/>
              <w:widowControl w:val="0"/>
              <w:kinsoku/>
              <w:wordWrap/>
              <w:overflowPunct/>
              <w:topLinePunct w:val="0"/>
              <w:autoSpaceDE/>
              <w:autoSpaceDN/>
              <w:bidi w:val="0"/>
              <w:adjustRightInd/>
              <w:snapToGrid/>
              <w:spacing w:line="480" w:lineRule="auto"/>
              <w:jc w:val="center"/>
              <w:textAlignment w:val="auto"/>
            </w:pPr>
          </w:p>
        </w:tc>
      </w:tr>
      <w:tr w14:paraId="2465D4F4">
        <w:tc>
          <w:tcPr>
            <w:tcW w:w="3700" w:type="dxa"/>
            <w:tcBorders>
              <w:top w:val="nil"/>
              <w:left w:val="nil"/>
              <w:bottom w:val="nil"/>
              <w:right w:val="nil"/>
            </w:tcBorders>
            <w:tcMar>
              <w:top w:w="60" w:type="dxa"/>
              <w:left w:w="100" w:type="dxa"/>
              <w:bottom w:w="60" w:type="dxa"/>
              <w:right w:w="100" w:type="dxa"/>
            </w:tcMar>
            <w:vAlign w:val="center"/>
          </w:tcPr>
          <w:p w14:paraId="0435FEE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Rising</w:t>
            </w:r>
          </w:p>
        </w:tc>
        <w:tc>
          <w:tcPr>
            <w:tcW w:w="1700" w:type="dxa"/>
            <w:tcBorders>
              <w:top w:val="nil"/>
              <w:left w:val="nil"/>
              <w:bottom w:val="nil"/>
              <w:right w:val="nil"/>
            </w:tcBorders>
            <w:tcMar>
              <w:top w:w="60" w:type="dxa"/>
              <w:left w:w="100" w:type="dxa"/>
              <w:bottom w:w="60" w:type="dxa"/>
              <w:right w:w="100" w:type="dxa"/>
            </w:tcMar>
            <w:vAlign w:val="center"/>
          </w:tcPr>
          <w:p w14:paraId="57E8969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867 (13)</w:t>
            </w:r>
          </w:p>
        </w:tc>
        <w:tc>
          <w:tcPr>
            <w:tcW w:w="1700" w:type="dxa"/>
            <w:tcBorders>
              <w:top w:val="nil"/>
              <w:left w:val="nil"/>
              <w:bottom w:val="nil"/>
              <w:right w:val="nil"/>
            </w:tcBorders>
            <w:tcMar>
              <w:top w:w="60" w:type="dxa"/>
              <w:left w:w="100" w:type="dxa"/>
              <w:bottom w:w="60" w:type="dxa"/>
              <w:right w:w="100" w:type="dxa"/>
            </w:tcMar>
            <w:vAlign w:val="center"/>
          </w:tcPr>
          <w:p w14:paraId="37E552D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614 (12)</w:t>
            </w:r>
          </w:p>
        </w:tc>
        <w:tc>
          <w:tcPr>
            <w:tcW w:w="1700" w:type="dxa"/>
            <w:tcBorders>
              <w:top w:val="nil"/>
              <w:left w:val="nil"/>
              <w:bottom w:val="nil"/>
              <w:right w:val="nil"/>
            </w:tcBorders>
            <w:tcMar>
              <w:top w:w="60" w:type="dxa"/>
              <w:left w:w="100" w:type="dxa"/>
              <w:bottom w:w="60" w:type="dxa"/>
              <w:right w:w="100" w:type="dxa"/>
            </w:tcMar>
            <w:vAlign w:val="center"/>
          </w:tcPr>
          <w:p w14:paraId="00F9C56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253 (15)</w:t>
            </w:r>
          </w:p>
        </w:tc>
        <w:tc>
          <w:tcPr>
            <w:tcW w:w="560" w:type="dxa"/>
            <w:tcBorders>
              <w:top w:val="nil"/>
              <w:left w:val="nil"/>
              <w:bottom w:val="nil"/>
              <w:right w:val="nil"/>
            </w:tcBorders>
            <w:tcMar>
              <w:top w:w="60" w:type="dxa"/>
              <w:left w:w="100" w:type="dxa"/>
              <w:bottom w:w="60" w:type="dxa"/>
              <w:right w:w="100" w:type="dxa"/>
            </w:tcMar>
            <w:vAlign w:val="center"/>
          </w:tcPr>
          <w:p w14:paraId="42E3486A">
            <w:pPr>
              <w:keepNext w:val="0"/>
              <w:keepLines w:val="0"/>
              <w:widowControl w:val="0"/>
              <w:kinsoku/>
              <w:wordWrap/>
              <w:overflowPunct/>
              <w:topLinePunct w:val="0"/>
              <w:autoSpaceDE/>
              <w:autoSpaceDN/>
              <w:bidi w:val="0"/>
              <w:adjustRightInd/>
              <w:snapToGrid/>
              <w:spacing w:line="480" w:lineRule="auto"/>
              <w:jc w:val="center"/>
              <w:textAlignment w:val="auto"/>
            </w:pPr>
          </w:p>
        </w:tc>
      </w:tr>
      <w:tr w14:paraId="53DD1090">
        <w:tc>
          <w:tcPr>
            <w:tcW w:w="3700" w:type="dxa"/>
            <w:tcBorders>
              <w:top w:val="nil"/>
              <w:left w:val="nil"/>
              <w:bottom w:val="nil"/>
              <w:right w:val="nil"/>
            </w:tcBorders>
            <w:tcMar>
              <w:top w:w="60" w:type="dxa"/>
              <w:left w:w="100" w:type="dxa"/>
              <w:bottom w:w="60" w:type="dxa"/>
              <w:right w:w="100" w:type="dxa"/>
            </w:tcMar>
            <w:vAlign w:val="center"/>
          </w:tcPr>
          <w:p w14:paraId="04AFE4D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Stable</w:t>
            </w:r>
          </w:p>
        </w:tc>
        <w:tc>
          <w:tcPr>
            <w:tcW w:w="1700" w:type="dxa"/>
            <w:tcBorders>
              <w:top w:val="nil"/>
              <w:left w:val="nil"/>
              <w:bottom w:val="nil"/>
              <w:right w:val="nil"/>
            </w:tcBorders>
            <w:tcMar>
              <w:top w:w="60" w:type="dxa"/>
              <w:left w:w="100" w:type="dxa"/>
              <w:bottom w:w="60" w:type="dxa"/>
              <w:right w:w="100" w:type="dxa"/>
            </w:tcMar>
            <w:vAlign w:val="center"/>
          </w:tcPr>
          <w:p w14:paraId="22A0D0A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1,278 (19)</w:t>
            </w:r>
          </w:p>
        </w:tc>
        <w:tc>
          <w:tcPr>
            <w:tcW w:w="1700" w:type="dxa"/>
            <w:tcBorders>
              <w:top w:val="nil"/>
              <w:left w:val="nil"/>
              <w:bottom w:val="nil"/>
              <w:right w:val="nil"/>
            </w:tcBorders>
            <w:tcMar>
              <w:top w:w="60" w:type="dxa"/>
              <w:left w:w="100" w:type="dxa"/>
              <w:bottom w:w="60" w:type="dxa"/>
              <w:right w:w="100" w:type="dxa"/>
            </w:tcMar>
            <w:vAlign w:val="center"/>
          </w:tcPr>
          <w:p w14:paraId="13F8AA0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875 (17)</w:t>
            </w:r>
          </w:p>
        </w:tc>
        <w:tc>
          <w:tcPr>
            <w:tcW w:w="1700" w:type="dxa"/>
            <w:tcBorders>
              <w:top w:val="nil"/>
              <w:left w:val="nil"/>
              <w:bottom w:val="nil"/>
              <w:right w:val="nil"/>
            </w:tcBorders>
            <w:tcMar>
              <w:top w:w="60" w:type="dxa"/>
              <w:left w:w="100" w:type="dxa"/>
              <w:bottom w:w="60" w:type="dxa"/>
              <w:right w:w="100" w:type="dxa"/>
            </w:tcMar>
            <w:vAlign w:val="center"/>
          </w:tcPr>
          <w:p w14:paraId="1EEAB76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403 (24)</w:t>
            </w:r>
          </w:p>
        </w:tc>
        <w:tc>
          <w:tcPr>
            <w:tcW w:w="560" w:type="dxa"/>
            <w:tcBorders>
              <w:top w:val="nil"/>
              <w:left w:val="nil"/>
              <w:bottom w:val="nil"/>
              <w:right w:val="nil"/>
            </w:tcBorders>
            <w:tcMar>
              <w:top w:w="60" w:type="dxa"/>
              <w:left w:w="100" w:type="dxa"/>
              <w:bottom w:w="60" w:type="dxa"/>
              <w:right w:w="100" w:type="dxa"/>
            </w:tcMar>
            <w:vAlign w:val="center"/>
          </w:tcPr>
          <w:p w14:paraId="5FDEA69C">
            <w:pPr>
              <w:keepNext w:val="0"/>
              <w:keepLines w:val="0"/>
              <w:widowControl w:val="0"/>
              <w:kinsoku/>
              <w:wordWrap/>
              <w:overflowPunct/>
              <w:topLinePunct w:val="0"/>
              <w:autoSpaceDE/>
              <w:autoSpaceDN/>
              <w:bidi w:val="0"/>
              <w:adjustRightInd/>
              <w:snapToGrid/>
              <w:spacing w:line="480" w:lineRule="auto"/>
              <w:jc w:val="center"/>
              <w:textAlignment w:val="auto"/>
            </w:pPr>
          </w:p>
        </w:tc>
      </w:tr>
      <w:tr w14:paraId="0E30CA7C">
        <w:tc>
          <w:tcPr>
            <w:tcW w:w="3700" w:type="dxa"/>
            <w:tcBorders>
              <w:top w:val="nil"/>
              <w:left w:val="nil"/>
              <w:bottom w:val="nil"/>
              <w:right w:val="nil"/>
            </w:tcBorders>
            <w:tcMar>
              <w:top w:w="60" w:type="dxa"/>
              <w:left w:w="100" w:type="dxa"/>
              <w:bottom w:w="60" w:type="dxa"/>
              <w:right w:w="100" w:type="dxa"/>
            </w:tcMar>
            <w:vAlign w:val="center"/>
          </w:tcPr>
          <w:p w14:paraId="352BB59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Falling</w:t>
            </w:r>
          </w:p>
        </w:tc>
        <w:tc>
          <w:tcPr>
            <w:tcW w:w="1700" w:type="dxa"/>
            <w:tcBorders>
              <w:top w:val="nil"/>
              <w:left w:val="nil"/>
              <w:bottom w:val="nil"/>
              <w:right w:val="nil"/>
            </w:tcBorders>
            <w:tcMar>
              <w:top w:w="60" w:type="dxa"/>
              <w:left w:w="100" w:type="dxa"/>
              <w:bottom w:w="60" w:type="dxa"/>
              <w:right w:w="100" w:type="dxa"/>
            </w:tcMar>
            <w:vAlign w:val="center"/>
          </w:tcPr>
          <w:p w14:paraId="0D1D879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1,752 (26)</w:t>
            </w:r>
          </w:p>
        </w:tc>
        <w:tc>
          <w:tcPr>
            <w:tcW w:w="1700" w:type="dxa"/>
            <w:tcBorders>
              <w:top w:val="nil"/>
              <w:left w:val="nil"/>
              <w:bottom w:val="nil"/>
              <w:right w:val="nil"/>
            </w:tcBorders>
            <w:tcMar>
              <w:top w:w="60" w:type="dxa"/>
              <w:left w:w="100" w:type="dxa"/>
              <w:bottom w:w="60" w:type="dxa"/>
              <w:right w:w="100" w:type="dxa"/>
            </w:tcMar>
            <w:vAlign w:val="center"/>
          </w:tcPr>
          <w:p w14:paraId="1E38AA8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1,270 (25)</w:t>
            </w:r>
          </w:p>
        </w:tc>
        <w:tc>
          <w:tcPr>
            <w:tcW w:w="1700" w:type="dxa"/>
            <w:tcBorders>
              <w:top w:val="nil"/>
              <w:left w:val="nil"/>
              <w:bottom w:val="nil"/>
              <w:right w:val="nil"/>
            </w:tcBorders>
            <w:tcMar>
              <w:top w:w="60" w:type="dxa"/>
              <w:left w:w="100" w:type="dxa"/>
              <w:bottom w:w="60" w:type="dxa"/>
              <w:right w:w="100" w:type="dxa"/>
            </w:tcMar>
            <w:vAlign w:val="center"/>
          </w:tcPr>
          <w:p w14:paraId="239CAD2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482 (29)</w:t>
            </w:r>
          </w:p>
        </w:tc>
        <w:tc>
          <w:tcPr>
            <w:tcW w:w="560" w:type="dxa"/>
            <w:tcBorders>
              <w:top w:val="nil"/>
              <w:left w:val="nil"/>
              <w:bottom w:val="nil"/>
              <w:right w:val="nil"/>
            </w:tcBorders>
            <w:tcMar>
              <w:top w:w="60" w:type="dxa"/>
              <w:left w:w="100" w:type="dxa"/>
              <w:bottom w:w="60" w:type="dxa"/>
              <w:right w:w="100" w:type="dxa"/>
            </w:tcMar>
            <w:vAlign w:val="center"/>
          </w:tcPr>
          <w:p w14:paraId="4870CC09">
            <w:pPr>
              <w:keepNext w:val="0"/>
              <w:keepLines w:val="0"/>
              <w:widowControl w:val="0"/>
              <w:kinsoku/>
              <w:wordWrap/>
              <w:overflowPunct/>
              <w:topLinePunct w:val="0"/>
              <w:autoSpaceDE/>
              <w:autoSpaceDN/>
              <w:bidi w:val="0"/>
              <w:adjustRightInd/>
              <w:snapToGrid/>
              <w:spacing w:line="480" w:lineRule="auto"/>
              <w:jc w:val="center"/>
              <w:textAlignment w:val="auto"/>
            </w:pPr>
          </w:p>
        </w:tc>
      </w:tr>
      <w:tr w14:paraId="472AB582">
        <w:tc>
          <w:tcPr>
            <w:tcW w:w="3700" w:type="dxa"/>
            <w:tcBorders>
              <w:top w:val="nil"/>
              <w:left w:val="nil"/>
              <w:bottom w:val="nil"/>
              <w:right w:val="nil"/>
            </w:tcBorders>
            <w:tcMar>
              <w:top w:w="60" w:type="dxa"/>
              <w:left w:w="100" w:type="dxa"/>
              <w:bottom w:w="60" w:type="dxa"/>
              <w:right w:w="100" w:type="dxa"/>
            </w:tcMar>
            <w:vAlign w:val="center"/>
          </w:tcPr>
          <w:p w14:paraId="42AB163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Vasopressin co-administration, n (%)</w:t>
            </w:r>
          </w:p>
        </w:tc>
        <w:tc>
          <w:tcPr>
            <w:tcW w:w="1700" w:type="dxa"/>
            <w:tcBorders>
              <w:top w:val="nil"/>
              <w:left w:val="nil"/>
              <w:bottom w:val="nil"/>
              <w:right w:val="nil"/>
            </w:tcBorders>
            <w:tcMar>
              <w:top w:w="60" w:type="dxa"/>
              <w:left w:w="100" w:type="dxa"/>
              <w:bottom w:w="60" w:type="dxa"/>
              <w:right w:w="100" w:type="dxa"/>
            </w:tcMar>
            <w:vAlign w:val="center"/>
          </w:tcPr>
          <w:p w14:paraId="61C0AAA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1,104 (16)</w:t>
            </w:r>
          </w:p>
        </w:tc>
        <w:tc>
          <w:tcPr>
            <w:tcW w:w="1700" w:type="dxa"/>
            <w:tcBorders>
              <w:top w:val="nil"/>
              <w:left w:val="nil"/>
              <w:bottom w:val="nil"/>
              <w:right w:val="nil"/>
            </w:tcBorders>
            <w:tcMar>
              <w:top w:w="60" w:type="dxa"/>
              <w:left w:w="100" w:type="dxa"/>
              <w:bottom w:w="60" w:type="dxa"/>
              <w:right w:w="100" w:type="dxa"/>
            </w:tcMar>
            <w:vAlign w:val="center"/>
          </w:tcPr>
          <w:p w14:paraId="05DF82D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740 (15)</w:t>
            </w:r>
          </w:p>
        </w:tc>
        <w:tc>
          <w:tcPr>
            <w:tcW w:w="1700" w:type="dxa"/>
            <w:tcBorders>
              <w:top w:val="nil"/>
              <w:left w:val="nil"/>
              <w:bottom w:val="nil"/>
              <w:right w:val="nil"/>
            </w:tcBorders>
            <w:tcMar>
              <w:top w:w="60" w:type="dxa"/>
              <w:left w:w="100" w:type="dxa"/>
              <w:bottom w:w="60" w:type="dxa"/>
              <w:right w:w="100" w:type="dxa"/>
            </w:tcMar>
            <w:vAlign w:val="center"/>
          </w:tcPr>
          <w:p w14:paraId="288EBF5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364 (22)</w:t>
            </w:r>
          </w:p>
        </w:tc>
        <w:tc>
          <w:tcPr>
            <w:tcW w:w="560" w:type="dxa"/>
            <w:tcBorders>
              <w:top w:val="nil"/>
              <w:left w:val="nil"/>
              <w:bottom w:val="nil"/>
              <w:right w:val="nil"/>
            </w:tcBorders>
            <w:tcMar>
              <w:top w:w="60" w:type="dxa"/>
              <w:left w:w="100" w:type="dxa"/>
              <w:bottom w:w="60" w:type="dxa"/>
              <w:right w:w="100" w:type="dxa"/>
            </w:tcMar>
            <w:vAlign w:val="center"/>
          </w:tcPr>
          <w:p w14:paraId="069A85F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&lt;0.001</w:t>
            </w:r>
          </w:p>
        </w:tc>
      </w:tr>
      <w:tr w14:paraId="2BA3EE86">
        <w:tc>
          <w:tcPr>
            <w:tcW w:w="3700" w:type="dxa"/>
            <w:tcBorders>
              <w:top w:val="nil"/>
              <w:left w:val="nil"/>
              <w:bottom w:val="nil"/>
              <w:right w:val="nil"/>
            </w:tcBorders>
            <w:tcMar>
              <w:top w:w="60" w:type="dxa"/>
              <w:left w:w="100" w:type="dxa"/>
              <w:bottom w:w="60" w:type="dxa"/>
              <w:right w:w="100" w:type="dxa"/>
            </w:tcMar>
            <w:vAlign w:val="center"/>
          </w:tcPr>
          <w:p w14:paraId="24259AC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Invasive mechanical ventilation, n (%)</w:t>
            </w:r>
          </w:p>
        </w:tc>
        <w:tc>
          <w:tcPr>
            <w:tcW w:w="1700" w:type="dxa"/>
            <w:tcBorders>
              <w:top w:val="nil"/>
              <w:left w:val="nil"/>
              <w:bottom w:val="nil"/>
              <w:right w:val="nil"/>
            </w:tcBorders>
            <w:tcMar>
              <w:top w:w="60" w:type="dxa"/>
              <w:left w:w="100" w:type="dxa"/>
              <w:bottom w:w="60" w:type="dxa"/>
              <w:right w:w="100" w:type="dxa"/>
            </w:tcMar>
            <w:vAlign w:val="center"/>
          </w:tcPr>
          <w:p w14:paraId="7843A99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3,987 (59)</w:t>
            </w:r>
          </w:p>
        </w:tc>
        <w:tc>
          <w:tcPr>
            <w:tcW w:w="1700" w:type="dxa"/>
            <w:tcBorders>
              <w:top w:val="nil"/>
              <w:left w:val="nil"/>
              <w:bottom w:val="nil"/>
              <w:right w:val="nil"/>
            </w:tcBorders>
            <w:tcMar>
              <w:top w:w="60" w:type="dxa"/>
              <w:left w:w="100" w:type="dxa"/>
              <w:bottom w:w="60" w:type="dxa"/>
              <w:right w:w="100" w:type="dxa"/>
            </w:tcMar>
            <w:vAlign w:val="center"/>
          </w:tcPr>
          <w:p w14:paraId="6ACF070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2,848 (56)</w:t>
            </w:r>
          </w:p>
        </w:tc>
        <w:tc>
          <w:tcPr>
            <w:tcW w:w="1700" w:type="dxa"/>
            <w:tcBorders>
              <w:top w:val="nil"/>
              <w:left w:val="nil"/>
              <w:bottom w:val="nil"/>
              <w:right w:val="nil"/>
            </w:tcBorders>
            <w:tcMar>
              <w:top w:w="60" w:type="dxa"/>
              <w:left w:w="100" w:type="dxa"/>
              <w:bottom w:w="60" w:type="dxa"/>
              <w:right w:w="100" w:type="dxa"/>
            </w:tcMar>
            <w:vAlign w:val="center"/>
          </w:tcPr>
          <w:p w14:paraId="235037F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1,139 (68)</w:t>
            </w:r>
          </w:p>
        </w:tc>
        <w:tc>
          <w:tcPr>
            <w:tcW w:w="560" w:type="dxa"/>
            <w:tcBorders>
              <w:top w:val="nil"/>
              <w:left w:val="nil"/>
              <w:bottom w:val="nil"/>
              <w:right w:val="nil"/>
            </w:tcBorders>
            <w:tcMar>
              <w:top w:w="60" w:type="dxa"/>
              <w:left w:w="100" w:type="dxa"/>
              <w:bottom w:w="60" w:type="dxa"/>
              <w:right w:w="100" w:type="dxa"/>
            </w:tcMar>
            <w:vAlign w:val="center"/>
          </w:tcPr>
          <w:p w14:paraId="6D3A6D3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&lt;0.001</w:t>
            </w:r>
          </w:p>
        </w:tc>
      </w:tr>
      <w:tr w14:paraId="741F0FA6">
        <w:tc>
          <w:tcPr>
            <w:tcW w:w="3700" w:type="dxa"/>
            <w:tcBorders>
              <w:top w:val="nil"/>
              <w:left w:val="nil"/>
              <w:bottom w:val="nil"/>
              <w:right w:val="nil"/>
            </w:tcBorders>
            <w:tcMar>
              <w:top w:w="60" w:type="dxa"/>
              <w:left w:w="100" w:type="dxa"/>
              <w:bottom w:w="60" w:type="dxa"/>
              <w:right w:w="100" w:type="dxa"/>
            </w:tcMar>
            <w:vAlign w:val="center"/>
          </w:tcPr>
          <w:p w14:paraId="64DBBF7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iCs/>
                <w:sz w:val="20"/>
                <w:szCs w:val="20"/>
              </w:rPr>
              <w:t>Disease severity</w:t>
            </w:r>
          </w:p>
        </w:tc>
        <w:tc>
          <w:tcPr>
            <w:tcW w:w="1700" w:type="dxa"/>
            <w:tcBorders>
              <w:top w:val="nil"/>
              <w:left w:val="nil"/>
              <w:bottom w:val="nil"/>
              <w:right w:val="nil"/>
            </w:tcBorders>
            <w:tcMar>
              <w:top w:w="60" w:type="dxa"/>
              <w:left w:w="100" w:type="dxa"/>
              <w:bottom w:w="60" w:type="dxa"/>
              <w:right w:w="100" w:type="dxa"/>
            </w:tcMar>
            <w:vAlign w:val="center"/>
          </w:tcPr>
          <w:p w14:paraId="55C036D2">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0" w:type="dxa"/>
            <w:tcBorders>
              <w:top w:val="nil"/>
              <w:left w:val="nil"/>
              <w:bottom w:val="nil"/>
              <w:right w:val="nil"/>
            </w:tcBorders>
            <w:tcMar>
              <w:top w:w="60" w:type="dxa"/>
              <w:left w:w="100" w:type="dxa"/>
              <w:bottom w:w="60" w:type="dxa"/>
              <w:right w:w="100" w:type="dxa"/>
            </w:tcMar>
            <w:vAlign w:val="center"/>
          </w:tcPr>
          <w:p w14:paraId="50B79694">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0" w:type="dxa"/>
            <w:tcBorders>
              <w:top w:val="nil"/>
              <w:left w:val="nil"/>
              <w:bottom w:val="nil"/>
              <w:right w:val="nil"/>
            </w:tcBorders>
            <w:tcMar>
              <w:top w:w="60" w:type="dxa"/>
              <w:left w:w="100" w:type="dxa"/>
              <w:bottom w:w="60" w:type="dxa"/>
              <w:right w:w="100" w:type="dxa"/>
            </w:tcMar>
            <w:vAlign w:val="center"/>
          </w:tcPr>
          <w:p w14:paraId="75361224">
            <w:pPr>
              <w:keepNext w:val="0"/>
              <w:keepLines w:val="0"/>
              <w:widowControl w:val="0"/>
              <w:kinsoku/>
              <w:wordWrap/>
              <w:overflowPunct/>
              <w:topLinePunct w:val="0"/>
              <w:autoSpaceDE/>
              <w:autoSpaceDN/>
              <w:bidi w:val="0"/>
              <w:adjustRightInd/>
              <w:snapToGrid/>
              <w:spacing w:line="480" w:lineRule="auto"/>
              <w:jc w:val="center"/>
              <w:textAlignment w:val="auto"/>
            </w:pPr>
          </w:p>
        </w:tc>
        <w:tc>
          <w:tcPr>
            <w:tcW w:w="560" w:type="dxa"/>
            <w:tcBorders>
              <w:top w:val="nil"/>
              <w:left w:val="nil"/>
              <w:bottom w:val="nil"/>
              <w:right w:val="nil"/>
            </w:tcBorders>
            <w:tcMar>
              <w:top w:w="60" w:type="dxa"/>
              <w:left w:w="100" w:type="dxa"/>
              <w:bottom w:w="60" w:type="dxa"/>
              <w:right w:w="100" w:type="dxa"/>
            </w:tcMar>
            <w:vAlign w:val="center"/>
          </w:tcPr>
          <w:p w14:paraId="3B432E02">
            <w:pPr>
              <w:keepNext w:val="0"/>
              <w:keepLines w:val="0"/>
              <w:widowControl w:val="0"/>
              <w:kinsoku/>
              <w:wordWrap/>
              <w:overflowPunct/>
              <w:topLinePunct w:val="0"/>
              <w:autoSpaceDE/>
              <w:autoSpaceDN/>
              <w:bidi w:val="0"/>
              <w:adjustRightInd/>
              <w:snapToGrid/>
              <w:spacing w:line="480" w:lineRule="auto"/>
              <w:jc w:val="center"/>
              <w:textAlignment w:val="auto"/>
            </w:pPr>
          </w:p>
        </w:tc>
      </w:tr>
      <w:tr w14:paraId="1F7FC5F1">
        <w:tc>
          <w:tcPr>
            <w:tcW w:w="3700" w:type="dxa"/>
            <w:tcBorders>
              <w:top w:val="nil"/>
              <w:left w:val="nil"/>
              <w:bottom w:val="nil"/>
              <w:right w:val="nil"/>
            </w:tcBorders>
            <w:tcMar>
              <w:top w:w="60" w:type="dxa"/>
              <w:left w:w="100" w:type="dxa"/>
              <w:bottom w:w="60" w:type="dxa"/>
              <w:right w:w="100" w:type="dxa"/>
            </w:tcMar>
            <w:vAlign w:val="center"/>
          </w:tcPr>
          <w:p w14:paraId="390B97B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SOFA score</w:t>
            </w:r>
          </w:p>
        </w:tc>
        <w:tc>
          <w:tcPr>
            <w:tcW w:w="1700" w:type="dxa"/>
            <w:tcBorders>
              <w:top w:val="nil"/>
              <w:left w:val="nil"/>
              <w:bottom w:val="nil"/>
              <w:right w:val="nil"/>
            </w:tcBorders>
            <w:tcMar>
              <w:top w:w="60" w:type="dxa"/>
              <w:left w:w="100" w:type="dxa"/>
              <w:bottom w:w="60" w:type="dxa"/>
              <w:right w:w="100" w:type="dxa"/>
            </w:tcMar>
            <w:vAlign w:val="center"/>
          </w:tcPr>
          <w:p w14:paraId="202B14A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7 (5, 9)</w:t>
            </w:r>
          </w:p>
        </w:tc>
        <w:tc>
          <w:tcPr>
            <w:tcW w:w="1700" w:type="dxa"/>
            <w:tcBorders>
              <w:top w:val="nil"/>
              <w:left w:val="nil"/>
              <w:bottom w:val="nil"/>
              <w:right w:val="nil"/>
            </w:tcBorders>
            <w:tcMar>
              <w:top w:w="60" w:type="dxa"/>
              <w:left w:w="100" w:type="dxa"/>
              <w:bottom w:w="60" w:type="dxa"/>
              <w:right w:w="100" w:type="dxa"/>
            </w:tcMar>
            <w:vAlign w:val="center"/>
          </w:tcPr>
          <w:p w14:paraId="12AC53E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7 (5, 9)</w:t>
            </w:r>
          </w:p>
        </w:tc>
        <w:tc>
          <w:tcPr>
            <w:tcW w:w="1700" w:type="dxa"/>
            <w:tcBorders>
              <w:top w:val="nil"/>
              <w:left w:val="nil"/>
              <w:bottom w:val="nil"/>
              <w:right w:val="nil"/>
            </w:tcBorders>
            <w:tcMar>
              <w:top w:w="60" w:type="dxa"/>
              <w:left w:w="100" w:type="dxa"/>
              <w:bottom w:w="60" w:type="dxa"/>
              <w:right w:w="100" w:type="dxa"/>
            </w:tcMar>
            <w:vAlign w:val="center"/>
          </w:tcPr>
          <w:p w14:paraId="269230D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8 (6, 10)</w:t>
            </w:r>
          </w:p>
        </w:tc>
        <w:tc>
          <w:tcPr>
            <w:tcW w:w="560" w:type="dxa"/>
            <w:tcBorders>
              <w:top w:val="nil"/>
              <w:left w:val="nil"/>
              <w:bottom w:val="nil"/>
              <w:right w:val="nil"/>
            </w:tcBorders>
            <w:tcMar>
              <w:top w:w="60" w:type="dxa"/>
              <w:left w:w="100" w:type="dxa"/>
              <w:bottom w:w="60" w:type="dxa"/>
              <w:right w:w="100" w:type="dxa"/>
            </w:tcMar>
            <w:vAlign w:val="center"/>
          </w:tcPr>
          <w:p w14:paraId="6A98985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&lt;0.001</w:t>
            </w:r>
          </w:p>
        </w:tc>
      </w:tr>
      <w:tr w14:paraId="042FCA75">
        <w:tc>
          <w:tcPr>
            <w:tcW w:w="3700" w:type="dxa"/>
            <w:tcBorders>
              <w:top w:val="nil"/>
              <w:left w:val="nil"/>
              <w:bottom w:val="nil"/>
              <w:right w:val="nil"/>
            </w:tcBorders>
            <w:tcMar>
              <w:top w:w="60" w:type="dxa"/>
              <w:left w:w="100" w:type="dxa"/>
              <w:bottom w:w="60" w:type="dxa"/>
              <w:right w:w="100" w:type="dxa"/>
            </w:tcMar>
            <w:vAlign w:val="center"/>
          </w:tcPr>
          <w:p w14:paraId="0B78B83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Charlson Comorbidity Index</w:t>
            </w:r>
          </w:p>
        </w:tc>
        <w:tc>
          <w:tcPr>
            <w:tcW w:w="1700" w:type="dxa"/>
            <w:tcBorders>
              <w:top w:val="nil"/>
              <w:left w:val="nil"/>
              <w:bottom w:val="nil"/>
              <w:right w:val="nil"/>
            </w:tcBorders>
            <w:tcMar>
              <w:top w:w="60" w:type="dxa"/>
              <w:left w:w="100" w:type="dxa"/>
              <w:bottom w:w="60" w:type="dxa"/>
              <w:right w:w="100" w:type="dxa"/>
            </w:tcMar>
            <w:vAlign w:val="center"/>
          </w:tcPr>
          <w:p w14:paraId="1286324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5 (3, 7)</w:t>
            </w:r>
          </w:p>
        </w:tc>
        <w:tc>
          <w:tcPr>
            <w:tcW w:w="1700" w:type="dxa"/>
            <w:tcBorders>
              <w:top w:val="nil"/>
              <w:left w:val="nil"/>
              <w:bottom w:val="nil"/>
              <w:right w:val="nil"/>
            </w:tcBorders>
            <w:tcMar>
              <w:top w:w="60" w:type="dxa"/>
              <w:left w:w="100" w:type="dxa"/>
              <w:bottom w:w="60" w:type="dxa"/>
              <w:right w:w="100" w:type="dxa"/>
            </w:tcMar>
            <w:vAlign w:val="center"/>
          </w:tcPr>
          <w:p w14:paraId="205CFB0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5 (3, 7)</w:t>
            </w:r>
          </w:p>
        </w:tc>
        <w:tc>
          <w:tcPr>
            <w:tcW w:w="1700" w:type="dxa"/>
            <w:tcBorders>
              <w:top w:val="nil"/>
              <w:left w:val="nil"/>
              <w:bottom w:val="nil"/>
              <w:right w:val="nil"/>
            </w:tcBorders>
            <w:tcMar>
              <w:top w:w="60" w:type="dxa"/>
              <w:left w:w="100" w:type="dxa"/>
              <w:bottom w:w="60" w:type="dxa"/>
              <w:right w:w="100" w:type="dxa"/>
            </w:tcMar>
            <w:vAlign w:val="center"/>
          </w:tcPr>
          <w:p w14:paraId="6D16EE4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5 (3, 7)</w:t>
            </w:r>
          </w:p>
        </w:tc>
        <w:tc>
          <w:tcPr>
            <w:tcW w:w="560" w:type="dxa"/>
            <w:tcBorders>
              <w:top w:val="nil"/>
              <w:left w:val="nil"/>
              <w:bottom w:val="nil"/>
              <w:right w:val="nil"/>
            </w:tcBorders>
            <w:tcMar>
              <w:top w:w="60" w:type="dxa"/>
              <w:left w:w="100" w:type="dxa"/>
              <w:bottom w:w="60" w:type="dxa"/>
              <w:right w:w="100" w:type="dxa"/>
            </w:tcMar>
            <w:vAlign w:val="center"/>
          </w:tcPr>
          <w:p w14:paraId="6B684EE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&lt;0.001</w:t>
            </w:r>
          </w:p>
        </w:tc>
      </w:tr>
      <w:tr w14:paraId="5A3EAD92">
        <w:tc>
          <w:tcPr>
            <w:tcW w:w="3700" w:type="dxa"/>
            <w:tcBorders>
              <w:top w:val="nil"/>
              <w:left w:val="nil"/>
              <w:bottom w:val="nil"/>
              <w:right w:val="nil"/>
            </w:tcBorders>
            <w:tcMar>
              <w:top w:w="60" w:type="dxa"/>
              <w:left w:w="100" w:type="dxa"/>
              <w:bottom w:w="60" w:type="dxa"/>
              <w:right w:w="100" w:type="dxa"/>
            </w:tcMar>
            <w:vAlign w:val="center"/>
          </w:tcPr>
          <w:p w14:paraId="67AE0D0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Congestive heart failure, n (%)</w:t>
            </w:r>
          </w:p>
        </w:tc>
        <w:tc>
          <w:tcPr>
            <w:tcW w:w="1700" w:type="dxa"/>
            <w:tcBorders>
              <w:top w:val="nil"/>
              <w:left w:val="nil"/>
              <w:bottom w:val="nil"/>
              <w:right w:val="nil"/>
            </w:tcBorders>
            <w:tcMar>
              <w:top w:w="60" w:type="dxa"/>
              <w:left w:w="100" w:type="dxa"/>
              <w:bottom w:w="60" w:type="dxa"/>
              <w:right w:w="100" w:type="dxa"/>
            </w:tcMar>
            <w:vAlign w:val="center"/>
          </w:tcPr>
          <w:p w14:paraId="15CEFE3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2,214 (33)</w:t>
            </w:r>
          </w:p>
        </w:tc>
        <w:tc>
          <w:tcPr>
            <w:tcW w:w="1700" w:type="dxa"/>
            <w:tcBorders>
              <w:top w:val="nil"/>
              <w:left w:val="nil"/>
              <w:bottom w:val="nil"/>
              <w:right w:val="nil"/>
            </w:tcBorders>
            <w:tcMar>
              <w:top w:w="60" w:type="dxa"/>
              <w:left w:w="100" w:type="dxa"/>
              <w:bottom w:w="60" w:type="dxa"/>
              <w:right w:w="100" w:type="dxa"/>
            </w:tcMar>
            <w:vAlign w:val="center"/>
          </w:tcPr>
          <w:p w14:paraId="7B0E3A0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1,399 (27)</w:t>
            </w:r>
          </w:p>
        </w:tc>
        <w:tc>
          <w:tcPr>
            <w:tcW w:w="1700" w:type="dxa"/>
            <w:tcBorders>
              <w:top w:val="nil"/>
              <w:left w:val="nil"/>
              <w:bottom w:val="nil"/>
              <w:right w:val="nil"/>
            </w:tcBorders>
            <w:tcMar>
              <w:top w:w="60" w:type="dxa"/>
              <w:left w:w="100" w:type="dxa"/>
              <w:bottom w:w="60" w:type="dxa"/>
              <w:right w:w="100" w:type="dxa"/>
            </w:tcMar>
            <w:vAlign w:val="center"/>
          </w:tcPr>
          <w:p w14:paraId="37AB21D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815 (49)</w:t>
            </w:r>
          </w:p>
        </w:tc>
        <w:tc>
          <w:tcPr>
            <w:tcW w:w="560" w:type="dxa"/>
            <w:tcBorders>
              <w:top w:val="nil"/>
              <w:left w:val="nil"/>
              <w:bottom w:val="nil"/>
              <w:right w:val="nil"/>
            </w:tcBorders>
            <w:tcMar>
              <w:top w:w="60" w:type="dxa"/>
              <w:left w:w="100" w:type="dxa"/>
              <w:bottom w:w="60" w:type="dxa"/>
              <w:right w:w="100" w:type="dxa"/>
            </w:tcMar>
            <w:vAlign w:val="center"/>
          </w:tcPr>
          <w:p w14:paraId="16757EC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&lt;0.001</w:t>
            </w:r>
          </w:p>
        </w:tc>
      </w:tr>
      <w:tr w14:paraId="0967D035">
        <w:tc>
          <w:tcPr>
            <w:tcW w:w="3700" w:type="dxa"/>
            <w:tcBorders>
              <w:top w:val="nil"/>
              <w:left w:val="nil"/>
              <w:bottom w:val="nil"/>
              <w:right w:val="nil"/>
            </w:tcBorders>
            <w:tcMar>
              <w:top w:w="60" w:type="dxa"/>
              <w:left w:w="100" w:type="dxa"/>
              <w:bottom w:w="60" w:type="dxa"/>
              <w:right w:w="100" w:type="dxa"/>
            </w:tcMar>
            <w:vAlign w:val="center"/>
          </w:tcPr>
          <w:p w14:paraId="28E2373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Chronic kidney disease, n (%)</w:t>
            </w:r>
          </w:p>
        </w:tc>
        <w:tc>
          <w:tcPr>
            <w:tcW w:w="1700" w:type="dxa"/>
            <w:tcBorders>
              <w:top w:val="nil"/>
              <w:left w:val="nil"/>
              <w:bottom w:val="nil"/>
              <w:right w:val="nil"/>
            </w:tcBorders>
            <w:tcMar>
              <w:top w:w="60" w:type="dxa"/>
              <w:left w:w="100" w:type="dxa"/>
              <w:bottom w:w="60" w:type="dxa"/>
              <w:right w:w="100" w:type="dxa"/>
            </w:tcMar>
            <w:vAlign w:val="center"/>
          </w:tcPr>
          <w:p w14:paraId="589147C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1,251 (19)</w:t>
            </w:r>
          </w:p>
        </w:tc>
        <w:tc>
          <w:tcPr>
            <w:tcW w:w="1700" w:type="dxa"/>
            <w:tcBorders>
              <w:top w:val="nil"/>
              <w:left w:val="nil"/>
              <w:bottom w:val="nil"/>
              <w:right w:val="nil"/>
            </w:tcBorders>
            <w:tcMar>
              <w:top w:w="60" w:type="dxa"/>
              <w:left w:w="100" w:type="dxa"/>
              <w:bottom w:w="60" w:type="dxa"/>
              <w:right w:w="100" w:type="dxa"/>
            </w:tcMar>
            <w:vAlign w:val="center"/>
          </w:tcPr>
          <w:p w14:paraId="353B69F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862 (17)</w:t>
            </w:r>
          </w:p>
        </w:tc>
        <w:tc>
          <w:tcPr>
            <w:tcW w:w="1700" w:type="dxa"/>
            <w:tcBorders>
              <w:top w:val="nil"/>
              <w:left w:val="nil"/>
              <w:bottom w:val="nil"/>
              <w:right w:val="nil"/>
            </w:tcBorders>
            <w:tcMar>
              <w:top w:w="60" w:type="dxa"/>
              <w:left w:w="100" w:type="dxa"/>
              <w:bottom w:w="60" w:type="dxa"/>
              <w:right w:w="100" w:type="dxa"/>
            </w:tcMar>
            <w:vAlign w:val="center"/>
          </w:tcPr>
          <w:p w14:paraId="36CF94C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389 (23)</w:t>
            </w:r>
          </w:p>
        </w:tc>
        <w:tc>
          <w:tcPr>
            <w:tcW w:w="560" w:type="dxa"/>
            <w:tcBorders>
              <w:top w:val="nil"/>
              <w:left w:val="nil"/>
              <w:bottom w:val="nil"/>
              <w:right w:val="nil"/>
            </w:tcBorders>
            <w:tcMar>
              <w:top w:w="60" w:type="dxa"/>
              <w:left w:w="100" w:type="dxa"/>
              <w:bottom w:w="60" w:type="dxa"/>
              <w:right w:w="100" w:type="dxa"/>
            </w:tcMar>
            <w:vAlign w:val="center"/>
          </w:tcPr>
          <w:p w14:paraId="710924C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&lt;0.001</w:t>
            </w:r>
          </w:p>
        </w:tc>
      </w:tr>
      <w:tr w14:paraId="6965BFE5">
        <w:tc>
          <w:tcPr>
            <w:tcW w:w="3700" w:type="dxa"/>
            <w:tcBorders>
              <w:top w:val="nil"/>
              <w:left w:val="nil"/>
              <w:bottom w:val="nil"/>
              <w:right w:val="nil"/>
            </w:tcBorders>
            <w:tcMar>
              <w:top w:w="60" w:type="dxa"/>
              <w:left w:w="100" w:type="dxa"/>
              <w:bottom w:w="60" w:type="dxa"/>
              <w:right w:w="100" w:type="dxa"/>
            </w:tcMar>
            <w:vAlign w:val="center"/>
          </w:tcPr>
          <w:p w14:paraId="0B86430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Severe liver disease, n (%)</w:t>
            </w:r>
          </w:p>
        </w:tc>
        <w:tc>
          <w:tcPr>
            <w:tcW w:w="1700" w:type="dxa"/>
            <w:tcBorders>
              <w:top w:val="nil"/>
              <w:left w:val="nil"/>
              <w:bottom w:val="nil"/>
              <w:right w:val="nil"/>
            </w:tcBorders>
            <w:tcMar>
              <w:top w:w="60" w:type="dxa"/>
              <w:left w:w="100" w:type="dxa"/>
              <w:bottom w:w="60" w:type="dxa"/>
              <w:right w:w="100" w:type="dxa"/>
            </w:tcMar>
            <w:vAlign w:val="center"/>
          </w:tcPr>
          <w:p w14:paraId="2D6C19A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547 (8.1)</w:t>
            </w:r>
          </w:p>
        </w:tc>
        <w:tc>
          <w:tcPr>
            <w:tcW w:w="1700" w:type="dxa"/>
            <w:tcBorders>
              <w:top w:val="nil"/>
              <w:left w:val="nil"/>
              <w:bottom w:val="nil"/>
              <w:right w:val="nil"/>
            </w:tcBorders>
            <w:tcMar>
              <w:top w:w="60" w:type="dxa"/>
              <w:left w:w="100" w:type="dxa"/>
              <w:bottom w:w="60" w:type="dxa"/>
              <w:right w:w="100" w:type="dxa"/>
            </w:tcMar>
            <w:vAlign w:val="center"/>
          </w:tcPr>
          <w:p w14:paraId="0A6199E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410 (8.1)</w:t>
            </w:r>
          </w:p>
        </w:tc>
        <w:tc>
          <w:tcPr>
            <w:tcW w:w="1700" w:type="dxa"/>
            <w:tcBorders>
              <w:top w:val="nil"/>
              <w:left w:val="nil"/>
              <w:bottom w:val="nil"/>
              <w:right w:val="nil"/>
            </w:tcBorders>
            <w:tcMar>
              <w:top w:w="60" w:type="dxa"/>
              <w:left w:w="100" w:type="dxa"/>
              <w:bottom w:w="60" w:type="dxa"/>
              <w:right w:w="100" w:type="dxa"/>
            </w:tcMar>
            <w:vAlign w:val="center"/>
          </w:tcPr>
          <w:p w14:paraId="68097AC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137 (8.2)</w:t>
            </w:r>
          </w:p>
        </w:tc>
        <w:tc>
          <w:tcPr>
            <w:tcW w:w="560" w:type="dxa"/>
            <w:tcBorders>
              <w:top w:val="nil"/>
              <w:left w:val="nil"/>
              <w:bottom w:val="nil"/>
              <w:right w:val="nil"/>
            </w:tcBorders>
            <w:tcMar>
              <w:top w:w="60" w:type="dxa"/>
              <w:left w:w="100" w:type="dxa"/>
              <w:bottom w:w="60" w:type="dxa"/>
              <w:right w:w="100" w:type="dxa"/>
            </w:tcMar>
            <w:vAlign w:val="center"/>
          </w:tcPr>
          <w:p w14:paraId="39535FE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0.8</w:t>
            </w:r>
          </w:p>
        </w:tc>
      </w:tr>
      <w:tr w14:paraId="453AC5D0">
        <w:tc>
          <w:tcPr>
            <w:tcW w:w="3700" w:type="dxa"/>
            <w:tcBorders>
              <w:top w:val="nil"/>
              <w:left w:val="nil"/>
              <w:bottom w:val="nil"/>
              <w:right w:val="nil"/>
            </w:tcBorders>
            <w:tcMar>
              <w:top w:w="60" w:type="dxa"/>
              <w:left w:w="100" w:type="dxa"/>
              <w:bottom w:w="60" w:type="dxa"/>
              <w:right w:w="100" w:type="dxa"/>
            </w:tcMar>
            <w:vAlign w:val="center"/>
          </w:tcPr>
          <w:p w14:paraId="567AA58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iCs/>
                <w:sz w:val="20"/>
                <w:szCs w:val="20"/>
              </w:rPr>
              <w:t>Hemodynamics and laboratory values</w:t>
            </w:r>
          </w:p>
        </w:tc>
        <w:tc>
          <w:tcPr>
            <w:tcW w:w="1700" w:type="dxa"/>
            <w:tcBorders>
              <w:top w:val="nil"/>
              <w:left w:val="nil"/>
              <w:bottom w:val="nil"/>
              <w:right w:val="nil"/>
            </w:tcBorders>
            <w:tcMar>
              <w:top w:w="60" w:type="dxa"/>
              <w:left w:w="100" w:type="dxa"/>
              <w:bottom w:w="60" w:type="dxa"/>
              <w:right w:w="100" w:type="dxa"/>
            </w:tcMar>
            <w:vAlign w:val="center"/>
          </w:tcPr>
          <w:p w14:paraId="3A2129A9">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0" w:type="dxa"/>
            <w:tcBorders>
              <w:top w:val="nil"/>
              <w:left w:val="nil"/>
              <w:bottom w:val="nil"/>
              <w:right w:val="nil"/>
            </w:tcBorders>
            <w:tcMar>
              <w:top w:w="60" w:type="dxa"/>
              <w:left w:w="100" w:type="dxa"/>
              <w:bottom w:w="60" w:type="dxa"/>
              <w:right w:w="100" w:type="dxa"/>
            </w:tcMar>
            <w:vAlign w:val="center"/>
          </w:tcPr>
          <w:p w14:paraId="6F3D84AE">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0" w:type="dxa"/>
            <w:tcBorders>
              <w:top w:val="nil"/>
              <w:left w:val="nil"/>
              <w:bottom w:val="nil"/>
              <w:right w:val="nil"/>
            </w:tcBorders>
            <w:tcMar>
              <w:top w:w="60" w:type="dxa"/>
              <w:left w:w="100" w:type="dxa"/>
              <w:bottom w:w="60" w:type="dxa"/>
              <w:right w:w="100" w:type="dxa"/>
            </w:tcMar>
            <w:vAlign w:val="center"/>
          </w:tcPr>
          <w:p w14:paraId="0F905674">
            <w:pPr>
              <w:keepNext w:val="0"/>
              <w:keepLines w:val="0"/>
              <w:widowControl w:val="0"/>
              <w:kinsoku/>
              <w:wordWrap/>
              <w:overflowPunct/>
              <w:topLinePunct w:val="0"/>
              <w:autoSpaceDE/>
              <w:autoSpaceDN/>
              <w:bidi w:val="0"/>
              <w:adjustRightInd/>
              <w:snapToGrid/>
              <w:spacing w:line="480" w:lineRule="auto"/>
              <w:jc w:val="center"/>
              <w:textAlignment w:val="auto"/>
            </w:pPr>
          </w:p>
        </w:tc>
        <w:tc>
          <w:tcPr>
            <w:tcW w:w="560" w:type="dxa"/>
            <w:tcBorders>
              <w:top w:val="nil"/>
              <w:left w:val="nil"/>
              <w:bottom w:val="nil"/>
              <w:right w:val="nil"/>
            </w:tcBorders>
            <w:tcMar>
              <w:top w:w="60" w:type="dxa"/>
              <w:left w:w="100" w:type="dxa"/>
              <w:bottom w:w="60" w:type="dxa"/>
              <w:right w:w="100" w:type="dxa"/>
            </w:tcMar>
            <w:vAlign w:val="center"/>
          </w:tcPr>
          <w:p w14:paraId="73E9E0E2">
            <w:pPr>
              <w:keepNext w:val="0"/>
              <w:keepLines w:val="0"/>
              <w:widowControl w:val="0"/>
              <w:kinsoku/>
              <w:wordWrap/>
              <w:overflowPunct/>
              <w:topLinePunct w:val="0"/>
              <w:autoSpaceDE/>
              <w:autoSpaceDN/>
              <w:bidi w:val="0"/>
              <w:adjustRightInd/>
              <w:snapToGrid/>
              <w:spacing w:line="480" w:lineRule="auto"/>
              <w:jc w:val="center"/>
              <w:textAlignment w:val="auto"/>
            </w:pPr>
          </w:p>
        </w:tc>
      </w:tr>
      <w:tr w14:paraId="7A3BD5F8">
        <w:tc>
          <w:tcPr>
            <w:tcW w:w="3700" w:type="dxa"/>
            <w:tcBorders>
              <w:top w:val="nil"/>
              <w:left w:val="nil"/>
              <w:bottom w:val="nil"/>
              <w:right w:val="nil"/>
            </w:tcBorders>
            <w:tcMar>
              <w:top w:w="60" w:type="dxa"/>
              <w:left w:w="100" w:type="dxa"/>
              <w:bottom w:w="60" w:type="dxa"/>
              <w:right w:w="100" w:type="dxa"/>
            </w:tcMar>
            <w:vAlign w:val="center"/>
          </w:tcPr>
          <w:p w14:paraId="6D98971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Mean arterial pressure, mmHg</w:t>
            </w:r>
          </w:p>
        </w:tc>
        <w:tc>
          <w:tcPr>
            <w:tcW w:w="1700" w:type="dxa"/>
            <w:tcBorders>
              <w:top w:val="nil"/>
              <w:left w:val="nil"/>
              <w:bottom w:val="nil"/>
              <w:right w:val="nil"/>
            </w:tcBorders>
            <w:tcMar>
              <w:top w:w="60" w:type="dxa"/>
              <w:left w:w="100" w:type="dxa"/>
              <w:bottom w:w="60" w:type="dxa"/>
              <w:right w:w="100" w:type="dxa"/>
            </w:tcMar>
            <w:vAlign w:val="center"/>
          </w:tcPr>
          <w:p w14:paraId="1C8152C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72 (66, 80)</w:t>
            </w:r>
          </w:p>
        </w:tc>
        <w:tc>
          <w:tcPr>
            <w:tcW w:w="1700" w:type="dxa"/>
            <w:tcBorders>
              <w:top w:val="nil"/>
              <w:left w:val="nil"/>
              <w:bottom w:val="nil"/>
              <w:right w:val="nil"/>
            </w:tcBorders>
            <w:tcMar>
              <w:top w:w="60" w:type="dxa"/>
              <w:left w:w="100" w:type="dxa"/>
              <w:bottom w:w="60" w:type="dxa"/>
              <w:right w:w="100" w:type="dxa"/>
            </w:tcMar>
            <w:vAlign w:val="center"/>
          </w:tcPr>
          <w:p w14:paraId="7EE160E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72 (66, 80)</w:t>
            </w:r>
          </w:p>
        </w:tc>
        <w:tc>
          <w:tcPr>
            <w:tcW w:w="1700" w:type="dxa"/>
            <w:tcBorders>
              <w:top w:val="nil"/>
              <w:left w:val="nil"/>
              <w:bottom w:val="nil"/>
              <w:right w:val="nil"/>
            </w:tcBorders>
            <w:tcMar>
              <w:top w:w="60" w:type="dxa"/>
              <w:left w:w="100" w:type="dxa"/>
              <w:bottom w:w="60" w:type="dxa"/>
              <w:right w:w="100" w:type="dxa"/>
            </w:tcMar>
            <w:vAlign w:val="center"/>
          </w:tcPr>
          <w:p w14:paraId="665A86D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72 (66, 78)</w:t>
            </w:r>
          </w:p>
        </w:tc>
        <w:tc>
          <w:tcPr>
            <w:tcW w:w="560" w:type="dxa"/>
            <w:tcBorders>
              <w:top w:val="nil"/>
              <w:left w:val="nil"/>
              <w:bottom w:val="nil"/>
              <w:right w:val="nil"/>
            </w:tcBorders>
            <w:tcMar>
              <w:top w:w="60" w:type="dxa"/>
              <w:left w:w="100" w:type="dxa"/>
              <w:bottom w:w="60" w:type="dxa"/>
              <w:right w:w="100" w:type="dxa"/>
            </w:tcMar>
            <w:vAlign w:val="center"/>
          </w:tcPr>
          <w:p w14:paraId="145AAF8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0.064</w:t>
            </w:r>
          </w:p>
        </w:tc>
      </w:tr>
      <w:tr w14:paraId="27D756D6">
        <w:tc>
          <w:tcPr>
            <w:tcW w:w="3700" w:type="dxa"/>
            <w:tcBorders>
              <w:top w:val="nil"/>
              <w:left w:val="nil"/>
              <w:bottom w:val="nil"/>
              <w:right w:val="nil"/>
            </w:tcBorders>
            <w:tcMar>
              <w:top w:w="60" w:type="dxa"/>
              <w:left w:w="100" w:type="dxa"/>
              <w:bottom w:w="60" w:type="dxa"/>
              <w:right w:w="100" w:type="dxa"/>
            </w:tcMar>
            <w:vAlign w:val="center"/>
          </w:tcPr>
          <w:p w14:paraId="40AD7C6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Central venous pressure, mmHg</w:t>
            </w:r>
          </w:p>
        </w:tc>
        <w:tc>
          <w:tcPr>
            <w:tcW w:w="1700" w:type="dxa"/>
            <w:tcBorders>
              <w:top w:val="nil"/>
              <w:left w:val="nil"/>
              <w:bottom w:val="nil"/>
              <w:right w:val="nil"/>
            </w:tcBorders>
            <w:tcMar>
              <w:top w:w="60" w:type="dxa"/>
              <w:left w:w="100" w:type="dxa"/>
              <w:bottom w:w="60" w:type="dxa"/>
              <w:right w:w="100" w:type="dxa"/>
            </w:tcMar>
            <w:vAlign w:val="center"/>
          </w:tcPr>
          <w:p w14:paraId="2B7EF8C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12 (8, 15)</w:t>
            </w:r>
          </w:p>
        </w:tc>
        <w:tc>
          <w:tcPr>
            <w:tcW w:w="1700" w:type="dxa"/>
            <w:tcBorders>
              <w:top w:val="nil"/>
              <w:left w:val="nil"/>
              <w:bottom w:val="nil"/>
              <w:right w:val="nil"/>
            </w:tcBorders>
            <w:tcMar>
              <w:top w:w="60" w:type="dxa"/>
              <w:left w:w="100" w:type="dxa"/>
              <w:bottom w:w="60" w:type="dxa"/>
              <w:right w:w="100" w:type="dxa"/>
            </w:tcMar>
            <w:vAlign w:val="center"/>
          </w:tcPr>
          <w:p w14:paraId="2A176C9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11 (8, 15)</w:t>
            </w:r>
          </w:p>
        </w:tc>
        <w:tc>
          <w:tcPr>
            <w:tcW w:w="1700" w:type="dxa"/>
            <w:tcBorders>
              <w:top w:val="nil"/>
              <w:left w:val="nil"/>
              <w:bottom w:val="nil"/>
              <w:right w:val="nil"/>
            </w:tcBorders>
            <w:tcMar>
              <w:top w:w="60" w:type="dxa"/>
              <w:left w:w="100" w:type="dxa"/>
              <w:bottom w:w="60" w:type="dxa"/>
              <w:right w:w="100" w:type="dxa"/>
            </w:tcMar>
            <w:vAlign w:val="center"/>
          </w:tcPr>
          <w:p w14:paraId="5F625E7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14 (10, 17)</w:t>
            </w:r>
          </w:p>
        </w:tc>
        <w:tc>
          <w:tcPr>
            <w:tcW w:w="560" w:type="dxa"/>
            <w:tcBorders>
              <w:top w:val="nil"/>
              <w:left w:val="nil"/>
              <w:bottom w:val="nil"/>
              <w:right w:val="nil"/>
            </w:tcBorders>
            <w:tcMar>
              <w:top w:w="60" w:type="dxa"/>
              <w:left w:w="100" w:type="dxa"/>
              <w:bottom w:w="60" w:type="dxa"/>
              <w:right w:w="100" w:type="dxa"/>
            </w:tcMar>
            <w:vAlign w:val="center"/>
          </w:tcPr>
          <w:p w14:paraId="298C8C8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&lt;0.001</w:t>
            </w:r>
          </w:p>
        </w:tc>
      </w:tr>
      <w:tr w14:paraId="5EEFDF21">
        <w:tc>
          <w:tcPr>
            <w:tcW w:w="3700" w:type="dxa"/>
            <w:tcBorders>
              <w:top w:val="nil"/>
              <w:left w:val="nil"/>
              <w:bottom w:val="nil"/>
              <w:right w:val="nil"/>
            </w:tcBorders>
            <w:tcMar>
              <w:top w:w="60" w:type="dxa"/>
              <w:left w:w="100" w:type="dxa"/>
              <w:bottom w:w="60" w:type="dxa"/>
              <w:right w:w="100" w:type="dxa"/>
            </w:tcMar>
            <w:vAlign w:val="center"/>
          </w:tcPr>
          <w:p w14:paraId="35A25C1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Lactate, mmol/L</w:t>
            </w:r>
          </w:p>
        </w:tc>
        <w:tc>
          <w:tcPr>
            <w:tcW w:w="1700" w:type="dxa"/>
            <w:tcBorders>
              <w:top w:val="nil"/>
              <w:left w:val="nil"/>
              <w:bottom w:val="nil"/>
              <w:right w:val="nil"/>
            </w:tcBorders>
            <w:tcMar>
              <w:top w:w="60" w:type="dxa"/>
              <w:left w:w="100" w:type="dxa"/>
              <w:bottom w:w="60" w:type="dxa"/>
              <w:right w:w="100" w:type="dxa"/>
            </w:tcMar>
            <w:vAlign w:val="center"/>
          </w:tcPr>
          <w:p w14:paraId="74E8F63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1.80 (1.30, 2.80)</w:t>
            </w:r>
          </w:p>
        </w:tc>
        <w:tc>
          <w:tcPr>
            <w:tcW w:w="1700" w:type="dxa"/>
            <w:tcBorders>
              <w:top w:val="nil"/>
              <w:left w:val="nil"/>
              <w:bottom w:val="nil"/>
              <w:right w:val="nil"/>
            </w:tcBorders>
            <w:tcMar>
              <w:top w:w="60" w:type="dxa"/>
              <w:left w:w="100" w:type="dxa"/>
              <w:bottom w:w="60" w:type="dxa"/>
              <w:right w:w="100" w:type="dxa"/>
            </w:tcMar>
            <w:vAlign w:val="center"/>
          </w:tcPr>
          <w:p w14:paraId="6CC93B0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1.90 (1.30, 2.90)</w:t>
            </w:r>
          </w:p>
        </w:tc>
        <w:tc>
          <w:tcPr>
            <w:tcW w:w="1700" w:type="dxa"/>
            <w:tcBorders>
              <w:top w:val="nil"/>
              <w:left w:val="nil"/>
              <w:bottom w:val="nil"/>
              <w:right w:val="nil"/>
            </w:tcBorders>
            <w:tcMar>
              <w:top w:w="60" w:type="dxa"/>
              <w:left w:w="100" w:type="dxa"/>
              <w:bottom w:w="60" w:type="dxa"/>
              <w:right w:w="100" w:type="dxa"/>
            </w:tcMar>
            <w:vAlign w:val="center"/>
          </w:tcPr>
          <w:p w14:paraId="2F9BBA5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1.70 (1.20, 2.50)</w:t>
            </w:r>
          </w:p>
        </w:tc>
        <w:tc>
          <w:tcPr>
            <w:tcW w:w="560" w:type="dxa"/>
            <w:tcBorders>
              <w:top w:val="nil"/>
              <w:left w:val="nil"/>
              <w:bottom w:val="nil"/>
              <w:right w:val="nil"/>
            </w:tcBorders>
            <w:tcMar>
              <w:top w:w="60" w:type="dxa"/>
              <w:left w:w="100" w:type="dxa"/>
              <w:bottom w:w="60" w:type="dxa"/>
              <w:right w:w="100" w:type="dxa"/>
            </w:tcMar>
            <w:vAlign w:val="center"/>
          </w:tcPr>
          <w:p w14:paraId="390EE94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&lt;0.001</w:t>
            </w:r>
          </w:p>
        </w:tc>
      </w:tr>
      <w:tr w14:paraId="2D2CADDF">
        <w:tc>
          <w:tcPr>
            <w:tcW w:w="3700" w:type="dxa"/>
            <w:tcBorders>
              <w:top w:val="nil"/>
              <w:left w:val="nil"/>
              <w:bottom w:val="nil"/>
              <w:right w:val="nil"/>
            </w:tcBorders>
            <w:tcMar>
              <w:top w:w="60" w:type="dxa"/>
              <w:left w:w="100" w:type="dxa"/>
              <w:bottom w:w="60" w:type="dxa"/>
              <w:right w:w="100" w:type="dxa"/>
            </w:tcMar>
            <w:vAlign w:val="center"/>
          </w:tcPr>
          <w:p w14:paraId="25ECC8B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Creatinine, mg/dL</w:t>
            </w:r>
          </w:p>
        </w:tc>
        <w:tc>
          <w:tcPr>
            <w:tcW w:w="1700" w:type="dxa"/>
            <w:tcBorders>
              <w:top w:val="nil"/>
              <w:left w:val="nil"/>
              <w:bottom w:val="nil"/>
              <w:right w:val="nil"/>
            </w:tcBorders>
            <w:tcMar>
              <w:top w:w="60" w:type="dxa"/>
              <w:left w:w="100" w:type="dxa"/>
              <w:bottom w:w="60" w:type="dxa"/>
              <w:right w:w="100" w:type="dxa"/>
            </w:tcMar>
            <w:vAlign w:val="center"/>
          </w:tcPr>
          <w:p w14:paraId="11E045C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1.10 (0.80, 1.80)</w:t>
            </w:r>
          </w:p>
        </w:tc>
        <w:tc>
          <w:tcPr>
            <w:tcW w:w="1700" w:type="dxa"/>
            <w:tcBorders>
              <w:top w:val="nil"/>
              <w:left w:val="nil"/>
              <w:bottom w:val="nil"/>
              <w:right w:val="nil"/>
            </w:tcBorders>
            <w:tcMar>
              <w:top w:w="60" w:type="dxa"/>
              <w:left w:w="100" w:type="dxa"/>
              <w:bottom w:w="60" w:type="dxa"/>
              <w:right w:w="100" w:type="dxa"/>
            </w:tcMar>
            <w:vAlign w:val="center"/>
          </w:tcPr>
          <w:p w14:paraId="01F4FFB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1.10 (0.80, 1.80)</w:t>
            </w:r>
          </w:p>
        </w:tc>
        <w:tc>
          <w:tcPr>
            <w:tcW w:w="1700" w:type="dxa"/>
            <w:tcBorders>
              <w:top w:val="nil"/>
              <w:left w:val="nil"/>
              <w:bottom w:val="nil"/>
              <w:right w:val="nil"/>
            </w:tcBorders>
            <w:tcMar>
              <w:top w:w="60" w:type="dxa"/>
              <w:left w:w="100" w:type="dxa"/>
              <w:bottom w:w="60" w:type="dxa"/>
              <w:right w:w="100" w:type="dxa"/>
            </w:tcMar>
            <w:vAlign w:val="center"/>
          </w:tcPr>
          <w:p w14:paraId="4087645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1.30 (0.80, 2.00)</w:t>
            </w:r>
          </w:p>
        </w:tc>
        <w:tc>
          <w:tcPr>
            <w:tcW w:w="560" w:type="dxa"/>
            <w:tcBorders>
              <w:top w:val="nil"/>
              <w:left w:val="nil"/>
              <w:bottom w:val="nil"/>
              <w:right w:val="nil"/>
            </w:tcBorders>
            <w:tcMar>
              <w:top w:w="60" w:type="dxa"/>
              <w:left w:w="100" w:type="dxa"/>
              <w:bottom w:w="60" w:type="dxa"/>
              <w:right w:w="100" w:type="dxa"/>
            </w:tcMar>
            <w:vAlign w:val="center"/>
          </w:tcPr>
          <w:p w14:paraId="1935793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&lt;0.001</w:t>
            </w:r>
          </w:p>
        </w:tc>
      </w:tr>
      <w:tr w14:paraId="3A43338C">
        <w:tc>
          <w:tcPr>
            <w:tcW w:w="3700" w:type="dxa"/>
            <w:tcBorders>
              <w:top w:val="nil"/>
              <w:left w:val="nil"/>
              <w:bottom w:val="nil"/>
              <w:right w:val="nil"/>
            </w:tcBorders>
            <w:tcMar>
              <w:top w:w="60" w:type="dxa"/>
              <w:left w:w="100" w:type="dxa"/>
              <w:bottom w:w="60" w:type="dxa"/>
              <w:right w:w="100" w:type="dxa"/>
            </w:tcMar>
            <w:vAlign w:val="center"/>
          </w:tcPr>
          <w:p w14:paraId="2437C00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Albumin, g/dL</w:t>
            </w:r>
          </w:p>
        </w:tc>
        <w:tc>
          <w:tcPr>
            <w:tcW w:w="1700" w:type="dxa"/>
            <w:tcBorders>
              <w:top w:val="nil"/>
              <w:left w:val="nil"/>
              <w:bottom w:val="nil"/>
              <w:right w:val="nil"/>
            </w:tcBorders>
            <w:tcMar>
              <w:top w:w="60" w:type="dxa"/>
              <w:left w:w="100" w:type="dxa"/>
              <w:bottom w:w="60" w:type="dxa"/>
              <w:right w:w="100" w:type="dxa"/>
            </w:tcMar>
            <w:vAlign w:val="center"/>
          </w:tcPr>
          <w:p w14:paraId="406D6B7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2.80 (2.30, 3.30)</w:t>
            </w:r>
          </w:p>
        </w:tc>
        <w:tc>
          <w:tcPr>
            <w:tcW w:w="1700" w:type="dxa"/>
            <w:tcBorders>
              <w:top w:val="nil"/>
              <w:left w:val="nil"/>
              <w:bottom w:val="nil"/>
              <w:right w:val="nil"/>
            </w:tcBorders>
            <w:tcMar>
              <w:top w:w="60" w:type="dxa"/>
              <w:left w:w="100" w:type="dxa"/>
              <w:bottom w:w="60" w:type="dxa"/>
              <w:right w:w="100" w:type="dxa"/>
            </w:tcMar>
            <w:vAlign w:val="center"/>
          </w:tcPr>
          <w:p w14:paraId="6078998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2.80 (2.40, 3.30)</w:t>
            </w:r>
          </w:p>
        </w:tc>
        <w:tc>
          <w:tcPr>
            <w:tcW w:w="1700" w:type="dxa"/>
            <w:tcBorders>
              <w:top w:val="nil"/>
              <w:left w:val="nil"/>
              <w:bottom w:val="nil"/>
              <w:right w:val="nil"/>
            </w:tcBorders>
            <w:tcMar>
              <w:top w:w="60" w:type="dxa"/>
              <w:left w:w="100" w:type="dxa"/>
              <w:bottom w:w="60" w:type="dxa"/>
              <w:right w:w="100" w:type="dxa"/>
            </w:tcMar>
            <w:vAlign w:val="center"/>
          </w:tcPr>
          <w:p w14:paraId="0E9788F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2.80 (2.30, 3.20)</w:t>
            </w:r>
          </w:p>
        </w:tc>
        <w:tc>
          <w:tcPr>
            <w:tcW w:w="560" w:type="dxa"/>
            <w:tcBorders>
              <w:top w:val="nil"/>
              <w:left w:val="nil"/>
              <w:bottom w:val="nil"/>
              <w:right w:val="nil"/>
            </w:tcBorders>
            <w:tcMar>
              <w:top w:w="60" w:type="dxa"/>
              <w:left w:w="100" w:type="dxa"/>
              <w:bottom w:w="60" w:type="dxa"/>
              <w:right w:w="100" w:type="dxa"/>
            </w:tcMar>
            <w:vAlign w:val="center"/>
          </w:tcPr>
          <w:p w14:paraId="3268185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0.3</w:t>
            </w:r>
          </w:p>
        </w:tc>
      </w:tr>
      <w:tr w14:paraId="73F46543">
        <w:tc>
          <w:tcPr>
            <w:tcW w:w="3700" w:type="dxa"/>
            <w:tcBorders>
              <w:top w:val="nil"/>
              <w:left w:val="nil"/>
              <w:bottom w:val="nil"/>
              <w:right w:val="nil"/>
            </w:tcBorders>
            <w:tcMar>
              <w:top w:w="60" w:type="dxa"/>
              <w:left w:w="100" w:type="dxa"/>
              <w:bottom w:w="60" w:type="dxa"/>
              <w:right w:w="100" w:type="dxa"/>
            </w:tcMar>
            <w:vAlign w:val="center"/>
          </w:tcPr>
          <w:p w14:paraId="117BBBD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iCs/>
                <w:sz w:val="20"/>
                <w:szCs w:val="20"/>
              </w:rPr>
              <w:t>Fluid status (cumulative to index time)</w:t>
            </w:r>
          </w:p>
        </w:tc>
        <w:tc>
          <w:tcPr>
            <w:tcW w:w="1700" w:type="dxa"/>
            <w:tcBorders>
              <w:top w:val="nil"/>
              <w:left w:val="nil"/>
              <w:bottom w:val="nil"/>
              <w:right w:val="nil"/>
            </w:tcBorders>
            <w:tcMar>
              <w:top w:w="60" w:type="dxa"/>
              <w:left w:w="100" w:type="dxa"/>
              <w:bottom w:w="60" w:type="dxa"/>
              <w:right w:w="100" w:type="dxa"/>
            </w:tcMar>
            <w:vAlign w:val="center"/>
          </w:tcPr>
          <w:p w14:paraId="1087C606">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0" w:type="dxa"/>
            <w:tcBorders>
              <w:top w:val="nil"/>
              <w:left w:val="nil"/>
              <w:bottom w:val="nil"/>
              <w:right w:val="nil"/>
            </w:tcBorders>
            <w:tcMar>
              <w:top w:w="60" w:type="dxa"/>
              <w:left w:w="100" w:type="dxa"/>
              <w:bottom w:w="60" w:type="dxa"/>
              <w:right w:w="100" w:type="dxa"/>
            </w:tcMar>
            <w:vAlign w:val="center"/>
          </w:tcPr>
          <w:p w14:paraId="00712DEB">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0" w:type="dxa"/>
            <w:tcBorders>
              <w:top w:val="nil"/>
              <w:left w:val="nil"/>
              <w:bottom w:val="nil"/>
              <w:right w:val="nil"/>
            </w:tcBorders>
            <w:tcMar>
              <w:top w:w="60" w:type="dxa"/>
              <w:left w:w="100" w:type="dxa"/>
              <w:bottom w:w="60" w:type="dxa"/>
              <w:right w:w="100" w:type="dxa"/>
            </w:tcMar>
            <w:vAlign w:val="center"/>
          </w:tcPr>
          <w:p w14:paraId="1DFFCF10">
            <w:pPr>
              <w:keepNext w:val="0"/>
              <w:keepLines w:val="0"/>
              <w:widowControl w:val="0"/>
              <w:kinsoku/>
              <w:wordWrap/>
              <w:overflowPunct/>
              <w:topLinePunct w:val="0"/>
              <w:autoSpaceDE/>
              <w:autoSpaceDN/>
              <w:bidi w:val="0"/>
              <w:adjustRightInd/>
              <w:snapToGrid/>
              <w:spacing w:line="480" w:lineRule="auto"/>
              <w:jc w:val="center"/>
              <w:textAlignment w:val="auto"/>
            </w:pPr>
          </w:p>
        </w:tc>
        <w:tc>
          <w:tcPr>
            <w:tcW w:w="560" w:type="dxa"/>
            <w:tcBorders>
              <w:top w:val="nil"/>
              <w:left w:val="nil"/>
              <w:bottom w:val="nil"/>
              <w:right w:val="nil"/>
            </w:tcBorders>
            <w:tcMar>
              <w:top w:w="60" w:type="dxa"/>
              <w:left w:w="100" w:type="dxa"/>
              <w:bottom w:w="60" w:type="dxa"/>
              <w:right w:w="100" w:type="dxa"/>
            </w:tcMar>
            <w:vAlign w:val="center"/>
          </w:tcPr>
          <w:p w14:paraId="2855CE40">
            <w:pPr>
              <w:keepNext w:val="0"/>
              <w:keepLines w:val="0"/>
              <w:widowControl w:val="0"/>
              <w:kinsoku/>
              <w:wordWrap/>
              <w:overflowPunct/>
              <w:topLinePunct w:val="0"/>
              <w:autoSpaceDE/>
              <w:autoSpaceDN/>
              <w:bidi w:val="0"/>
              <w:adjustRightInd/>
              <w:snapToGrid/>
              <w:spacing w:line="480" w:lineRule="auto"/>
              <w:jc w:val="center"/>
              <w:textAlignment w:val="auto"/>
            </w:pPr>
          </w:p>
        </w:tc>
      </w:tr>
      <w:tr w14:paraId="32645CDD">
        <w:tc>
          <w:tcPr>
            <w:tcW w:w="3700" w:type="dxa"/>
            <w:tcBorders>
              <w:top w:val="nil"/>
              <w:left w:val="nil"/>
              <w:bottom w:val="nil"/>
              <w:right w:val="nil"/>
            </w:tcBorders>
            <w:tcMar>
              <w:top w:w="60" w:type="dxa"/>
              <w:left w:w="100" w:type="dxa"/>
              <w:bottom w:w="60" w:type="dxa"/>
              <w:right w:w="100" w:type="dxa"/>
            </w:tcMar>
            <w:vAlign w:val="center"/>
          </w:tcPr>
          <w:p w14:paraId="409BAD5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Cumulative fluid balance, mL</w:t>
            </w:r>
          </w:p>
        </w:tc>
        <w:tc>
          <w:tcPr>
            <w:tcW w:w="1700" w:type="dxa"/>
            <w:tcBorders>
              <w:top w:val="nil"/>
              <w:left w:val="nil"/>
              <w:bottom w:val="nil"/>
              <w:right w:val="nil"/>
            </w:tcBorders>
            <w:tcMar>
              <w:top w:w="60" w:type="dxa"/>
              <w:left w:w="100" w:type="dxa"/>
              <w:bottom w:w="60" w:type="dxa"/>
              <w:right w:w="100" w:type="dxa"/>
            </w:tcMar>
            <w:vAlign w:val="center"/>
          </w:tcPr>
          <w:p w14:paraId="49F4A63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−1,541 (−3,500, −575)</w:t>
            </w:r>
          </w:p>
        </w:tc>
        <w:tc>
          <w:tcPr>
            <w:tcW w:w="1700" w:type="dxa"/>
            <w:tcBorders>
              <w:top w:val="nil"/>
              <w:left w:val="nil"/>
              <w:bottom w:val="nil"/>
              <w:right w:val="nil"/>
            </w:tcBorders>
            <w:tcMar>
              <w:top w:w="60" w:type="dxa"/>
              <w:left w:w="100" w:type="dxa"/>
              <w:bottom w:w="60" w:type="dxa"/>
              <w:right w:w="100" w:type="dxa"/>
            </w:tcMar>
            <w:vAlign w:val="center"/>
          </w:tcPr>
          <w:p w14:paraId="5D86118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−1,323 (−2,965, −521)</w:t>
            </w:r>
          </w:p>
        </w:tc>
        <w:tc>
          <w:tcPr>
            <w:tcW w:w="1700" w:type="dxa"/>
            <w:tcBorders>
              <w:top w:val="nil"/>
              <w:left w:val="nil"/>
              <w:bottom w:val="nil"/>
              <w:right w:val="nil"/>
            </w:tcBorders>
            <w:tcMar>
              <w:top w:w="60" w:type="dxa"/>
              <w:left w:w="100" w:type="dxa"/>
              <w:bottom w:w="60" w:type="dxa"/>
              <w:right w:w="100" w:type="dxa"/>
            </w:tcMar>
            <w:vAlign w:val="center"/>
          </w:tcPr>
          <w:p w14:paraId="3587F29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−2,415 (−5,590, −900)</w:t>
            </w:r>
          </w:p>
        </w:tc>
        <w:tc>
          <w:tcPr>
            <w:tcW w:w="560" w:type="dxa"/>
            <w:tcBorders>
              <w:top w:val="nil"/>
              <w:left w:val="nil"/>
              <w:bottom w:val="nil"/>
              <w:right w:val="nil"/>
            </w:tcBorders>
            <w:tcMar>
              <w:top w:w="60" w:type="dxa"/>
              <w:left w:w="100" w:type="dxa"/>
              <w:bottom w:w="60" w:type="dxa"/>
              <w:right w:w="100" w:type="dxa"/>
            </w:tcMar>
            <w:vAlign w:val="center"/>
          </w:tcPr>
          <w:p w14:paraId="532CAC8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&lt;0.001</w:t>
            </w:r>
          </w:p>
        </w:tc>
      </w:tr>
      <w:tr w14:paraId="21E14C3E">
        <w:tc>
          <w:tcPr>
            <w:tcW w:w="3700" w:type="dxa"/>
            <w:tcBorders>
              <w:top w:val="nil"/>
              <w:left w:val="nil"/>
              <w:bottom w:val="nil"/>
              <w:right w:val="nil"/>
            </w:tcBorders>
            <w:tcMar>
              <w:top w:w="60" w:type="dxa"/>
              <w:left w:w="100" w:type="dxa"/>
              <w:bottom w:w="60" w:type="dxa"/>
              <w:right w:w="100" w:type="dxa"/>
            </w:tcMar>
            <w:vAlign w:val="center"/>
          </w:tcPr>
          <w:p w14:paraId="75F4819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iCs/>
                <w:sz w:val="20"/>
                <w:szCs w:val="20"/>
              </w:rPr>
              <w:t>Outcomes (unmatched cohort)</w:t>
            </w:r>
          </w:p>
        </w:tc>
        <w:tc>
          <w:tcPr>
            <w:tcW w:w="1700" w:type="dxa"/>
            <w:tcBorders>
              <w:top w:val="nil"/>
              <w:left w:val="nil"/>
              <w:bottom w:val="nil"/>
              <w:right w:val="nil"/>
            </w:tcBorders>
            <w:tcMar>
              <w:top w:w="60" w:type="dxa"/>
              <w:left w:w="100" w:type="dxa"/>
              <w:bottom w:w="60" w:type="dxa"/>
              <w:right w:w="100" w:type="dxa"/>
            </w:tcMar>
            <w:vAlign w:val="center"/>
          </w:tcPr>
          <w:p w14:paraId="2B2ADC3F">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0" w:type="dxa"/>
            <w:tcBorders>
              <w:top w:val="nil"/>
              <w:left w:val="nil"/>
              <w:bottom w:val="nil"/>
              <w:right w:val="nil"/>
            </w:tcBorders>
            <w:tcMar>
              <w:top w:w="60" w:type="dxa"/>
              <w:left w:w="100" w:type="dxa"/>
              <w:bottom w:w="60" w:type="dxa"/>
              <w:right w:w="100" w:type="dxa"/>
            </w:tcMar>
            <w:vAlign w:val="center"/>
          </w:tcPr>
          <w:p w14:paraId="109BEE91">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0" w:type="dxa"/>
            <w:tcBorders>
              <w:top w:val="nil"/>
              <w:left w:val="nil"/>
              <w:bottom w:val="nil"/>
              <w:right w:val="nil"/>
            </w:tcBorders>
            <w:tcMar>
              <w:top w:w="60" w:type="dxa"/>
              <w:left w:w="100" w:type="dxa"/>
              <w:bottom w:w="60" w:type="dxa"/>
              <w:right w:w="100" w:type="dxa"/>
            </w:tcMar>
            <w:vAlign w:val="center"/>
          </w:tcPr>
          <w:p w14:paraId="394C8FEF">
            <w:pPr>
              <w:keepNext w:val="0"/>
              <w:keepLines w:val="0"/>
              <w:widowControl w:val="0"/>
              <w:kinsoku/>
              <w:wordWrap/>
              <w:overflowPunct/>
              <w:topLinePunct w:val="0"/>
              <w:autoSpaceDE/>
              <w:autoSpaceDN/>
              <w:bidi w:val="0"/>
              <w:adjustRightInd/>
              <w:snapToGrid/>
              <w:spacing w:line="480" w:lineRule="auto"/>
              <w:jc w:val="center"/>
              <w:textAlignment w:val="auto"/>
            </w:pPr>
          </w:p>
        </w:tc>
        <w:tc>
          <w:tcPr>
            <w:tcW w:w="560" w:type="dxa"/>
            <w:tcBorders>
              <w:top w:val="nil"/>
              <w:left w:val="nil"/>
              <w:bottom w:val="nil"/>
              <w:right w:val="nil"/>
            </w:tcBorders>
            <w:tcMar>
              <w:top w:w="60" w:type="dxa"/>
              <w:left w:w="100" w:type="dxa"/>
              <w:bottom w:w="60" w:type="dxa"/>
              <w:right w:w="100" w:type="dxa"/>
            </w:tcMar>
            <w:vAlign w:val="center"/>
          </w:tcPr>
          <w:p w14:paraId="57030D09">
            <w:pPr>
              <w:keepNext w:val="0"/>
              <w:keepLines w:val="0"/>
              <w:widowControl w:val="0"/>
              <w:kinsoku/>
              <w:wordWrap/>
              <w:overflowPunct/>
              <w:topLinePunct w:val="0"/>
              <w:autoSpaceDE/>
              <w:autoSpaceDN/>
              <w:bidi w:val="0"/>
              <w:adjustRightInd/>
              <w:snapToGrid/>
              <w:spacing w:line="480" w:lineRule="auto"/>
              <w:jc w:val="center"/>
              <w:textAlignment w:val="auto"/>
            </w:pPr>
          </w:p>
        </w:tc>
      </w:tr>
      <w:tr w14:paraId="734AE394">
        <w:tc>
          <w:tcPr>
            <w:tcW w:w="3700" w:type="dxa"/>
            <w:tcBorders>
              <w:top w:val="nil"/>
              <w:left w:val="nil"/>
              <w:bottom w:val="nil"/>
              <w:right w:val="nil"/>
            </w:tcBorders>
            <w:tcMar>
              <w:top w:w="60" w:type="dxa"/>
              <w:left w:w="100" w:type="dxa"/>
              <w:bottom w:w="60" w:type="dxa"/>
              <w:right w:w="100" w:type="dxa"/>
            </w:tcMar>
            <w:vAlign w:val="center"/>
          </w:tcPr>
          <w:p w14:paraId="03125EC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Primary composite (24 h), n (%)</w:t>
            </w:r>
          </w:p>
        </w:tc>
        <w:tc>
          <w:tcPr>
            <w:tcW w:w="1700" w:type="dxa"/>
            <w:tcBorders>
              <w:top w:val="nil"/>
              <w:left w:val="nil"/>
              <w:bottom w:val="nil"/>
              <w:right w:val="nil"/>
            </w:tcBorders>
            <w:tcMar>
              <w:top w:w="60" w:type="dxa"/>
              <w:left w:w="100" w:type="dxa"/>
              <w:bottom w:w="60" w:type="dxa"/>
              <w:right w:w="100" w:type="dxa"/>
            </w:tcMar>
            <w:vAlign w:val="center"/>
          </w:tcPr>
          <w:p w14:paraId="0EB0AD4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1,818 (27)</w:t>
            </w:r>
          </w:p>
        </w:tc>
        <w:tc>
          <w:tcPr>
            <w:tcW w:w="1700" w:type="dxa"/>
            <w:tcBorders>
              <w:top w:val="nil"/>
              <w:left w:val="nil"/>
              <w:bottom w:val="nil"/>
              <w:right w:val="nil"/>
            </w:tcBorders>
            <w:tcMar>
              <w:top w:w="60" w:type="dxa"/>
              <w:left w:w="100" w:type="dxa"/>
              <w:bottom w:w="60" w:type="dxa"/>
              <w:right w:w="100" w:type="dxa"/>
            </w:tcMar>
            <w:vAlign w:val="center"/>
          </w:tcPr>
          <w:p w14:paraId="14C89F0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1,169 (23)</w:t>
            </w:r>
          </w:p>
        </w:tc>
        <w:tc>
          <w:tcPr>
            <w:tcW w:w="1700" w:type="dxa"/>
            <w:tcBorders>
              <w:top w:val="nil"/>
              <w:left w:val="nil"/>
              <w:bottom w:val="nil"/>
              <w:right w:val="nil"/>
            </w:tcBorders>
            <w:tcMar>
              <w:top w:w="60" w:type="dxa"/>
              <w:left w:w="100" w:type="dxa"/>
              <w:bottom w:w="60" w:type="dxa"/>
              <w:right w:w="100" w:type="dxa"/>
            </w:tcMar>
            <w:vAlign w:val="center"/>
          </w:tcPr>
          <w:p w14:paraId="36951E1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649 (39)</w:t>
            </w:r>
          </w:p>
        </w:tc>
        <w:tc>
          <w:tcPr>
            <w:tcW w:w="560" w:type="dxa"/>
            <w:tcBorders>
              <w:top w:val="nil"/>
              <w:left w:val="nil"/>
              <w:bottom w:val="nil"/>
              <w:right w:val="nil"/>
            </w:tcBorders>
            <w:tcMar>
              <w:top w:w="60" w:type="dxa"/>
              <w:left w:w="100" w:type="dxa"/>
              <w:bottom w:w="60" w:type="dxa"/>
              <w:right w:w="100" w:type="dxa"/>
            </w:tcMar>
            <w:vAlign w:val="center"/>
          </w:tcPr>
          <w:p w14:paraId="5466FD0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&lt;0.001</w:t>
            </w:r>
          </w:p>
        </w:tc>
      </w:tr>
      <w:tr w14:paraId="6618E258">
        <w:tc>
          <w:tcPr>
            <w:tcW w:w="3700" w:type="dxa"/>
            <w:tcBorders>
              <w:top w:val="nil"/>
              <w:left w:val="nil"/>
              <w:bottom w:val="nil"/>
              <w:right w:val="nil"/>
            </w:tcBorders>
            <w:tcMar>
              <w:top w:w="60" w:type="dxa"/>
              <w:left w:w="100" w:type="dxa"/>
              <w:bottom w:w="60" w:type="dxa"/>
              <w:right w:w="100" w:type="dxa"/>
            </w:tcMar>
            <w:vAlign w:val="center"/>
          </w:tcPr>
          <w:p w14:paraId="1EA7AE0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AKI progression (7 d), n (%)</w:t>
            </w:r>
          </w:p>
        </w:tc>
        <w:tc>
          <w:tcPr>
            <w:tcW w:w="1700" w:type="dxa"/>
            <w:tcBorders>
              <w:top w:val="nil"/>
              <w:left w:val="nil"/>
              <w:bottom w:val="nil"/>
              <w:right w:val="nil"/>
            </w:tcBorders>
            <w:tcMar>
              <w:top w:w="60" w:type="dxa"/>
              <w:left w:w="100" w:type="dxa"/>
              <w:bottom w:w="60" w:type="dxa"/>
              <w:right w:w="100" w:type="dxa"/>
            </w:tcMar>
            <w:vAlign w:val="center"/>
          </w:tcPr>
          <w:p w14:paraId="2484B26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3,467 (51)</w:t>
            </w:r>
          </w:p>
        </w:tc>
        <w:tc>
          <w:tcPr>
            <w:tcW w:w="1700" w:type="dxa"/>
            <w:tcBorders>
              <w:top w:val="nil"/>
              <w:left w:val="nil"/>
              <w:bottom w:val="nil"/>
              <w:right w:val="nil"/>
            </w:tcBorders>
            <w:tcMar>
              <w:top w:w="60" w:type="dxa"/>
              <w:left w:w="100" w:type="dxa"/>
              <w:bottom w:w="60" w:type="dxa"/>
              <w:right w:w="100" w:type="dxa"/>
            </w:tcMar>
            <w:vAlign w:val="center"/>
          </w:tcPr>
          <w:p w14:paraId="0433B26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2,638 (52)</w:t>
            </w:r>
          </w:p>
        </w:tc>
        <w:tc>
          <w:tcPr>
            <w:tcW w:w="1700" w:type="dxa"/>
            <w:tcBorders>
              <w:top w:val="nil"/>
              <w:left w:val="nil"/>
              <w:bottom w:val="nil"/>
              <w:right w:val="nil"/>
            </w:tcBorders>
            <w:tcMar>
              <w:top w:w="60" w:type="dxa"/>
              <w:left w:w="100" w:type="dxa"/>
              <w:bottom w:w="60" w:type="dxa"/>
              <w:right w:w="100" w:type="dxa"/>
            </w:tcMar>
            <w:vAlign w:val="center"/>
          </w:tcPr>
          <w:p w14:paraId="6C02036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829 (50)</w:t>
            </w:r>
          </w:p>
        </w:tc>
        <w:tc>
          <w:tcPr>
            <w:tcW w:w="560" w:type="dxa"/>
            <w:tcBorders>
              <w:top w:val="nil"/>
              <w:left w:val="nil"/>
              <w:bottom w:val="nil"/>
              <w:right w:val="nil"/>
            </w:tcBorders>
            <w:tcMar>
              <w:top w:w="60" w:type="dxa"/>
              <w:left w:w="100" w:type="dxa"/>
              <w:bottom w:w="60" w:type="dxa"/>
              <w:right w:w="100" w:type="dxa"/>
            </w:tcMar>
            <w:vAlign w:val="center"/>
          </w:tcPr>
          <w:p w14:paraId="1A2019B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0.14</w:t>
            </w:r>
          </w:p>
        </w:tc>
      </w:tr>
      <w:tr w14:paraId="239E7415">
        <w:tc>
          <w:tcPr>
            <w:tcW w:w="3700" w:type="dxa"/>
            <w:tcBorders>
              <w:top w:val="nil"/>
              <w:left w:val="nil"/>
              <w:bottom w:val="single" w:color="000000" w:sz="12" w:space="0"/>
              <w:right w:val="nil"/>
            </w:tcBorders>
            <w:tcMar>
              <w:top w:w="60" w:type="dxa"/>
              <w:left w:w="100" w:type="dxa"/>
              <w:bottom w:w="60" w:type="dxa"/>
              <w:right w:w="100" w:type="dxa"/>
            </w:tcMar>
            <w:vAlign w:val="center"/>
          </w:tcPr>
          <w:p w14:paraId="2F5AF69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28-day mortality, n (%)</w:t>
            </w:r>
          </w:p>
        </w:tc>
        <w:tc>
          <w:tcPr>
            <w:tcW w:w="1700" w:type="dxa"/>
            <w:tcBorders>
              <w:top w:val="nil"/>
              <w:left w:val="nil"/>
              <w:bottom w:val="single" w:color="000000" w:sz="12" w:space="0"/>
              <w:right w:val="nil"/>
            </w:tcBorders>
            <w:tcMar>
              <w:top w:w="60" w:type="dxa"/>
              <w:left w:w="100" w:type="dxa"/>
              <w:bottom w:w="60" w:type="dxa"/>
              <w:right w:w="100" w:type="dxa"/>
            </w:tcMar>
            <w:vAlign w:val="center"/>
          </w:tcPr>
          <w:p w14:paraId="26BD79D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1,996 (30)</w:t>
            </w:r>
          </w:p>
        </w:tc>
        <w:tc>
          <w:tcPr>
            <w:tcW w:w="1700" w:type="dxa"/>
            <w:tcBorders>
              <w:top w:val="nil"/>
              <w:left w:val="nil"/>
              <w:bottom w:val="single" w:color="000000" w:sz="12" w:space="0"/>
              <w:right w:val="nil"/>
            </w:tcBorders>
            <w:tcMar>
              <w:top w:w="60" w:type="dxa"/>
              <w:left w:w="100" w:type="dxa"/>
              <w:bottom w:w="60" w:type="dxa"/>
              <w:right w:w="100" w:type="dxa"/>
            </w:tcMar>
            <w:vAlign w:val="center"/>
          </w:tcPr>
          <w:p w14:paraId="29A7DBD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1,436 (28)</w:t>
            </w:r>
          </w:p>
        </w:tc>
        <w:tc>
          <w:tcPr>
            <w:tcW w:w="1700" w:type="dxa"/>
            <w:tcBorders>
              <w:top w:val="nil"/>
              <w:left w:val="nil"/>
              <w:bottom w:val="single" w:color="000000" w:sz="12" w:space="0"/>
              <w:right w:val="nil"/>
            </w:tcBorders>
            <w:tcMar>
              <w:top w:w="60" w:type="dxa"/>
              <w:left w:w="100" w:type="dxa"/>
              <w:bottom w:w="60" w:type="dxa"/>
              <w:right w:w="100" w:type="dxa"/>
            </w:tcMar>
            <w:vAlign w:val="center"/>
          </w:tcPr>
          <w:p w14:paraId="0DB0CFB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560 (34)</w:t>
            </w:r>
          </w:p>
        </w:tc>
        <w:tc>
          <w:tcPr>
            <w:tcW w:w="560" w:type="dxa"/>
            <w:tcBorders>
              <w:top w:val="nil"/>
              <w:left w:val="nil"/>
              <w:bottom w:val="single" w:color="000000" w:sz="12" w:space="0"/>
              <w:right w:val="nil"/>
            </w:tcBorders>
            <w:tcMar>
              <w:top w:w="60" w:type="dxa"/>
              <w:left w:w="100" w:type="dxa"/>
              <w:bottom w:w="60" w:type="dxa"/>
              <w:right w:w="100" w:type="dxa"/>
            </w:tcMar>
            <w:vAlign w:val="center"/>
          </w:tcPr>
          <w:p w14:paraId="1BE624A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&lt;0.001</w:t>
            </w:r>
          </w:p>
        </w:tc>
      </w:tr>
    </w:tbl>
    <w:p w14:paraId="65A3F646">
      <w:pPr>
        <w:keepNext w:val="0"/>
        <w:keepLines w:val="0"/>
        <w:widowControl w:val="0"/>
        <w:kinsoku/>
        <w:wordWrap/>
        <w:overflowPunct/>
        <w:topLinePunct w:val="0"/>
        <w:autoSpaceDE/>
        <w:autoSpaceDN/>
        <w:bidi w:val="0"/>
        <w:adjustRightInd/>
        <w:snapToGrid/>
        <w:spacing w:before="60" w:after="120" w:line="480" w:lineRule="auto"/>
        <w:textAlignment w:val="auto"/>
      </w:pPr>
      <w:r>
        <w:rPr>
          <w:rFonts w:ascii="Times New Roman" w:hAnsi="Times New Roman" w:eastAsia="Times New Roman" w:cs="Times New Roman"/>
          <w:i/>
          <w:iCs/>
          <w:sz w:val="20"/>
          <w:szCs w:val="20"/>
        </w:rPr>
        <w:t>Continuous variables are reported as median (Q1, Q3); categorical variables as n (%). p-values from Wilcoxon rank-sum test for continuous variables and Pearson chi-squared test for categorical variables. Descriptive statistics are computed on observed values prior to imputation; the regression and causal forest analyses used median imputation with missing-indicator coding for variables with substantial missingness (Supplementary Methods S4; Supplementary Table S4). The post-matching cohort baseline appears as Table 1 in the main text.</w:t>
      </w:r>
    </w:p>
    <w:p w14:paraId="37166C1E">
      <w:pPr>
        <w:keepNext w:val="0"/>
        <w:keepLines w:val="0"/>
        <w:widowControl w:val="0"/>
        <w:kinsoku/>
        <w:wordWrap/>
        <w:overflowPunct/>
        <w:topLinePunct w:val="0"/>
        <w:autoSpaceDE/>
        <w:autoSpaceDN/>
        <w:bidi w:val="0"/>
        <w:adjustRightInd/>
        <w:snapToGrid/>
        <w:spacing w:line="480" w:lineRule="auto"/>
        <w:textAlignment w:val="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Supplementary Table S3. Variable importance ranking from the causal forest (top 25 of 48 covariates).</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000"/>
        <w:gridCol w:w="1600"/>
        <w:gridCol w:w="2400"/>
        <w:gridCol w:w="1360"/>
      </w:tblGrid>
      <w:tr w14:paraId="58A9F30A">
        <w:tc>
          <w:tcPr>
            <w:tcW w:w="4000" w:type="dxa"/>
            <w:tcBorders>
              <w:top w:val="single" w:color="000000" w:sz="12" w:space="0"/>
              <w:left w:val="nil"/>
              <w:bottom w:val="single" w:color="000000" w:sz="6" w:space="0"/>
              <w:right w:val="nil"/>
            </w:tcBorders>
            <w:tcMar>
              <w:top w:w="60" w:type="dxa"/>
              <w:left w:w="100" w:type="dxa"/>
              <w:bottom w:w="60" w:type="dxa"/>
              <w:right w:w="100" w:type="dxa"/>
            </w:tcMar>
            <w:vAlign w:val="center"/>
          </w:tcPr>
          <w:p w14:paraId="1C1C503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Variable</w:t>
            </w:r>
          </w:p>
        </w:tc>
        <w:tc>
          <w:tcPr>
            <w:tcW w:w="1600" w:type="dxa"/>
            <w:tcBorders>
              <w:top w:val="single" w:color="000000" w:sz="12" w:space="0"/>
              <w:left w:val="nil"/>
              <w:bottom w:val="single" w:color="000000" w:sz="6" w:space="0"/>
              <w:right w:val="nil"/>
            </w:tcBorders>
            <w:tcMar>
              <w:top w:w="60" w:type="dxa"/>
              <w:left w:w="100" w:type="dxa"/>
              <w:bottom w:w="60" w:type="dxa"/>
              <w:right w:w="100" w:type="dxa"/>
            </w:tcMar>
            <w:vAlign w:val="center"/>
          </w:tcPr>
          <w:p w14:paraId="76CC1F4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Importance</w:t>
            </w:r>
          </w:p>
        </w:tc>
        <w:tc>
          <w:tcPr>
            <w:tcW w:w="2400" w:type="dxa"/>
            <w:tcBorders>
              <w:top w:val="single" w:color="000000" w:sz="12" w:space="0"/>
              <w:left w:val="nil"/>
              <w:bottom w:val="single" w:color="000000" w:sz="6" w:space="0"/>
              <w:right w:val="nil"/>
            </w:tcBorders>
            <w:tcMar>
              <w:top w:w="60" w:type="dxa"/>
              <w:left w:w="100" w:type="dxa"/>
              <w:bottom w:w="60" w:type="dxa"/>
              <w:right w:w="100" w:type="dxa"/>
            </w:tcMar>
            <w:vAlign w:val="center"/>
          </w:tcPr>
          <w:p w14:paraId="69E02BF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Category</w:t>
            </w:r>
          </w:p>
        </w:tc>
        <w:tc>
          <w:tcPr>
            <w:tcW w:w="1360" w:type="dxa"/>
            <w:tcBorders>
              <w:top w:val="single" w:color="000000" w:sz="12" w:space="0"/>
              <w:left w:val="nil"/>
              <w:bottom w:val="single" w:color="000000" w:sz="6" w:space="0"/>
              <w:right w:val="nil"/>
            </w:tcBorders>
            <w:tcMar>
              <w:top w:w="60" w:type="dxa"/>
              <w:left w:w="100" w:type="dxa"/>
              <w:bottom w:w="60" w:type="dxa"/>
              <w:right w:w="100" w:type="dxa"/>
            </w:tcMar>
            <w:vAlign w:val="center"/>
          </w:tcPr>
          <w:p w14:paraId="38AFAA1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Rank</w:t>
            </w:r>
          </w:p>
        </w:tc>
      </w:tr>
      <w:tr w14:paraId="64921B3F">
        <w:tc>
          <w:tcPr>
            <w:tcW w:w="4000" w:type="dxa"/>
            <w:tcBorders>
              <w:top w:val="nil"/>
              <w:left w:val="nil"/>
              <w:bottom w:val="nil"/>
              <w:right w:val="nil"/>
            </w:tcBorders>
            <w:tcMar>
              <w:top w:w="60" w:type="dxa"/>
              <w:left w:w="100" w:type="dxa"/>
              <w:bottom w:w="60" w:type="dxa"/>
              <w:right w:w="100" w:type="dxa"/>
            </w:tcMar>
            <w:vAlign w:val="center"/>
          </w:tcPr>
          <w:p w14:paraId="394DE54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ne_dose_now</w:t>
            </w:r>
          </w:p>
        </w:tc>
        <w:tc>
          <w:tcPr>
            <w:tcW w:w="1600" w:type="dxa"/>
            <w:tcBorders>
              <w:top w:val="nil"/>
              <w:left w:val="nil"/>
              <w:bottom w:val="nil"/>
              <w:right w:val="nil"/>
            </w:tcBorders>
            <w:tcMar>
              <w:top w:w="60" w:type="dxa"/>
              <w:left w:w="100" w:type="dxa"/>
              <w:bottom w:w="60" w:type="dxa"/>
              <w:right w:w="100" w:type="dxa"/>
            </w:tcMar>
            <w:vAlign w:val="center"/>
          </w:tcPr>
          <w:p w14:paraId="498C0E1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0.163</w:t>
            </w:r>
          </w:p>
        </w:tc>
        <w:tc>
          <w:tcPr>
            <w:tcW w:w="2400" w:type="dxa"/>
            <w:tcBorders>
              <w:top w:val="nil"/>
              <w:left w:val="nil"/>
              <w:bottom w:val="nil"/>
              <w:right w:val="nil"/>
            </w:tcBorders>
            <w:tcMar>
              <w:top w:w="60" w:type="dxa"/>
              <w:left w:w="100" w:type="dxa"/>
              <w:bottom w:w="60" w:type="dxa"/>
              <w:right w:w="100" w:type="dxa"/>
            </w:tcMar>
            <w:vAlign w:val="center"/>
          </w:tcPr>
          <w:p w14:paraId="14FBF17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Indication/Decision</w:t>
            </w:r>
          </w:p>
        </w:tc>
        <w:tc>
          <w:tcPr>
            <w:tcW w:w="1360" w:type="dxa"/>
            <w:tcBorders>
              <w:top w:val="nil"/>
              <w:left w:val="nil"/>
              <w:bottom w:val="nil"/>
              <w:right w:val="nil"/>
            </w:tcBorders>
            <w:tcMar>
              <w:top w:w="60" w:type="dxa"/>
              <w:left w:w="100" w:type="dxa"/>
              <w:bottom w:w="60" w:type="dxa"/>
              <w:right w:w="100" w:type="dxa"/>
            </w:tcMar>
            <w:vAlign w:val="center"/>
          </w:tcPr>
          <w:p w14:paraId="1588908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w:t>
            </w:r>
          </w:p>
        </w:tc>
      </w:tr>
      <w:tr w14:paraId="4C1D4DCF">
        <w:tc>
          <w:tcPr>
            <w:tcW w:w="4000" w:type="dxa"/>
            <w:tcBorders>
              <w:top w:val="nil"/>
              <w:left w:val="nil"/>
              <w:bottom w:val="nil"/>
              <w:right w:val="nil"/>
            </w:tcBorders>
            <w:tcMar>
              <w:top w:w="60" w:type="dxa"/>
              <w:left w:w="100" w:type="dxa"/>
              <w:bottom w:w="60" w:type="dxa"/>
              <w:right w:w="100" w:type="dxa"/>
            </w:tcMar>
            <w:vAlign w:val="center"/>
          </w:tcPr>
          <w:p w14:paraId="556CEB5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fluid_balance_ml_cum</w:t>
            </w:r>
          </w:p>
        </w:tc>
        <w:tc>
          <w:tcPr>
            <w:tcW w:w="1600" w:type="dxa"/>
            <w:tcBorders>
              <w:top w:val="nil"/>
              <w:left w:val="nil"/>
              <w:bottom w:val="nil"/>
              <w:right w:val="nil"/>
            </w:tcBorders>
            <w:tcMar>
              <w:top w:w="60" w:type="dxa"/>
              <w:left w:w="100" w:type="dxa"/>
              <w:bottom w:w="60" w:type="dxa"/>
              <w:right w:w="100" w:type="dxa"/>
            </w:tcMar>
            <w:vAlign w:val="center"/>
          </w:tcPr>
          <w:p w14:paraId="35ADBCC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0.075</w:t>
            </w:r>
          </w:p>
        </w:tc>
        <w:tc>
          <w:tcPr>
            <w:tcW w:w="2400" w:type="dxa"/>
            <w:tcBorders>
              <w:top w:val="nil"/>
              <w:left w:val="nil"/>
              <w:bottom w:val="nil"/>
              <w:right w:val="nil"/>
            </w:tcBorders>
            <w:tcMar>
              <w:top w:w="60" w:type="dxa"/>
              <w:left w:w="100" w:type="dxa"/>
              <w:bottom w:w="60" w:type="dxa"/>
              <w:right w:w="100" w:type="dxa"/>
            </w:tcMar>
            <w:vAlign w:val="center"/>
          </w:tcPr>
          <w:p w14:paraId="1212A2A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Fluid management</w:t>
            </w:r>
          </w:p>
        </w:tc>
        <w:tc>
          <w:tcPr>
            <w:tcW w:w="1360" w:type="dxa"/>
            <w:tcBorders>
              <w:top w:val="nil"/>
              <w:left w:val="nil"/>
              <w:bottom w:val="nil"/>
              <w:right w:val="nil"/>
            </w:tcBorders>
            <w:tcMar>
              <w:top w:w="60" w:type="dxa"/>
              <w:left w:w="100" w:type="dxa"/>
              <w:bottom w:w="60" w:type="dxa"/>
              <w:right w:w="100" w:type="dxa"/>
            </w:tcMar>
            <w:vAlign w:val="center"/>
          </w:tcPr>
          <w:p w14:paraId="5349C6B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w:t>
            </w:r>
          </w:p>
        </w:tc>
      </w:tr>
      <w:tr w14:paraId="6EB7D52F">
        <w:tc>
          <w:tcPr>
            <w:tcW w:w="4000" w:type="dxa"/>
            <w:tcBorders>
              <w:top w:val="nil"/>
              <w:left w:val="nil"/>
              <w:bottom w:val="nil"/>
              <w:right w:val="nil"/>
            </w:tcBorders>
            <w:tcMar>
              <w:top w:w="60" w:type="dxa"/>
              <w:left w:w="100" w:type="dxa"/>
              <w:bottom w:w="60" w:type="dxa"/>
              <w:right w:w="100" w:type="dxa"/>
            </w:tcMar>
            <w:vAlign w:val="center"/>
          </w:tcPr>
          <w:p w14:paraId="24BFC34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hours_since_first_ne</w:t>
            </w:r>
          </w:p>
        </w:tc>
        <w:tc>
          <w:tcPr>
            <w:tcW w:w="1600" w:type="dxa"/>
            <w:tcBorders>
              <w:top w:val="nil"/>
              <w:left w:val="nil"/>
              <w:bottom w:val="nil"/>
              <w:right w:val="nil"/>
            </w:tcBorders>
            <w:tcMar>
              <w:top w:w="60" w:type="dxa"/>
              <w:left w:w="100" w:type="dxa"/>
              <w:bottom w:w="60" w:type="dxa"/>
              <w:right w:w="100" w:type="dxa"/>
            </w:tcMar>
            <w:vAlign w:val="center"/>
          </w:tcPr>
          <w:p w14:paraId="7DE4C4A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0.059</w:t>
            </w:r>
          </w:p>
        </w:tc>
        <w:tc>
          <w:tcPr>
            <w:tcW w:w="2400" w:type="dxa"/>
            <w:tcBorders>
              <w:top w:val="nil"/>
              <w:left w:val="nil"/>
              <w:bottom w:val="nil"/>
              <w:right w:val="nil"/>
            </w:tcBorders>
            <w:tcMar>
              <w:top w:w="60" w:type="dxa"/>
              <w:left w:w="100" w:type="dxa"/>
              <w:bottom w:w="60" w:type="dxa"/>
              <w:right w:w="100" w:type="dxa"/>
            </w:tcMar>
            <w:vAlign w:val="center"/>
          </w:tcPr>
          <w:p w14:paraId="4336552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Indication/Decision</w:t>
            </w:r>
          </w:p>
        </w:tc>
        <w:tc>
          <w:tcPr>
            <w:tcW w:w="1360" w:type="dxa"/>
            <w:tcBorders>
              <w:top w:val="nil"/>
              <w:left w:val="nil"/>
              <w:bottom w:val="nil"/>
              <w:right w:val="nil"/>
            </w:tcBorders>
            <w:tcMar>
              <w:top w:w="60" w:type="dxa"/>
              <w:left w:w="100" w:type="dxa"/>
              <w:bottom w:w="60" w:type="dxa"/>
              <w:right w:w="100" w:type="dxa"/>
            </w:tcMar>
            <w:vAlign w:val="center"/>
          </w:tcPr>
          <w:p w14:paraId="1ADC07F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3</w:t>
            </w:r>
          </w:p>
        </w:tc>
      </w:tr>
      <w:tr w14:paraId="36766537">
        <w:tc>
          <w:tcPr>
            <w:tcW w:w="4000" w:type="dxa"/>
            <w:tcBorders>
              <w:top w:val="nil"/>
              <w:left w:val="nil"/>
              <w:bottom w:val="nil"/>
              <w:right w:val="nil"/>
            </w:tcBorders>
            <w:tcMar>
              <w:top w:w="60" w:type="dxa"/>
              <w:left w:w="100" w:type="dxa"/>
              <w:bottom w:w="60" w:type="dxa"/>
              <w:right w:w="100" w:type="dxa"/>
            </w:tcMar>
            <w:vAlign w:val="center"/>
          </w:tcPr>
          <w:p w14:paraId="36DD594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congestive_heart_failure</w:t>
            </w:r>
          </w:p>
        </w:tc>
        <w:tc>
          <w:tcPr>
            <w:tcW w:w="1600" w:type="dxa"/>
            <w:tcBorders>
              <w:top w:val="nil"/>
              <w:left w:val="nil"/>
              <w:bottom w:val="nil"/>
              <w:right w:val="nil"/>
            </w:tcBorders>
            <w:tcMar>
              <w:top w:w="60" w:type="dxa"/>
              <w:left w:w="100" w:type="dxa"/>
              <w:bottom w:w="60" w:type="dxa"/>
              <w:right w:w="100" w:type="dxa"/>
            </w:tcMar>
            <w:vAlign w:val="center"/>
          </w:tcPr>
          <w:p w14:paraId="2F1250E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0.057</w:t>
            </w:r>
          </w:p>
        </w:tc>
        <w:tc>
          <w:tcPr>
            <w:tcW w:w="2400" w:type="dxa"/>
            <w:tcBorders>
              <w:top w:val="nil"/>
              <w:left w:val="nil"/>
              <w:bottom w:val="nil"/>
              <w:right w:val="nil"/>
            </w:tcBorders>
            <w:tcMar>
              <w:top w:w="60" w:type="dxa"/>
              <w:left w:w="100" w:type="dxa"/>
              <w:bottom w:w="60" w:type="dxa"/>
              <w:right w:w="100" w:type="dxa"/>
            </w:tcMar>
            <w:vAlign w:val="center"/>
          </w:tcPr>
          <w:p w14:paraId="1DE8DC9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Biological (comorbidity)</w:t>
            </w:r>
          </w:p>
        </w:tc>
        <w:tc>
          <w:tcPr>
            <w:tcW w:w="1360" w:type="dxa"/>
            <w:tcBorders>
              <w:top w:val="nil"/>
              <w:left w:val="nil"/>
              <w:bottom w:val="nil"/>
              <w:right w:val="nil"/>
            </w:tcBorders>
            <w:tcMar>
              <w:top w:w="60" w:type="dxa"/>
              <w:left w:w="100" w:type="dxa"/>
              <w:bottom w:w="60" w:type="dxa"/>
              <w:right w:w="100" w:type="dxa"/>
            </w:tcMar>
            <w:vAlign w:val="center"/>
          </w:tcPr>
          <w:p w14:paraId="77D5590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4</w:t>
            </w:r>
          </w:p>
        </w:tc>
      </w:tr>
      <w:tr w14:paraId="226E77EC">
        <w:tc>
          <w:tcPr>
            <w:tcW w:w="4000" w:type="dxa"/>
            <w:tcBorders>
              <w:top w:val="nil"/>
              <w:left w:val="nil"/>
              <w:bottom w:val="nil"/>
              <w:right w:val="nil"/>
            </w:tcBorders>
            <w:tcMar>
              <w:top w:w="60" w:type="dxa"/>
              <w:left w:w="100" w:type="dxa"/>
              <w:bottom w:w="60" w:type="dxa"/>
              <w:right w:w="100" w:type="dxa"/>
            </w:tcMar>
            <w:vAlign w:val="center"/>
          </w:tcPr>
          <w:p w14:paraId="3FC041C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bun_mg_dl</w:t>
            </w:r>
          </w:p>
        </w:tc>
        <w:tc>
          <w:tcPr>
            <w:tcW w:w="1600" w:type="dxa"/>
            <w:tcBorders>
              <w:top w:val="nil"/>
              <w:left w:val="nil"/>
              <w:bottom w:val="nil"/>
              <w:right w:val="nil"/>
            </w:tcBorders>
            <w:tcMar>
              <w:top w:w="60" w:type="dxa"/>
              <w:left w:w="100" w:type="dxa"/>
              <w:bottom w:w="60" w:type="dxa"/>
              <w:right w:w="100" w:type="dxa"/>
            </w:tcMar>
            <w:vAlign w:val="center"/>
          </w:tcPr>
          <w:p w14:paraId="3414882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0.053</w:t>
            </w:r>
          </w:p>
        </w:tc>
        <w:tc>
          <w:tcPr>
            <w:tcW w:w="2400" w:type="dxa"/>
            <w:tcBorders>
              <w:top w:val="nil"/>
              <w:left w:val="nil"/>
              <w:bottom w:val="nil"/>
              <w:right w:val="nil"/>
            </w:tcBorders>
            <w:tcMar>
              <w:top w:w="60" w:type="dxa"/>
              <w:left w:w="100" w:type="dxa"/>
              <w:bottom w:w="60" w:type="dxa"/>
              <w:right w:w="100" w:type="dxa"/>
            </w:tcMar>
            <w:vAlign w:val="center"/>
          </w:tcPr>
          <w:p w14:paraId="760A26D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Biological (lab)</w:t>
            </w:r>
          </w:p>
        </w:tc>
        <w:tc>
          <w:tcPr>
            <w:tcW w:w="1360" w:type="dxa"/>
            <w:tcBorders>
              <w:top w:val="nil"/>
              <w:left w:val="nil"/>
              <w:bottom w:val="nil"/>
              <w:right w:val="nil"/>
            </w:tcBorders>
            <w:tcMar>
              <w:top w:w="60" w:type="dxa"/>
              <w:left w:w="100" w:type="dxa"/>
              <w:bottom w:w="60" w:type="dxa"/>
              <w:right w:w="100" w:type="dxa"/>
            </w:tcMar>
            <w:vAlign w:val="center"/>
          </w:tcPr>
          <w:p w14:paraId="0B0A627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5</w:t>
            </w:r>
          </w:p>
        </w:tc>
      </w:tr>
      <w:tr w14:paraId="331F1F13">
        <w:tc>
          <w:tcPr>
            <w:tcW w:w="4000" w:type="dxa"/>
            <w:tcBorders>
              <w:top w:val="nil"/>
              <w:left w:val="nil"/>
              <w:bottom w:val="nil"/>
              <w:right w:val="nil"/>
            </w:tcBorders>
            <w:tcMar>
              <w:top w:w="60" w:type="dxa"/>
              <w:left w:w="100" w:type="dxa"/>
              <w:bottom w:w="60" w:type="dxa"/>
              <w:right w:w="100" w:type="dxa"/>
            </w:tcMar>
            <w:vAlign w:val="center"/>
          </w:tcPr>
          <w:p w14:paraId="3BE2E0A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ne_trajectory_class (rising)</w:t>
            </w:r>
          </w:p>
        </w:tc>
        <w:tc>
          <w:tcPr>
            <w:tcW w:w="1600" w:type="dxa"/>
            <w:tcBorders>
              <w:top w:val="nil"/>
              <w:left w:val="nil"/>
              <w:bottom w:val="nil"/>
              <w:right w:val="nil"/>
            </w:tcBorders>
            <w:tcMar>
              <w:top w:w="60" w:type="dxa"/>
              <w:left w:w="100" w:type="dxa"/>
              <w:bottom w:w="60" w:type="dxa"/>
              <w:right w:w="100" w:type="dxa"/>
            </w:tcMar>
            <w:vAlign w:val="center"/>
          </w:tcPr>
          <w:p w14:paraId="3B2EDD5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0.045</w:t>
            </w:r>
          </w:p>
        </w:tc>
        <w:tc>
          <w:tcPr>
            <w:tcW w:w="2400" w:type="dxa"/>
            <w:tcBorders>
              <w:top w:val="nil"/>
              <w:left w:val="nil"/>
              <w:bottom w:val="nil"/>
              <w:right w:val="nil"/>
            </w:tcBorders>
            <w:tcMar>
              <w:top w:w="60" w:type="dxa"/>
              <w:left w:w="100" w:type="dxa"/>
              <w:bottom w:w="60" w:type="dxa"/>
              <w:right w:w="100" w:type="dxa"/>
            </w:tcMar>
            <w:vAlign w:val="center"/>
          </w:tcPr>
          <w:p w14:paraId="253DCDE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Indication/Decision</w:t>
            </w:r>
          </w:p>
        </w:tc>
        <w:tc>
          <w:tcPr>
            <w:tcW w:w="1360" w:type="dxa"/>
            <w:tcBorders>
              <w:top w:val="nil"/>
              <w:left w:val="nil"/>
              <w:bottom w:val="nil"/>
              <w:right w:val="nil"/>
            </w:tcBorders>
            <w:tcMar>
              <w:top w:w="60" w:type="dxa"/>
              <w:left w:w="100" w:type="dxa"/>
              <w:bottom w:w="60" w:type="dxa"/>
              <w:right w:w="100" w:type="dxa"/>
            </w:tcMar>
            <w:vAlign w:val="center"/>
          </w:tcPr>
          <w:p w14:paraId="483570F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6</w:t>
            </w:r>
          </w:p>
        </w:tc>
      </w:tr>
      <w:tr w14:paraId="346F13FE">
        <w:tc>
          <w:tcPr>
            <w:tcW w:w="4000" w:type="dxa"/>
            <w:tcBorders>
              <w:top w:val="nil"/>
              <w:left w:val="nil"/>
              <w:bottom w:val="nil"/>
              <w:right w:val="nil"/>
            </w:tcBorders>
            <w:tcMar>
              <w:top w:w="60" w:type="dxa"/>
              <w:left w:w="100" w:type="dxa"/>
              <w:bottom w:w="60" w:type="dxa"/>
              <w:right w:w="100" w:type="dxa"/>
            </w:tcMar>
            <w:vAlign w:val="center"/>
          </w:tcPr>
          <w:p w14:paraId="19664F0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hours_since_icu_admit</w:t>
            </w:r>
          </w:p>
        </w:tc>
        <w:tc>
          <w:tcPr>
            <w:tcW w:w="1600" w:type="dxa"/>
            <w:tcBorders>
              <w:top w:val="nil"/>
              <w:left w:val="nil"/>
              <w:bottom w:val="nil"/>
              <w:right w:val="nil"/>
            </w:tcBorders>
            <w:tcMar>
              <w:top w:w="60" w:type="dxa"/>
              <w:left w:w="100" w:type="dxa"/>
              <w:bottom w:w="60" w:type="dxa"/>
              <w:right w:w="100" w:type="dxa"/>
            </w:tcMar>
            <w:vAlign w:val="center"/>
          </w:tcPr>
          <w:p w14:paraId="3E9ECAD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0.043</w:t>
            </w:r>
          </w:p>
        </w:tc>
        <w:tc>
          <w:tcPr>
            <w:tcW w:w="2400" w:type="dxa"/>
            <w:tcBorders>
              <w:top w:val="nil"/>
              <w:left w:val="nil"/>
              <w:bottom w:val="nil"/>
              <w:right w:val="nil"/>
            </w:tcBorders>
            <w:tcMar>
              <w:top w:w="60" w:type="dxa"/>
              <w:left w:w="100" w:type="dxa"/>
              <w:bottom w:w="60" w:type="dxa"/>
              <w:right w:w="100" w:type="dxa"/>
            </w:tcMar>
            <w:vAlign w:val="center"/>
          </w:tcPr>
          <w:p w14:paraId="3EEB26B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Indication/Decision</w:t>
            </w:r>
          </w:p>
        </w:tc>
        <w:tc>
          <w:tcPr>
            <w:tcW w:w="1360" w:type="dxa"/>
            <w:tcBorders>
              <w:top w:val="nil"/>
              <w:left w:val="nil"/>
              <w:bottom w:val="nil"/>
              <w:right w:val="nil"/>
            </w:tcBorders>
            <w:tcMar>
              <w:top w:w="60" w:type="dxa"/>
              <w:left w:w="100" w:type="dxa"/>
              <w:bottom w:w="60" w:type="dxa"/>
              <w:right w:w="100" w:type="dxa"/>
            </w:tcMar>
            <w:vAlign w:val="center"/>
          </w:tcPr>
          <w:p w14:paraId="76461EC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7</w:t>
            </w:r>
          </w:p>
        </w:tc>
      </w:tr>
      <w:tr w14:paraId="7D84552B">
        <w:tc>
          <w:tcPr>
            <w:tcW w:w="4000" w:type="dxa"/>
            <w:tcBorders>
              <w:top w:val="nil"/>
              <w:left w:val="nil"/>
              <w:bottom w:val="nil"/>
              <w:right w:val="nil"/>
            </w:tcBorders>
            <w:tcMar>
              <w:top w:w="60" w:type="dxa"/>
              <w:left w:w="100" w:type="dxa"/>
              <w:bottom w:w="60" w:type="dxa"/>
              <w:right w:w="100" w:type="dxa"/>
            </w:tcMar>
            <w:vAlign w:val="center"/>
          </w:tcPr>
          <w:p w14:paraId="1395BFD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weight_kg</w:t>
            </w:r>
          </w:p>
        </w:tc>
        <w:tc>
          <w:tcPr>
            <w:tcW w:w="1600" w:type="dxa"/>
            <w:tcBorders>
              <w:top w:val="nil"/>
              <w:left w:val="nil"/>
              <w:bottom w:val="nil"/>
              <w:right w:val="nil"/>
            </w:tcBorders>
            <w:tcMar>
              <w:top w:w="60" w:type="dxa"/>
              <w:left w:w="100" w:type="dxa"/>
              <w:bottom w:w="60" w:type="dxa"/>
              <w:right w:w="100" w:type="dxa"/>
            </w:tcMar>
            <w:vAlign w:val="center"/>
          </w:tcPr>
          <w:p w14:paraId="72317C0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0.041</w:t>
            </w:r>
          </w:p>
        </w:tc>
        <w:tc>
          <w:tcPr>
            <w:tcW w:w="2400" w:type="dxa"/>
            <w:tcBorders>
              <w:top w:val="nil"/>
              <w:left w:val="nil"/>
              <w:bottom w:val="nil"/>
              <w:right w:val="nil"/>
            </w:tcBorders>
            <w:tcMar>
              <w:top w:w="60" w:type="dxa"/>
              <w:left w:w="100" w:type="dxa"/>
              <w:bottom w:w="60" w:type="dxa"/>
              <w:right w:w="100" w:type="dxa"/>
            </w:tcMar>
            <w:vAlign w:val="center"/>
          </w:tcPr>
          <w:p w14:paraId="74DD89A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Biological (demographic)</w:t>
            </w:r>
          </w:p>
        </w:tc>
        <w:tc>
          <w:tcPr>
            <w:tcW w:w="1360" w:type="dxa"/>
            <w:tcBorders>
              <w:top w:val="nil"/>
              <w:left w:val="nil"/>
              <w:bottom w:val="nil"/>
              <w:right w:val="nil"/>
            </w:tcBorders>
            <w:tcMar>
              <w:top w:w="60" w:type="dxa"/>
              <w:left w:w="100" w:type="dxa"/>
              <w:bottom w:w="60" w:type="dxa"/>
              <w:right w:w="100" w:type="dxa"/>
            </w:tcMar>
            <w:vAlign w:val="center"/>
          </w:tcPr>
          <w:p w14:paraId="334099A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8</w:t>
            </w:r>
          </w:p>
        </w:tc>
      </w:tr>
      <w:tr w14:paraId="291E3BD3">
        <w:tc>
          <w:tcPr>
            <w:tcW w:w="4000" w:type="dxa"/>
            <w:tcBorders>
              <w:top w:val="nil"/>
              <w:left w:val="nil"/>
              <w:bottom w:val="nil"/>
              <w:right w:val="nil"/>
            </w:tcBorders>
            <w:tcMar>
              <w:top w:w="60" w:type="dxa"/>
              <w:left w:w="100" w:type="dxa"/>
              <w:bottom w:w="60" w:type="dxa"/>
              <w:right w:w="100" w:type="dxa"/>
            </w:tcMar>
            <w:vAlign w:val="center"/>
          </w:tcPr>
          <w:p w14:paraId="25DB5C1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ne_dose_6h_prior</w:t>
            </w:r>
          </w:p>
        </w:tc>
        <w:tc>
          <w:tcPr>
            <w:tcW w:w="1600" w:type="dxa"/>
            <w:tcBorders>
              <w:top w:val="nil"/>
              <w:left w:val="nil"/>
              <w:bottom w:val="nil"/>
              <w:right w:val="nil"/>
            </w:tcBorders>
            <w:tcMar>
              <w:top w:w="60" w:type="dxa"/>
              <w:left w:w="100" w:type="dxa"/>
              <w:bottom w:w="60" w:type="dxa"/>
              <w:right w:w="100" w:type="dxa"/>
            </w:tcMar>
            <w:vAlign w:val="center"/>
          </w:tcPr>
          <w:p w14:paraId="4F82471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0.039</w:t>
            </w:r>
          </w:p>
        </w:tc>
        <w:tc>
          <w:tcPr>
            <w:tcW w:w="2400" w:type="dxa"/>
            <w:tcBorders>
              <w:top w:val="nil"/>
              <w:left w:val="nil"/>
              <w:bottom w:val="nil"/>
              <w:right w:val="nil"/>
            </w:tcBorders>
            <w:tcMar>
              <w:top w:w="60" w:type="dxa"/>
              <w:left w:w="100" w:type="dxa"/>
              <w:bottom w:w="60" w:type="dxa"/>
              <w:right w:w="100" w:type="dxa"/>
            </w:tcMar>
            <w:vAlign w:val="center"/>
          </w:tcPr>
          <w:p w14:paraId="57588F4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Indication/Decision</w:t>
            </w:r>
          </w:p>
        </w:tc>
        <w:tc>
          <w:tcPr>
            <w:tcW w:w="1360" w:type="dxa"/>
            <w:tcBorders>
              <w:top w:val="nil"/>
              <w:left w:val="nil"/>
              <w:bottom w:val="nil"/>
              <w:right w:val="nil"/>
            </w:tcBorders>
            <w:tcMar>
              <w:top w:w="60" w:type="dxa"/>
              <w:left w:w="100" w:type="dxa"/>
              <w:bottom w:w="60" w:type="dxa"/>
              <w:right w:w="100" w:type="dxa"/>
            </w:tcMar>
            <w:vAlign w:val="center"/>
          </w:tcPr>
          <w:p w14:paraId="2002A97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9</w:t>
            </w:r>
          </w:p>
        </w:tc>
      </w:tr>
      <w:tr w14:paraId="00F4F757">
        <w:tc>
          <w:tcPr>
            <w:tcW w:w="4000" w:type="dxa"/>
            <w:tcBorders>
              <w:top w:val="nil"/>
              <w:left w:val="nil"/>
              <w:bottom w:val="nil"/>
              <w:right w:val="nil"/>
            </w:tcBorders>
            <w:tcMar>
              <w:top w:w="60" w:type="dxa"/>
              <w:left w:w="100" w:type="dxa"/>
              <w:bottom w:w="60" w:type="dxa"/>
              <w:right w:w="100" w:type="dxa"/>
            </w:tcMar>
            <w:vAlign w:val="center"/>
          </w:tcPr>
          <w:p w14:paraId="3EA7D42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output_ml_cum</w:t>
            </w:r>
          </w:p>
        </w:tc>
        <w:tc>
          <w:tcPr>
            <w:tcW w:w="1600" w:type="dxa"/>
            <w:tcBorders>
              <w:top w:val="nil"/>
              <w:left w:val="nil"/>
              <w:bottom w:val="nil"/>
              <w:right w:val="nil"/>
            </w:tcBorders>
            <w:tcMar>
              <w:top w:w="60" w:type="dxa"/>
              <w:left w:w="100" w:type="dxa"/>
              <w:bottom w:w="60" w:type="dxa"/>
              <w:right w:w="100" w:type="dxa"/>
            </w:tcMar>
            <w:vAlign w:val="center"/>
          </w:tcPr>
          <w:p w14:paraId="63EA324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0.036</w:t>
            </w:r>
          </w:p>
        </w:tc>
        <w:tc>
          <w:tcPr>
            <w:tcW w:w="2400" w:type="dxa"/>
            <w:tcBorders>
              <w:top w:val="nil"/>
              <w:left w:val="nil"/>
              <w:bottom w:val="nil"/>
              <w:right w:val="nil"/>
            </w:tcBorders>
            <w:tcMar>
              <w:top w:w="60" w:type="dxa"/>
              <w:left w:w="100" w:type="dxa"/>
              <w:bottom w:w="60" w:type="dxa"/>
              <w:right w:w="100" w:type="dxa"/>
            </w:tcMar>
            <w:vAlign w:val="center"/>
          </w:tcPr>
          <w:p w14:paraId="1EABB05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Fluid management</w:t>
            </w:r>
          </w:p>
        </w:tc>
        <w:tc>
          <w:tcPr>
            <w:tcW w:w="1360" w:type="dxa"/>
            <w:tcBorders>
              <w:top w:val="nil"/>
              <w:left w:val="nil"/>
              <w:bottom w:val="nil"/>
              <w:right w:val="nil"/>
            </w:tcBorders>
            <w:tcMar>
              <w:top w:w="60" w:type="dxa"/>
              <w:left w:w="100" w:type="dxa"/>
              <w:bottom w:w="60" w:type="dxa"/>
              <w:right w:w="100" w:type="dxa"/>
            </w:tcMar>
            <w:vAlign w:val="center"/>
          </w:tcPr>
          <w:p w14:paraId="4E3FC4A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10</w:t>
            </w:r>
          </w:p>
        </w:tc>
      </w:tr>
      <w:tr w14:paraId="0F1E0C16">
        <w:tc>
          <w:tcPr>
            <w:tcW w:w="4000" w:type="dxa"/>
            <w:tcBorders>
              <w:top w:val="nil"/>
              <w:left w:val="nil"/>
              <w:bottom w:val="nil"/>
              <w:right w:val="nil"/>
            </w:tcBorders>
            <w:tcMar>
              <w:top w:w="60" w:type="dxa"/>
              <w:left w:w="100" w:type="dxa"/>
              <w:bottom w:w="60" w:type="dxa"/>
              <w:right w:w="100" w:type="dxa"/>
            </w:tcMar>
            <w:vAlign w:val="center"/>
          </w:tcPr>
          <w:p w14:paraId="2ADF9CA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ne_peak_6h</w:t>
            </w:r>
          </w:p>
        </w:tc>
        <w:tc>
          <w:tcPr>
            <w:tcW w:w="1600" w:type="dxa"/>
            <w:tcBorders>
              <w:top w:val="nil"/>
              <w:left w:val="nil"/>
              <w:bottom w:val="nil"/>
              <w:right w:val="nil"/>
            </w:tcBorders>
            <w:tcMar>
              <w:top w:w="60" w:type="dxa"/>
              <w:left w:w="100" w:type="dxa"/>
              <w:bottom w:w="60" w:type="dxa"/>
              <w:right w:w="100" w:type="dxa"/>
            </w:tcMar>
            <w:vAlign w:val="center"/>
          </w:tcPr>
          <w:p w14:paraId="42886BE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0.031</w:t>
            </w:r>
          </w:p>
        </w:tc>
        <w:tc>
          <w:tcPr>
            <w:tcW w:w="2400" w:type="dxa"/>
            <w:tcBorders>
              <w:top w:val="nil"/>
              <w:left w:val="nil"/>
              <w:bottom w:val="nil"/>
              <w:right w:val="nil"/>
            </w:tcBorders>
            <w:tcMar>
              <w:top w:w="60" w:type="dxa"/>
              <w:left w:w="100" w:type="dxa"/>
              <w:bottom w:w="60" w:type="dxa"/>
              <w:right w:w="100" w:type="dxa"/>
            </w:tcMar>
            <w:vAlign w:val="center"/>
          </w:tcPr>
          <w:p w14:paraId="68ADC83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Indication/Decision</w:t>
            </w:r>
          </w:p>
        </w:tc>
        <w:tc>
          <w:tcPr>
            <w:tcW w:w="1360" w:type="dxa"/>
            <w:tcBorders>
              <w:top w:val="nil"/>
              <w:left w:val="nil"/>
              <w:bottom w:val="nil"/>
              <w:right w:val="nil"/>
            </w:tcBorders>
            <w:tcMar>
              <w:top w:w="60" w:type="dxa"/>
              <w:left w:w="100" w:type="dxa"/>
              <w:bottom w:w="60" w:type="dxa"/>
              <w:right w:w="100" w:type="dxa"/>
            </w:tcMar>
            <w:vAlign w:val="center"/>
          </w:tcPr>
          <w:p w14:paraId="5761C6F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11</w:t>
            </w:r>
          </w:p>
        </w:tc>
      </w:tr>
      <w:tr w14:paraId="110CBF82">
        <w:tc>
          <w:tcPr>
            <w:tcW w:w="4000" w:type="dxa"/>
            <w:tcBorders>
              <w:top w:val="nil"/>
              <w:left w:val="nil"/>
              <w:bottom w:val="nil"/>
              <w:right w:val="nil"/>
            </w:tcBorders>
            <w:tcMar>
              <w:top w:w="60" w:type="dxa"/>
              <w:left w:w="100" w:type="dxa"/>
              <w:bottom w:w="60" w:type="dxa"/>
              <w:right w:w="100" w:type="dxa"/>
            </w:tcMar>
            <w:vAlign w:val="center"/>
          </w:tcPr>
          <w:p w14:paraId="280FAFE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map_mean_6h</w:t>
            </w:r>
          </w:p>
        </w:tc>
        <w:tc>
          <w:tcPr>
            <w:tcW w:w="1600" w:type="dxa"/>
            <w:tcBorders>
              <w:top w:val="nil"/>
              <w:left w:val="nil"/>
              <w:bottom w:val="nil"/>
              <w:right w:val="nil"/>
            </w:tcBorders>
            <w:tcMar>
              <w:top w:w="60" w:type="dxa"/>
              <w:left w:w="100" w:type="dxa"/>
              <w:bottom w:w="60" w:type="dxa"/>
              <w:right w:w="100" w:type="dxa"/>
            </w:tcMar>
            <w:vAlign w:val="center"/>
          </w:tcPr>
          <w:p w14:paraId="5B62E00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0.030</w:t>
            </w:r>
          </w:p>
        </w:tc>
        <w:tc>
          <w:tcPr>
            <w:tcW w:w="2400" w:type="dxa"/>
            <w:tcBorders>
              <w:top w:val="nil"/>
              <w:left w:val="nil"/>
              <w:bottom w:val="nil"/>
              <w:right w:val="nil"/>
            </w:tcBorders>
            <w:tcMar>
              <w:top w:w="60" w:type="dxa"/>
              <w:left w:w="100" w:type="dxa"/>
              <w:bottom w:w="60" w:type="dxa"/>
              <w:right w:w="100" w:type="dxa"/>
            </w:tcMar>
            <w:vAlign w:val="center"/>
          </w:tcPr>
          <w:p w14:paraId="00488F3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Hemodynamic state</w:t>
            </w:r>
          </w:p>
        </w:tc>
        <w:tc>
          <w:tcPr>
            <w:tcW w:w="1360" w:type="dxa"/>
            <w:tcBorders>
              <w:top w:val="nil"/>
              <w:left w:val="nil"/>
              <w:bottom w:val="nil"/>
              <w:right w:val="nil"/>
            </w:tcBorders>
            <w:tcMar>
              <w:top w:w="60" w:type="dxa"/>
              <w:left w:w="100" w:type="dxa"/>
              <w:bottom w:w="60" w:type="dxa"/>
              <w:right w:w="100" w:type="dxa"/>
            </w:tcMar>
            <w:vAlign w:val="center"/>
          </w:tcPr>
          <w:p w14:paraId="3DF359E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12</w:t>
            </w:r>
          </w:p>
        </w:tc>
      </w:tr>
      <w:tr w14:paraId="0DACDAAE">
        <w:tc>
          <w:tcPr>
            <w:tcW w:w="4000" w:type="dxa"/>
            <w:tcBorders>
              <w:top w:val="nil"/>
              <w:left w:val="nil"/>
              <w:bottom w:val="nil"/>
              <w:right w:val="nil"/>
            </w:tcBorders>
            <w:tcMar>
              <w:top w:w="60" w:type="dxa"/>
              <w:left w:w="100" w:type="dxa"/>
              <w:bottom w:w="60" w:type="dxa"/>
              <w:right w:w="100" w:type="dxa"/>
            </w:tcMar>
            <w:vAlign w:val="center"/>
          </w:tcPr>
          <w:p w14:paraId="3D2BF3C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cvp_last</w:t>
            </w:r>
          </w:p>
        </w:tc>
        <w:tc>
          <w:tcPr>
            <w:tcW w:w="1600" w:type="dxa"/>
            <w:tcBorders>
              <w:top w:val="nil"/>
              <w:left w:val="nil"/>
              <w:bottom w:val="nil"/>
              <w:right w:val="nil"/>
            </w:tcBorders>
            <w:tcMar>
              <w:top w:w="60" w:type="dxa"/>
              <w:left w:w="100" w:type="dxa"/>
              <w:bottom w:w="60" w:type="dxa"/>
              <w:right w:w="100" w:type="dxa"/>
            </w:tcMar>
            <w:vAlign w:val="center"/>
          </w:tcPr>
          <w:p w14:paraId="7AF81A4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0.028</w:t>
            </w:r>
          </w:p>
        </w:tc>
        <w:tc>
          <w:tcPr>
            <w:tcW w:w="2400" w:type="dxa"/>
            <w:tcBorders>
              <w:top w:val="nil"/>
              <w:left w:val="nil"/>
              <w:bottom w:val="nil"/>
              <w:right w:val="nil"/>
            </w:tcBorders>
            <w:tcMar>
              <w:top w:w="60" w:type="dxa"/>
              <w:left w:w="100" w:type="dxa"/>
              <w:bottom w:w="60" w:type="dxa"/>
              <w:right w:w="100" w:type="dxa"/>
            </w:tcMar>
            <w:vAlign w:val="center"/>
          </w:tcPr>
          <w:p w14:paraId="36091E1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Hemodynamic state</w:t>
            </w:r>
          </w:p>
        </w:tc>
        <w:tc>
          <w:tcPr>
            <w:tcW w:w="1360" w:type="dxa"/>
            <w:tcBorders>
              <w:top w:val="nil"/>
              <w:left w:val="nil"/>
              <w:bottom w:val="nil"/>
              <w:right w:val="nil"/>
            </w:tcBorders>
            <w:tcMar>
              <w:top w:w="60" w:type="dxa"/>
              <w:left w:w="100" w:type="dxa"/>
              <w:bottom w:w="60" w:type="dxa"/>
              <w:right w:w="100" w:type="dxa"/>
            </w:tcMar>
            <w:vAlign w:val="center"/>
          </w:tcPr>
          <w:p w14:paraId="391B9D2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13</w:t>
            </w:r>
          </w:p>
        </w:tc>
      </w:tr>
      <w:tr w14:paraId="753473EB">
        <w:tc>
          <w:tcPr>
            <w:tcW w:w="4000" w:type="dxa"/>
            <w:tcBorders>
              <w:top w:val="nil"/>
              <w:left w:val="nil"/>
              <w:bottom w:val="nil"/>
              <w:right w:val="nil"/>
            </w:tcBorders>
            <w:tcMar>
              <w:top w:w="60" w:type="dxa"/>
              <w:left w:w="100" w:type="dxa"/>
              <w:bottom w:w="60" w:type="dxa"/>
              <w:right w:w="100" w:type="dxa"/>
            </w:tcMar>
            <w:vAlign w:val="center"/>
          </w:tcPr>
          <w:p w14:paraId="29B504E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potassium_meq_l</w:t>
            </w:r>
          </w:p>
        </w:tc>
        <w:tc>
          <w:tcPr>
            <w:tcW w:w="1600" w:type="dxa"/>
            <w:tcBorders>
              <w:top w:val="nil"/>
              <w:left w:val="nil"/>
              <w:bottom w:val="nil"/>
              <w:right w:val="nil"/>
            </w:tcBorders>
            <w:tcMar>
              <w:top w:w="60" w:type="dxa"/>
              <w:left w:w="100" w:type="dxa"/>
              <w:bottom w:w="60" w:type="dxa"/>
              <w:right w:w="100" w:type="dxa"/>
            </w:tcMar>
            <w:vAlign w:val="center"/>
          </w:tcPr>
          <w:p w14:paraId="1044777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0.028</w:t>
            </w:r>
          </w:p>
        </w:tc>
        <w:tc>
          <w:tcPr>
            <w:tcW w:w="2400" w:type="dxa"/>
            <w:tcBorders>
              <w:top w:val="nil"/>
              <w:left w:val="nil"/>
              <w:bottom w:val="nil"/>
              <w:right w:val="nil"/>
            </w:tcBorders>
            <w:tcMar>
              <w:top w:w="60" w:type="dxa"/>
              <w:left w:w="100" w:type="dxa"/>
              <w:bottom w:w="60" w:type="dxa"/>
              <w:right w:w="100" w:type="dxa"/>
            </w:tcMar>
            <w:vAlign w:val="center"/>
          </w:tcPr>
          <w:p w14:paraId="4423A71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Biological (lab)</w:t>
            </w:r>
          </w:p>
        </w:tc>
        <w:tc>
          <w:tcPr>
            <w:tcW w:w="1360" w:type="dxa"/>
            <w:tcBorders>
              <w:top w:val="nil"/>
              <w:left w:val="nil"/>
              <w:bottom w:val="nil"/>
              <w:right w:val="nil"/>
            </w:tcBorders>
            <w:tcMar>
              <w:top w:w="60" w:type="dxa"/>
              <w:left w:w="100" w:type="dxa"/>
              <w:bottom w:w="60" w:type="dxa"/>
              <w:right w:w="100" w:type="dxa"/>
            </w:tcMar>
            <w:vAlign w:val="center"/>
          </w:tcPr>
          <w:p w14:paraId="725D7FD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14</w:t>
            </w:r>
          </w:p>
        </w:tc>
      </w:tr>
      <w:tr w14:paraId="0545B6E1">
        <w:tc>
          <w:tcPr>
            <w:tcW w:w="4000" w:type="dxa"/>
            <w:tcBorders>
              <w:top w:val="nil"/>
              <w:left w:val="nil"/>
              <w:bottom w:val="nil"/>
              <w:right w:val="nil"/>
            </w:tcBorders>
            <w:tcMar>
              <w:top w:w="60" w:type="dxa"/>
              <w:left w:w="100" w:type="dxa"/>
              <w:bottom w:w="60" w:type="dxa"/>
              <w:right w:w="100" w:type="dxa"/>
            </w:tcMar>
            <w:vAlign w:val="center"/>
          </w:tcPr>
          <w:p w14:paraId="7C3EDB4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ph_arterial</w:t>
            </w:r>
          </w:p>
        </w:tc>
        <w:tc>
          <w:tcPr>
            <w:tcW w:w="1600" w:type="dxa"/>
            <w:tcBorders>
              <w:top w:val="nil"/>
              <w:left w:val="nil"/>
              <w:bottom w:val="nil"/>
              <w:right w:val="nil"/>
            </w:tcBorders>
            <w:tcMar>
              <w:top w:w="60" w:type="dxa"/>
              <w:left w:w="100" w:type="dxa"/>
              <w:bottom w:w="60" w:type="dxa"/>
              <w:right w:w="100" w:type="dxa"/>
            </w:tcMar>
            <w:vAlign w:val="center"/>
          </w:tcPr>
          <w:p w14:paraId="37C0061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0.027</w:t>
            </w:r>
          </w:p>
        </w:tc>
        <w:tc>
          <w:tcPr>
            <w:tcW w:w="2400" w:type="dxa"/>
            <w:tcBorders>
              <w:top w:val="nil"/>
              <w:left w:val="nil"/>
              <w:bottom w:val="nil"/>
              <w:right w:val="nil"/>
            </w:tcBorders>
            <w:tcMar>
              <w:top w:w="60" w:type="dxa"/>
              <w:left w:w="100" w:type="dxa"/>
              <w:bottom w:w="60" w:type="dxa"/>
              <w:right w:w="100" w:type="dxa"/>
            </w:tcMar>
            <w:vAlign w:val="center"/>
          </w:tcPr>
          <w:p w14:paraId="1D3E5ED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Biological (lab)</w:t>
            </w:r>
          </w:p>
        </w:tc>
        <w:tc>
          <w:tcPr>
            <w:tcW w:w="1360" w:type="dxa"/>
            <w:tcBorders>
              <w:top w:val="nil"/>
              <w:left w:val="nil"/>
              <w:bottom w:val="nil"/>
              <w:right w:val="nil"/>
            </w:tcBorders>
            <w:tcMar>
              <w:top w:w="60" w:type="dxa"/>
              <w:left w:w="100" w:type="dxa"/>
              <w:bottom w:w="60" w:type="dxa"/>
              <w:right w:w="100" w:type="dxa"/>
            </w:tcMar>
            <w:vAlign w:val="center"/>
          </w:tcPr>
          <w:p w14:paraId="025F774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15</w:t>
            </w:r>
          </w:p>
        </w:tc>
      </w:tr>
      <w:tr w14:paraId="377F0E2A">
        <w:tc>
          <w:tcPr>
            <w:tcW w:w="4000" w:type="dxa"/>
            <w:tcBorders>
              <w:top w:val="nil"/>
              <w:left w:val="nil"/>
              <w:bottom w:val="nil"/>
              <w:right w:val="nil"/>
            </w:tcBorders>
            <w:tcMar>
              <w:top w:w="60" w:type="dxa"/>
              <w:left w:w="100" w:type="dxa"/>
              <w:bottom w:w="60" w:type="dxa"/>
              <w:right w:w="100" w:type="dxa"/>
            </w:tcMar>
            <w:vAlign w:val="center"/>
          </w:tcPr>
          <w:p w14:paraId="30B9258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spo2_last</w:t>
            </w:r>
          </w:p>
        </w:tc>
        <w:tc>
          <w:tcPr>
            <w:tcW w:w="1600" w:type="dxa"/>
            <w:tcBorders>
              <w:top w:val="nil"/>
              <w:left w:val="nil"/>
              <w:bottom w:val="nil"/>
              <w:right w:val="nil"/>
            </w:tcBorders>
            <w:tcMar>
              <w:top w:w="60" w:type="dxa"/>
              <w:left w:w="100" w:type="dxa"/>
              <w:bottom w:w="60" w:type="dxa"/>
              <w:right w:w="100" w:type="dxa"/>
            </w:tcMar>
            <w:vAlign w:val="center"/>
          </w:tcPr>
          <w:p w14:paraId="0E464BB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0.026</w:t>
            </w:r>
          </w:p>
        </w:tc>
        <w:tc>
          <w:tcPr>
            <w:tcW w:w="2400" w:type="dxa"/>
            <w:tcBorders>
              <w:top w:val="nil"/>
              <w:left w:val="nil"/>
              <w:bottom w:val="nil"/>
              <w:right w:val="nil"/>
            </w:tcBorders>
            <w:tcMar>
              <w:top w:w="60" w:type="dxa"/>
              <w:left w:w="100" w:type="dxa"/>
              <w:bottom w:w="60" w:type="dxa"/>
              <w:right w:w="100" w:type="dxa"/>
            </w:tcMar>
            <w:vAlign w:val="center"/>
          </w:tcPr>
          <w:p w14:paraId="5901D2E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Hemodynamic state</w:t>
            </w:r>
          </w:p>
        </w:tc>
        <w:tc>
          <w:tcPr>
            <w:tcW w:w="1360" w:type="dxa"/>
            <w:tcBorders>
              <w:top w:val="nil"/>
              <w:left w:val="nil"/>
              <w:bottom w:val="nil"/>
              <w:right w:val="nil"/>
            </w:tcBorders>
            <w:tcMar>
              <w:top w:w="60" w:type="dxa"/>
              <w:left w:w="100" w:type="dxa"/>
              <w:bottom w:w="60" w:type="dxa"/>
              <w:right w:w="100" w:type="dxa"/>
            </w:tcMar>
            <w:vAlign w:val="center"/>
          </w:tcPr>
          <w:p w14:paraId="31EF90B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16</w:t>
            </w:r>
          </w:p>
        </w:tc>
      </w:tr>
      <w:tr w14:paraId="49DA1CB3">
        <w:tc>
          <w:tcPr>
            <w:tcW w:w="4000" w:type="dxa"/>
            <w:tcBorders>
              <w:top w:val="nil"/>
              <w:left w:val="nil"/>
              <w:bottom w:val="nil"/>
              <w:right w:val="nil"/>
            </w:tcBorders>
            <w:tcMar>
              <w:top w:w="60" w:type="dxa"/>
              <w:left w:w="100" w:type="dxa"/>
              <w:bottom w:w="60" w:type="dxa"/>
              <w:right w:w="100" w:type="dxa"/>
            </w:tcMar>
            <w:vAlign w:val="center"/>
          </w:tcPr>
          <w:p w14:paraId="5EA35A4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ne_dose_3h_prior</w:t>
            </w:r>
          </w:p>
        </w:tc>
        <w:tc>
          <w:tcPr>
            <w:tcW w:w="1600" w:type="dxa"/>
            <w:tcBorders>
              <w:top w:val="nil"/>
              <w:left w:val="nil"/>
              <w:bottom w:val="nil"/>
              <w:right w:val="nil"/>
            </w:tcBorders>
            <w:tcMar>
              <w:top w:w="60" w:type="dxa"/>
              <w:left w:w="100" w:type="dxa"/>
              <w:bottom w:w="60" w:type="dxa"/>
              <w:right w:w="100" w:type="dxa"/>
            </w:tcMar>
            <w:vAlign w:val="center"/>
          </w:tcPr>
          <w:p w14:paraId="26AFBC0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0.023</w:t>
            </w:r>
          </w:p>
        </w:tc>
        <w:tc>
          <w:tcPr>
            <w:tcW w:w="2400" w:type="dxa"/>
            <w:tcBorders>
              <w:top w:val="nil"/>
              <w:left w:val="nil"/>
              <w:bottom w:val="nil"/>
              <w:right w:val="nil"/>
            </w:tcBorders>
            <w:tcMar>
              <w:top w:w="60" w:type="dxa"/>
              <w:left w:w="100" w:type="dxa"/>
              <w:bottom w:w="60" w:type="dxa"/>
              <w:right w:w="100" w:type="dxa"/>
            </w:tcMar>
            <w:vAlign w:val="center"/>
          </w:tcPr>
          <w:p w14:paraId="1CACFE7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Indication/Decision</w:t>
            </w:r>
          </w:p>
        </w:tc>
        <w:tc>
          <w:tcPr>
            <w:tcW w:w="1360" w:type="dxa"/>
            <w:tcBorders>
              <w:top w:val="nil"/>
              <w:left w:val="nil"/>
              <w:bottom w:val="nil"/>
              <w:right w:val="nil"/>
            </w:tcBorders>
            <w:tcMar>
              <w:top w:w="60" w:type="dxa"/>
              <w:left w:w="100" w:type="dxa"/>
              <w:bottom w:w="60" w:type="dxa"/>
              <w:right w:w="100" w:type="dxa"/>
            </w:tcMar>
            <w:vAlign w:val="center"/>
          </w:tcPr>
          <w:p w14:paraId="1420159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17</w:t>
            </w:r>
          </w:p>
        </w:tc>
      </w:tr>
      <w:tr w14:paraId="4BADAD7A">
        <w:tc>
          <w:tcPr>
            <w:tcW w:w="4000" w:type="dxa"/>
            <w:tcBorders>
              <w:top w:val="nil"/>
              <w:left w:val="nil"/>
              <w:bottom w:val="nil"/>
              <w:right w:val="nil"/>
            </w:tcBorders>
            <w:tcMar>
              <w:top w:w="60" w:type="dxa"/>
              <w:left w:w="100" w:type="dxa"/>
              <w:bottom w:w="60" w:type="dxa"/>
              <w:right w:w="100" w:type="dxa"/>
            </w:tcMar>
            <w:vAlign w:val="center"/>
          </w:tcPr>
          <w:p w14:paraId="5FF6F26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hr_last</w:t>
            </w:r>
          </w:p>
        </w:tc>
        <w:tc>
          <w:tcPr>
            <w:tcW w:w="1600" w:type="dxa"/>
            <w:tcBorders>
              <w:top w:val="nil"/>
              <w:left w:val="nil"/>
              <w:bottom w:val="nil"/>
              <w:right w:val="nil"/>
            </w:tcBorders>
            <w:tcMar>
              <w:top w:w="60" w:type="dxa"/>
              <w:left w:w="100" w:type="dxa"/>
              <w:bottom w:w="60" w:type="dxa"/>
              <w:right w:w="100" w:type="dxa"/>
            </w:tcMar>
            <w:vAlign w:val="center"/>
          </w:tcPr>
          <w:p w14:paraId="0DEA525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0.022</w:t>
            </w:r>
          </w:p>
        </w:tc>
        <w:tc>
          <w:tcPr>
            <w:tcW w:w="2400" w:type="dxa"/>
            <w:tcBorders>
              <w:top w:val="nil"/>
              <w:left w:val="nil"/>
              <w:bottom w:val="nil"/>
              <w:right w:val="nil"/>
            </w:tcBorders>
            <w:tcMar>
              <w:top w:w="60" w:type="dxa"/>
              <w:left w:w="100" w:type="dxa"/>
              <w:bottom w:w="60" w:type="dxa"/>
              <w:right w:w="100" w:type="dxa"/>
            </w:tcMar>
            <w:vAlign w:val="center"/>
          </w:tcPr>
          <w:p w14:paraId="54E9414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Hemodynamic state</w:t>
            </w:r>
          </w:p>
        </w:tc>
        <w:tc>
          <w:tcPr>
            <w:tcW w:w="1360" w:type="dxa"/>
            <w:tcBorders>
              <w:top w:val="nil"/>
              <w:left w:val="nil"/>
              <w:bottom w:val="nil"/>
              <w:right w:val="nil"/>
            </w:tcBorders>
            <w:tcMar>
              <w:top w:w="60" w:type="dxa"/>
              <w:left w:w="100" w:type="dxa"/>
              <w:bottom w:w="60" w:type="dxa"/>
              <w:right w:w="100" w:type="dxa"/>
            </w:tcMar>
            <w:vAlign w:val="center"/>
          </w:tcPr>
          <w:p w14:paraId="05533A3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18</w:t>
            </w:r>
          </w:p>
        </w:tc>
      </w:tr>
      <w:tr w14:paraId="024AC441">
        <w:tc>
          <w:tcPr>
            <w:tcW w:w="4000" w:type="dxa"/>
            <w:tcBorders>
              <w:top w:val="nil"/>
              <w:left w:val="nil"/>
              <w:bottom w:val="nil"/>
              <w:right w:val="nil"/>
            </w:tcBorders>
            <w:tcMar>
              <w:top w:w="60" w:type="dxa"/>
              <w:left w:w="100" w:type="dxa"/>
              <w:bottom w:w="60" w:type="dxa"/>
              <w:right w:w="100" w:type="dxa"/>
            </w:tcMar>
            <w:vAlign w:val="center"/>
          </w:tcPr>
          <w:p w14:paraId="12451B9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age_at_icu</w:t>
            </w:r>
          </w:p>
        </w:tc>
        <w:tc>
          <w:tcPr>
            <w:tcW w:w="1600" w:type="dxa"/>
            <w:tcBorders>
              <w:top w:val="nil"/>
              <w:left w:val="nil"/>
              <w:bottom w:val="nil"/>
              <w:right w:val="nil"/>
            </w:tcBorders>
            <w:tcMar>
              <w:top w:w="60" w:type="dxa"/>
              <w:left w:w="100" w:type="dxa"/>
              <w:bottom w:w="60" w:type="dxa"/>
              <w:right w:w="100" w:type="dxa"/>
            </w:tcMar>
            <w:vAlign w:val="center"/>
          </w:tcPr>
          <w:p w14:paraId="6CE3A78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0.019</w:t>
            </w:r>
          </w:p>
        </w:tc>
        <w:tc>
          <w:tcPr>
            <w:tcW w:w="2400" w:type="dxa"/>
            <w:tcBorders>
              <w:top w:val="nil"/>
              <w:left w:val="nil"/>
              <w:bottom w:val="nil"/>
              <w:right w:val="nil"/>
            </w:tcBorders>
            <w:tcMar>
              <w:top w:w="60" w:type="dxa"/>
              <w:left w:w="100" w:type="dxa"/>
              <w:bottom w:w="60" w:type="dxa"/>
              <w:right w:w="100" w:type="dxa"/>
            </w:tcMar>
            <w:vAlign w:val="center"/>
          </w:tcPr>
          <w:p w14:paraId="6CB6D77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Biological (demographic)</w:t>
            </w:r>
          </w:p>
        </w:tc>
        <w:tc>
          <w:tcPr>
            <w:tcW w:w="1360" w:type="dxa"/>
            <w:tcBorders>
              <w:top w:val="nil"/>
              <w:left w:val="nil"/>
              <w:bottom w:val="nil"/>
              <w:right w:val="nil"/>
            </w:tcBorders>
            <w:tcMar>
              <w:top w:w="60" w:type="dxa"/>
              <w:left w:w="100" w:type="dxa"/>
              <w:bottom w:w="60" w:type="dxa"/>
              <w:right w:w="100" w:type="dxa"/>
            </w:tcMar>
            <w:vAlign w:val="center"/>
          </w:tcPr>
          <w:p w14:paraId="65D8672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19</w:t>
            </w:r>
          </w:p>
        </w:tc>
      </w:tr>
      <w:tr w14:paraId="2C8FB0E1">
        <w:tc>
          <w:tcPr>
            <w:tcW w:w="4000" w:type="dxa"/>
            <w:tcBorders>
              <w:top w:val="nil"/>
              <w:left w:val="nil"/>
              <w:bottom w:val="nil"/>
              <w:right w:val="nil"/>
            </w:tcBorders>
            <w:tcMar>
              <w:top w:w="60" w:type="dxa"/>
              <w:left w:w="100" w:type="dxa"/>
              <w:bottom w:w="60" w:type="dxa"/>
              <w:right w:w="100" w:type="dxa"/>
            </w:tcMar>
            <w:vAlign w:val="center"/>
          </w:tcPr>
          <w:p w14:paraId="1EC3AB0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creatinine_mg_dl</w:t>
            </w:r>
          </w:p>
        </w:tc>
        <w:tc>
          <w:tcPr>
            <w:tcW w:w="1600" w:type="dxa"/>
            <w:tcBorders>
              <w:top w:val="nil"/>
              <w:left w:val="nil"/>
              <w:bottom w:val="nil"/>
              <w:right w:val="nil"/>
            </w:tcBorders>
            <w:tcMar>
              <w:top w:w="60" w:type="dxa"/>
              <w:left w:w="100" w:type="dxa"/>
              <w:bottom w:w="60" w:type="dxa"/>
              <w:right w:w="100" w:type="dxa"/>
            </w:tcMar>
            <w:vAlign w:val="center"/>
          </w:tcPr>
          <w:p w14:paraId="64B2C8A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0.018</w:t>
            </w:r>
          </w:p>
        </w:tc>
        <w:tc>
          <w:tcPr>
            <w:tcW w:w="2400" w:type="dxa"/>
            <w:tcBorders>
              <w:top w:val="nil"/>
              <w:left w:val="nil"/>
              <w:bottom w:val="nil"/>
              <w:right w:val="nil"/>
            </w:tcBorders>
            <w:tcMar>
              <w:top w:w="60" w:type="dxa"/>
              <w:left w:w="100" w:type="dxa"/>
              <w:bottom w:w="60" w:type="dxa"/>
              <w:right w:w="100" w:type="dxa"/>
            </w:tcMar>
            <w:vAlign w:val="center"/>
          </w:tcPr>
          <w:p w14:paraId="64205AC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Biological (lab)</w:t>
            </w:r>
          </w:p>
        </w:tc>
        <w:tc>
          <w:tcPr>
            <w:tcW w:w="1360" w:type="dxa"/>
            <w:tcBorders>
              <w:top w:val="nil"/>
              <w:left w:val="nil"/>
              <w:bottom w:val="nil"/>
              <w:right w:val="nil"/>
            </w:tcBorders>
            <w:tcMar>
              <w:top w:w="60" w:type="dxa"/>
              <w:left w:w="100" w:type="dxa"/>
              <w:bottom w:w="60" w:type="dxa"/>
              <w:right w:w="100" w:type="dxa"/>
            </w:tcMar>
            <w:vAlign w:val="center"/>
          </w:tcPr>
          <w:p w14:paraId="37466FE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20</w:t>
            </w:r>
          </w:p>
        </w:tc>
      </w:tr>
      <w:tr w14:paraId="33D5334D">
        <w:tc>
          <w:tcPr>
            <w:tcW w:w="4000" w:type="dxa"/>
            <w:tcBorders>
              <w:top w:val="nil"/>
              <w:left w:val="nil"/>
              <w:bottom w:val="nil"/>
              <w:right w:val="nil"/>
            </w:tcBorders>
            <w:tcMar>
              <w:top w:w="60" w:type="dxa"/>
              <w:left w:w="100" w:type="dxa"/>
              <w:bottom w:w="60" w:type="dxa"/>
              <w:right w:w="100" w:type="dxa"/>
            </w:tcMar>
            <w:vAlign w:val="center"/>
          </w:tcPr>
          <w:p w14:paraId="23EA571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bicarb_meq_l</w:t>
            </w:r>
          </w:p>
        </w:tc>
        <w:tc>
          <w:tcPr>
            <w:tcW w:w="1600" w:type="dxa"/>
            <w:tcBorders>
              <w:top w:val="nil"/>
              <w:left w:val="nil"/>
              <w:bottom w:val="nil"/>
              <w:right w:val="nil"/>
            </w:tcBorders>
            <w:tcMar>
              <w:top w:w="60" w:type="dxa"/>
              <w:left w:w="100" w:type="dxa"/>
              <w:bottom w:w="60" w:type="dxa"/>
              <w:right w:w="100" w:type="dxa"/>
            </w:tcMar>
            <w:vAlign w:val="center"/>
          </w:tcPr>
          <w:p w14:paraId="0E4BE49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0.016</w:t>
            </w:r>
          </w:p>
        </w:tc>
        <w:tc>
          <w:tcPr>
            <w:tcW w:w="2400" w:type="dxa"/>
            <w:tcBorders>
              <w:top w:val="nil"/>
              <w:left w:val="nil"/>
              <w:bottom w:val="nil"/>
              <w:right w:val="nil"/>
            </w:tcBorders>
            <w:tcMar>
              <w:top w:w="60" w:type="dxa"/>
              <w:left w:w="100" w:type="dxa"/>
              <w:bottom w:w="60" w:type="dxa"/>
              <w:right w:w="100" w:type="dxa"/>
            </w:tcMar>
            <w:vAlign w:val="center"/>
          </w:tcPr>
          <w:p w14:paraId="2B8AA5F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Biological (lab)</w:t>
            </w:r>
          </w:p>
        </w:tc>
        <w:tc>
          <w:tcPr>
            <w:tcW w:w="1360" w:type="dxa"/>
            <w:tcBorders>
              <w:top w:val="nil"/>
              <w:left w:val="nil"/>
              <w:bottom w:val="nil"/>
              <w:right w:val="nil"/>
            </w:tcBorders>
            <w:tcMar>
              <w:top w:w="60" w:type="dxa"/>
              <w:left w:w="100" w:type="dxa"/>
              <w:bottom w:w="60" w:type="dxa"/>
              <w:right w:w="100" w:type="dxa"/>
            </w:tcMar>
            <w:vAlign w:val="center"/>
          </w:tcPr>
          <w:p w14:paraId="2F0E327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21</w:t>
            </w:r>
          </w:p>
        </w:tc>
      </w:tr>
      <w:tr w14:paraId="7844DC35">
        <w:tc>
          <w:tcPr>
            <w:tcW w:w="4000" w:type="dxa"/>
            <w:tcBorders>
              <w:top w:val="nil"/>
              <w:left w:val="nil"/>
              <w:bottom w:val="nil"/>
              <w:right w:val="nil"/>
            </w:tcBorders>
            <w:tcMar>
              <w:top w:w="60" w:type="dxa"/>
              <w:left w:w="100" w:type="dxa"/>
              <w:bottom w:w="60" w:type="dxa"/>
              <w:right w:w="100" w:type="dxa"/>
            </w:tcMar>
            <w:vAlign w:val="center"/>
          </w:tcPr>
          <w:p w14:paraId="6A8B8A3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cvp_last_missing</w:t>
            </w:r>
          </w:p>
        </w:tc>
        <w:tc>
          <w:tcPr>
            <w:tcW w:w="1600" w:type="dxa"/>
            <w:tcBorders>
              <w:top w:val="nil"/>
              <w:left w:val="nil"/>
              <w:bottom w:val="nil"/>
              <w:right w:val="nil"/>
            </w:tcBorders>
            <w:tcMar>
              <w:top w:w="60" w:type="dxa"/>
              <w:left w:w="100" w:type="dxa"/>
              <w:bottom w:w="60" w:type="dxa"/>
              <w:right w:w="100" w:type="dxa"/>
            </w:tcMar>
            <w:vAlign w:val="center"/>
          </w:tcPr>
          <w:p w14:paraId="3F72882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0.016</w:t>
            </w:r>
          </w:p>
        </w:tc>
        <w:tc>
          <w:tcPr>
            <w:tcW w:w="2400" w:type="dxa"/>
            <w:tcBorders>
              <w:top w:val="nil"/>
              <w:left w:val="nil"/>
              <w:bottom w:val="nil"/>
              <w:right w:val="nil"/>
            </w:tcBorders>
            <w:tcMar>
              <w:top w:w="60" w:type="dxa"/>
              <w:left w:w="100" w:type="dxa"/>
              <w:bottom w:w="60" w:type="dxa"/>
              <w:right w:w="100" w:type="dxa"/>
            </w:tcMar>
            <w:vAlign w:val="center"/>
          </w:tcPr>
          <w:p w14:paraId="0FE30B1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Missing indicator</w:t>
            </w:r>
          </w:p>
        </w:tc>
        <w:tc>
          <w:tcPr>
            <w:tcW w:w="1360" w:type="dxa"/>
            <w:tcBorders>
              <w:top w:val="nil"/>
              <w:left w:val="nil"/>
              <w:bottom w:val="nil"/>
              <w:right w:val="nil"/>
            </w:tcBorders>
            <w:tcMar>
              <w:top w:w="60" w:type="dxa"/>
              <w:left w:w="100" w:type="dxa"/>
              <w:bottom w:w="60" w:type="dxa"/>
              <w:right w:w="100" w:type="dxa"/>
            </w:tcMar>
            <w:vAlign w:val="center"/>
          </w:tcPr>
          <w:p w14:paraId="13C0CD6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22</w:t>
            </w:r>
          </w:p>
        </w:tc>
      </w:tr>
      <w:tr w14:paraId="64D1D800">
        <w:tc>
          <w:tcPr>
            <w:tcW w:w="4000" w:type="dxa"/>
            <w:tcBorders>
              <w:top w:val="nil"/>
              <w:left w:val="nil"/>
              <w:bottom w:val="nil"/>
              <w:right w:val="nil"/>
            </w:tcBorders>
            <w:tcMar>
              <w:top w:w="60" w:type="dxa"/>
              <w:left w:w="100" w:type="dxa"/>
              <w:bottom w:w="60" w:type="dxa"/>
              <w:right w:w="100" w:type="dxa"/>
            </w:tcMar>
            <w:vAlign w:val="center"/>
          </w:tcPr>
          <w:p w14:paraId="26E3429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charlson_comorbidity_index</w:t>
            </w:r>
          </w:p>
        </w:tc>
        <w:tc>
          <w:tcPr>
            <w:tcW w:w="1600" w:type="dxa"/>
            <w:tcBorders>
              <w:top w:val="nil"/>
              <w:left w:val="nil"/>
              <w:bottom w:val="nil"/>
              <w:right w:val="nil"/>
            </w:tcBorders>
            <w:tcMar>
              <w:top w:w="60" w:type="dxa"/>
              <w:left w:w="100" w:type="dxa"/>
              <w:bottom w:w="60" w:type="dxa"/>
              <w:right w:w="100" w:type="dxa"/>
            </w:tcMar>
            <w:vAlign w:val="center"/>
          </w:tcPr>
          <w:p w14:paraId="361A3F0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0.015</w:t>
            </w:r>
          </w:p>
        </w:tc>
        <w:tc>
          <w:tcPr>
            <w:tcW w:w="2400" w:type="dxa"/>
            <w:tcBorders>
              <w:top w:val="nil"/>
              <w:left w:val="nil"/>
              <w:bottom w:val="nil"/>
              <w:right w:val="nil"/>
            </w:tcBorders>
            <w:tcMar>
              <w:top w:w="60" w:type="dxa"/>
              <w:left w:w="100" w:type="dxa"/>
              <w:bottom w:w="60" w:type="dxa"/>
              <w:right w:w="100" w:type="dxa"/>
            </w:tcMar>
            <w:vAlign w:val="center"/>
          </w:tcPr>
          <w:p w14:paraId="64335FC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Biological (comorbidity)</w:t>
            </w:r>
          </w:p>
        </w:tc>
        <w:tc>
          <w:tcPr>
            <w:tcW w:w="1360" w:type="dxa"/>
            <w:tcBorders>
              <w:top w:val="nil"/>
              <w:left w:val="nil"/>
              <w:bottom w:val="nil"/>
              <w:right w:val="nil"/>
            </w:tcBorders>
            <w:tcMar>
              <w:top w:w="60" w:type="dxa"/>
              <w:left w:w="100" w:type="dxa"/>
              <w:bottom w:w="60" w:type="dxa"/>
              <w:right w:w="100" w:type="dxa"/>
            </w:tcMar>
            <w:vAlign w:val="center"/>
          </w:tcPr>
          <w:p w14:paraId="04E3375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23</w:t>
            </w:r>
          </w:p>
        </w:tc>
      </w:tr>
      <w:tr w14:paraId="0DC498D7">
        <w:tc>
          <w:tcPr>
            <w:tcW w:w="4000" w:type="dxa"/>
            <w:tcBorders>
              <w:top w:val="nil"/>
              <w:left w:val="nil"/>
              <w:bottom w:val="nil"/>
              <w:right w:val="nil"/>
            </w:tcBorders>
            <w:tcMar>
              <w:top w:w="60" w:type="dxa"/>
              <w:left w:w="100" w:type="dxa"/>
              <w:bottom w:w="60" w:type="dxa"/>
              <w:right w:w="100" w:type="dxa"/>
            </w:tcMar>
            <w:vAlign w:val="center"/>
          </w:tcPr>
          <w:p w14:paraId="33707E6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chloride_meq_l</w:t>
            </w:r>
          </w:p>
        </w:tc>
        <w:tc>
          <w:tcPr>
            <w:tcW w:w="1600" w:type="dxa"/>
            <w:tcBorders>
              <w:top w:val="nil"/>
              <w:left w:val="nil"/>
              <w:bottom w:val="nil"/>
              <w:right w:val="nil"/>
            </w:tcBorders>
            <w:tcMar>
              <w:top w:w="60" w:type="dxa"/>
              <w:left w:w="100" w:type="dxa"/>
              <w:bottom w:w="60" w:type="dxa"/>
              <w:right w:w="100" w:type="dxa"/>
            </w:tcMar>
            <w:vAlign w:val="center"/>
          </w:tcPr>
          <w:p w14:paraId="3EC9B7A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0.014</w:t>
            </w:r>
          </w:p>
        </w:tc>
        <w:tc>
          <w:tcPr>
            <w:tcW w:w="2400" w:type="dxa"/>
            <w:tcBorders>
              <w:top w:val="nil"/>
              <w:left w:val="nil"/>
              <w:bottom w:val="nil"/>
              <w:right w:val="nil"/>
            </w:tcBorders>
            <w:tcMar>
              <w:top w:w="60" w:type="dxa"/>
              <w:left w:w="100" w:type="dxa"/>
              <w:bottom w:w="60" w:type="dxa"/>
              <w:right w:w="100" w:type="dxa"/>
            </w:tcMar>
            <w:vAlign w:val="center"/>
          </w:tcPr>
          <w:p w14:paraId="7A1225B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Biological (lab)</w:t>
            </w:r>
          </w:p>
        </w:tc>
        <w:tc>
          <w:tcPr>
            <w:tcW w:w="1360" w:type="dxa"/>
            <w:tcBorders>
              <w:top w:val="nil"/>
              <w:left w:val="nil"/>
              <w:bottom w:val="nil"/>
              <w:right w:val="nil"/>
            </w:tcBorders>
            <w:tcMar>
              <w:top w:w="60" w:type="dxa"/>
              <w:left w:w="100" w:type="dxa"/>
              <w:bottom w:w="60" w:type="dxa"/>
              <w:right w:w="100" w:type="dxa"/>
            </w:tcMar>
            <w:vAlign w:val="center"/>
          </w:tcPr>
          <w:p w14:paraId="68598A6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24</w:t>
            </w:r>
          </w:p>
        </w:tc>
      </w:tr>
      <w:tr w14:paraId="0D127E4B">
        <w:tc>
          <w:tcPr>
            <w:tcW w:w="4000" w:type="dxa"/>
            <w:tcBorders>
              <w:top w:val="nil"/>
              <w:left w:val="nil"/>
              <w:bottom w:val="single" w:color="000000" w:sz="12" w:space="0"/>
              <w:right w:val="nil"/>
            </w:tcBorders>
            <w:tcMar>
              <w:top w:w="60" w:type="dxa"/>
              <w:left w:w="100" w:type="dxa"/>
              <w:bottom w:w="60" w:type="dxa"/>
              <w:right w:w="100" w:type="dxa"/>
            </w:tcMar>
            <w:vAlign w:val="center"/>
          </w:tcPr>
          <w:p w14:paraId="3A4FDAA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sofa_total_24h</w:t>
            </w:r>
          </w:p>
        </w:tc>
        <w:tc>
          <w:tcPr>
            <w:tcW w:w="1600" w:type="dxa"/>
            <w:tcBorders>
              <w:top w:val="nil"/>
              <w:left w:val="nil"/>
              <w:bottom w:val="single" w:color="000000" w:sz="12" w:space="0"/>
              <w:right w:val="nil"/>
            </w:tcBorders>
            <w:tcMar>
              <w:top w:w="60" w:type="dxa"/>
              <w:left w:w="100" w:type="dxa"/>
              <w:bottom w:w="60" w:type="dxa"/>
              <w:right w:w="100" w:type="dxa"/>
            </w:tcMar>
            <w:vAlign w:val="center"/>
          </w:tcPr>
          <w:p w14:paraId="1960279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0.014</w:t>
            </w:r>
          </w:p>
        </w:tc>
        <w:tc>
          <w:tcPr>
            <w:tcW w:w="2400" w:type="dxa"/>
            <w:tcBorders>
              <w:top w:val="nil"/>
              <w:left w:val="nil"/>
              <w:bottom w:val="single" w:color="000000" w:sz="12" w:space="0"/>
              <w:right w:val="nil"/>
            </w:tcBorders>
            <w:tcMar>
              <w:top w:w="60" w:type="dxa"/>
              <w:left w:w="100" w:type="dxa"/>
              <w:bottom w:w="60" w:type="dxa"/>
              <w:right w:w="100" w:type="dxa"/>
            </w:tcMar>
            <w:vAlign w:val="center"/>
          </w:tcPr>
          <w:p w14:paraId="1998428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Composite severity</w:t>
            </w:r>
          </w:p>
        </w:tc>
        <w:tc>
          <w:tcPr>
            <w:tcW w:w="1360" w:type="dxa"/>
            <w:tcBorders>
              <w:top w:val="nil"/>
              <w:left w:val="nil"/>
              <w:bottom w:val="single" w:color="000000" w:sz="12" w:space="0"/>
              <w:right w:val="nil"/>
            </w:tcBorders>
            <w:tcMar>
              <w:top w:w="60" w:type="dxa"/>
              <w:left w:w="100" w:type="dxa"/>
              <w:bottom w:w="60" w:type="dxa"/>
              <w:right w:w="100" w:type="dxa"/>
            </w:tcMar>
            <w:vAlign w:val="center"/>
          </w:tcPr>
          <w:p w14:paraId="63DD6D6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25</w:t>
            </w:r>
          </w:p>
        </w:tc>
      </w:tr>
    </w:tbl>
    <w:p w14:paraId="6F998BBB">
      <w:pPr>
        <w:keepNext w:val="0"/>
        <w:keepLines w:val="0"/>
        <w:widowControl w:val="0"/>
        <w:kinsoku/>
        <w:wordWrap/>
        <w:overflowPunct/>
        <w:topLinePunct w:val="0"/>
        <w:autoSpaceDE/>
        <w:autoSpaceDN/>
        <w:bidi w:val="0"/>
        <w:adjustRightInd/>
        <w:snapToGrid/>
        <w:spacing w:before="60" w:after="120" w:line="480" w:lineRule="auto"/>
        <w:textAlignment w:val="auto"/>
      </w:pPr>
      <w:r>
        <w:rPr>
          <w:rFonts w:ascii="Times New Roman" w:hAnsi="Times New Roman" w:eastAsia="Times New Roman" w:cs="Times New Roman"/>
          <w:i/>
          <w:iCs/>
          <w:sz w:val="20"/>
          <w:szCs w:val="20"/>
        </w:rPr>
        <w:t>Variable importance is computed as the weighted frequency with which each covariate was selected as a splitting variable across the 4,000 trees in the causal forest, scaled so values sum to one. Weights decay with split depth (grf default), so splits near the root contribute more than deep splits. Category groupings: Indication/Decision (vasopressor doses and ICU timing variables used in the clinical decision to administer furosemide); Biological (lab, demographic, comorbidity); Hemodynamic state (current vital signs); Fluid management (intake, output, cumulative balance); Missing indicator (binary indicator for missingness of the corresponding continuous variable); Composite severity (SOFA). The four-level norepinephrine trajectory class entered the design matrix as three indicator dummies (rising, stable, falling) after the unknown level was absorbed as the reference category by model.matrix; only the 'rising' dummy reaches the top 25 (rank 6, importance 0.045), with the remaining trajectory dummies entering at lower individual ranks.</w:t>
      </w:r>
    </w:p>
    <w:p w14:paraId="78A824F5">
      <w:pPr>
        <w:keepNext w:val="0"/>
        <w:keepLines w:val="0"/>
        <w:widowControl w:val="0"/>
        <w:kinsoku/>
        <w:wordWrap/>
        <w:overflowPunct/>
        <w:topLinePunct w:val="0"/>
        <w:autoSpaceDE/>
        <w:autoSpaceDN/>
        <w:bidi w:val="0"/>
        <w:adjustRightInd/>
        <w:snapToGrid/>
        <w:spacing w:line="480" w:lineRule="auto"/>
        <w:textAlignment w:val="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Supplementary Table S4. Pre-imputation missingness patterns and imputation approach for baseline covariates with non-zero missingness in the analytic cohort (N = 6,759).</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300"/>
        <w:gridCol w:w="1700"/>
        <w:gridCol w:w="2300"/>
        <w:gridCol w:w="2060"/>
      </w:tblGrid>
      <w:tr w14:paraId="1C7C41A7">
        <w:tc>
          <w:tcPr>
            <w:tcW w:w="3300" w:type="dxa"/>
            <w:tcBorders>
              <w:top w:val="single" w:color="000000" w:sz="12" w:space="0"/>
              <w:left w:val="nil"/>
              <w:bottom w:val="single" w:color="000000" w:sz="6" w:space="0"/>
              <w:right w:val="nil"/>
            </w:tcBorders>
            <w:tcMar>
              <w:top w:w="60" w:type="dxa"/>
              <w:left w:w="100" w:type="dxa"/>
              <w:bottom w:w="60" w:type="dxa"/>
              <w:right w:w="100" w:type="dxa"/>
            </w:tcMar>
            <w:vAlign w:val="center"/>
          </w:tcPr>
          <w:p w14:paraId="542D7C4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Variable</w:t>
            </w:r>
          </w:p>
        </w:tc>
        <w:tc>
          <w:tcPr>
            <w:tcW w:w="1700" w:type="dxa"/>
            <w:tcBorders>
              <w:top w:val="single" w:color="000000" w:sz="12" w:space="0"/>
              <w:left w:val="nil"/>
              <w:bottom w:val="single" w:color="000000" w:sz="6" w:space="0"/>
              <w:right w:val="nil"/>
            </w:tcBorders>
            <w:tcMar>
              <w:top w:w="60" w:type="dxa"/>
              <w:left w:w="100" w:type="dxa"/>
              <w:bottom w:w="60" w:type="dxa"/>
              <w:right w:w="100" w:type="dxa"/>
            </w:tcMar>
            <w:vAlign w:val="center"/>
          </w:tcPr>
          <w:p w14:paraId="7AB4107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Missing, %</w:t>
            </w:r>
          </w:p>
        </w:tc>
        <w:tc>
          <w:tcPr>
            <w:tcW w:w="2300" w:type="dxa"/>
            <w:tcBorders>
              <w:top w:val="single" w:color="000000" w:sz="12" w:space="0"/>
              <w:left w:val="nil"/>
              <w:bottom w:val="single" w:color="000000" w:sz="6" w:space="0"/>
              <w:right w:val="nil"/>
            </w:tcBorders>
            <w:tcMar>
              <w:top w:w="60" w:type="dxa"/>
              <w:left w:w="100" w:type="dxa"/>
              <w:bottom w:w="60" w:type="dxa"/>
              <w:right w:w="100" w:type="dxa"/>
            </w:tcMar>
            <w:vAlign w:val="center"/>
          </w:tcPr>
          <w:p w14:paraId="1B1C275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Imputation approach</w:t>
            </w:r>
          </w:p>
        </w:tc>
        <w:tc>
          <w:tcPr>
            <w:tcW w:w="2060" w:type="dxa"/>
            <w:tcBorders>
              <w:top w:val="single" w:color="000000" w:sz="12" w:space="0"/>
              <w:left w:val="nil"/>
              <w:bottom w:val="single" w:color="000000" w:sz="6" w:space="0"/>
              <w:right w:val="nil"/>
            </w:tcBorders>
            <w:tcMar>
              <w:top w:w="60" w:type="dxa"/>
              <w:left w:w="100" w:type="dxa"/>
              <w:bottom w:w="60" w:type="dxa"/>
              <w:right w:w="100" w:type="dxa"/>
            </w:tcMar>
            <w:vAlign w:val="center"/>
          </w:tcPr>
          <w:p w14:paraId="76CD5BC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Missing-indicator added</w:t>
            </w:r>
          </w:p>
        </w:tc>
      </w:tr>
      <w:tr w14:paraId="423DC368">
        <w:tc>
          <w:tcPr>
            <w:tcW w:w="3300" w:type="dxa"/>
            <w:tcBorders>
              <w:top w:val="nil"/>
              <w:left w:val="nil"/>
              <w:bottom w:val="nil"/>
              <w:right w:val="nil"/>
            </w:tcBorders>
            <w:tcMar>
              <w:top w:w="60" w:type="dxa"/>
              <w:left w:w="100" w:type="dxa"/>
              <w:bottom w:w="60" w:type="dxa"/>
              <w:right w:w="100" w:type="dxa"/>
            </w:tcMar>
            <w:vAlign w:val="center"/>
          </w:tcPr>
          <w:p w14:paraId="446B274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iCs/>
                <w:sz w:val="20"/>
                <w:szCs w:val="20"/>
              </w:rPr>
              <w:t>Substantial missingness (≥ 10%)</w:t>
            </w:r>
          </w:p>
        </w:tc>
        <w:tc>
          <w:tcPr>
            <w:tcW w:w="1700" w:type="dxa"/>
            <w:tcBorders>
              <w:top w:val="nil"/>
              <w:left w:val="nil"/>
              <w:bottom w:val="nil"/>
              <w:right w:val="nil"/>
            </w:tcBorders>
            <w:tcMar>
              <w:top w:w="60" w:type="dxa"/>
              <w:left w:w="100" w:type="dxa"/>
              <w:bottom w:w="60" w:type="dxa"/>
              <w:right w:w="100" w:type="dxa"/>
            </w:tcMar>
            <w:vAlign w:val="center"/>
          </w:tcPr>
          <w:p w14:paraId="3DFDEA08">
            <w:pPr>
              <w:keepNext w:val="0"/>
              <w:keepLines w:val="0"/>
              <w:widowControl w:val="0"/>
              <w:kinsoku/>
              <w:wordWrap/>
              <w:overflowPunct/>
              <w:topLinePunct w:val="0"/>
              <w:autoSpaceDE/>
              <w:autoSpaceDN/>
              <w:bidi w:val="0"/>
              <w:adjustRightInd/>
              <w:snapToGrid/>
              <w:spacing w:line="480" w:lineRule="auto"/>
              <w:jc w:val="center"/>
              <w:textAlignment w:val="auto"/>
            </w:pPr>
          </w:p>
        </w:tc>
        <w:tc>
          <w:tcPr>
            <w:tcW w:w="2300" w:type="dxa"/>
            <w:tcBorders>
              <w:top w:val="nil"/>
              <w:left w:val="nil"/>
              <w:bottom w:val="nil"/>
              <w:right w:val="nil"/>
            </w:tcBorders>
            <w:tcMar>
              <w:top w:w="60" w:type="dxa"/>
              <w:left w:w="100" w:type="dxa"/>
              <w:bottom w:w="60" w:type="dxa"/>
              <w:right w:w="100" w:type="dxa"/>
            </w:tcMar>
            <w:vAlign w:val="center"/>
          </w:tcPr>
          <w:p w14:paraId="3AD2DE01">
            <w:pPr>
              <w:keepNext w:val="0"/>
              <w:keepLines w:val="0"/>
              <w:widowControl w:val="0"/>
              <w:kinsoku/>
              <w:wordWrap/>
              <w:overflowPunct/>
              <w:topLinePunct w:val="0"/>
              <w:autoSpaceDE/>
              <w:autoSpaceDN/>
              <w:bidi w:val="0"/>
              <w:adjustRightInd/>
              <w:snapToGrid/>
              <w:spacing w:line="480" w:lineRule="auto"/>
              <w:jc w:val="center"/>
              <w:textAlignment w:val="auto"/>
            </w:pPr>
          </w:p>
        </w:tc>
        <w:tc>
          <w:tcPr>
            <w:tcW w:w="2060" w:type="dxa"/>
            <w:tcBorders>
              <w:top w:val="nil"/>
              <w:left w:val="nil"/>
              <w:bottom w:val="nil"/>
              <w:right w:val="nil"/>
            </w:tcBorders>
            <w:tcMar>
              <w:top w:w="60" w:type="dxa"/>
              <w:left w:w="100" w:type="dxa"/>
              <w:bottom w:w="60" w:type="dxa"/>
              <w:right w:w="100" w:type="dxa"/>
            </w:tcMar>
            <w:vAlign w:val="center"/>
          </w:tcPr>
          <w:p w14:paraId="534776C4">
            <w:pPr>
              <w:keepNext w:val="0"/>
              <w:keepLines w:val="0"/>
              <w:widowControl w:val="0"/>
              <w:kinsoku/>
              <w:wordWrap/>
              <w:overflowPunct/>
              <w:topLinePunct w:val="0"/>
              <w:autoSpaceDE/>
              <w:autoSpaceDN/>
              <w:bidi w:val="0"/>
              <w:adjustRightInd/>
              <w:snapToGrid/>
              <w:spacing w:line="480" w:lineRule="auto"/>
              <w:jc w:val="center"/>
              <w:textAlignment w:val="auto"/>
            </w:pPr>
          </w:p>
        </w:tc>
      </w:tr>
      <w:tr w14:paraId="3215494A">
        <w:tc>
          <w:tcPr>
            <w:tcW w:w="3300" w:type="dxa"/>
            <w:tcBorders>
              <w:top w:val="nil"/>
              <w:left w:val="nil"/>
              <w:bottom w:val="nil"/>
              <w:right w:val="nil"/>
            </w:tcBorders>
            <w:tcMar>
              <w:top w:w="60" w:type="dxa"/>
              <w:left w:w="100" w:type="dxa"/>
              <w:bottom w:w="60" w:type="dxa"/>
              <w:right w:w="100" w:type="dxa"/>
            </w:tcMar>
            <w:vAlign w:val="center"/>
          </w:tcPr>
          <w:p w14:paraId="1C3B5F9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Albumin</w:t>
            </w:r>
          </w:p>
        </w:tc>
        <w:tc>
          <w:tcPr>
            <w:tcW w:w="1700" w:type="dxa"/>
            <w:tcBorders>
              <w:top w:val="nil"/>
              <w:left w:val="nil"/>
              <w:bottom w:val="nil"/>
              <w:right w:val="nil"/>
            </w:tcBorders>
            <w:tcMar>
              <w:top w:w="60" w:type="dxa"/>
              <w:left w:w="100" w:type="dxa"/>
              <w:bottom w:w="60" w:type="dxa"/>
              <w:right w:w="100" w:type="dxa"/>
            </w:tcMar>
            <w:vAlign w:val="center"/>
          </w:tcPr>
          <w:p w14:paraId="03E1097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68.4</w:t>
            </w:r>
          </w:p>
        </w:tc>
        <w:tc>
          <w:tcPr>
            <w:tcW w:w="2300" w:type="dxa"/>
            <w:tcBorders>
              <w:top w:val="nil"/>
              <w:left w:val="nil"/>
              <w:bottom w:val="nil"/>
              <w:right w:val="nil"/>
            </w:tcBorders>
            <w:tcMar>
              <w:top w:w="60" w:type="dxa"/>
              <w:left w:w="100" w:type="dxa"/>
              <w:bottom w:w="60" w:type="dxa"/>
              <w:right w:w="100" w:type="dxa"/>
            </w:tcMar>
            <w:vAlign w:val="center"/>
          </w:tcPr>
          <w:p w14:paraId="3A9E4AD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Median imputation</w:t>
            </w:r>
          </w:p>
        </w:tc>
        <w:tc>
          <w:tcPr>
            <w:tcW w:w="2060" w:type="dxa"/>
            <w:tcBorders>
              <w:top w:val="nil"/>
              <w:left w:val="nil"/>
              <w:bottom w:val="nil"/>
              <w:right w:val="nil"/>
            </w:tcBorders>
            <w:tcMar>
              <w:top w:w="60" w:type="dxa"/>
              <w:left w:w="100" w:type="dxa"/>
              <w:bottom w:w="60" w:type="dxa"/>
              <w:right w:w="100" w:type="dxa"/>
            </w:tcMar>
            <w:vAlign w:val="center"/>
          </w:tcPr>
          <w:p w14:paraId="726A324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Yes</w:t>
            </w:r>
          </w:p>
        </w:tc>
      </w:tr>
      <w:tr w14:paraId="652FD157">
        <w:tc>
          <w:tcPr>
            <w:tcW w:w="3300" w:type="dxa"/>
            <w:tcBorders>
              <w:top w:val="nil"/>
              <w:left w:val="nil"/>
              <w:bottom w:val="nil"/>
              <w:right w:val="nil"/>
            </w:tcBorders>
            <w:tcMar>
              <w:top w:w="60" w:type="dxa"/>
              <w:left w:w="100" w:type="dxa"/>
              <w:bottom w:w="60" w:type="dxa"/>
              <w:right w:w="100" w:type="dxa"/>
            </w:tcMar>
            <w:vAlign w:val="center"/>
          </w:tcPr>
          <w:p w14:paraId="7CF1ADF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Central venous pressure</w:t>
            </w:r>
          </w:p>
        </w:tc>
        <w:tc>
          <w:tcPr>
            <w:tcW w:w="1700" w:type="dxa"/>
            <w:tcBorders>
              <w:top w:val="nil"/>
              <w:left w:val="nil"/>
              <w:bottom w:val="nil"/>
              <w:right w:val="nil"/>
            </w:tcBorders>
            <w:tcMar>
              <w:top w:w="60" w:type="dxa"/>
              <w:left w:w="100" w:type="dxa"/>
              <w:bottom w:w="60" w:type="dxa"/>
              <w:right w:w="100" w:type="dxa"/>
            </w:tcMar>
            <w:vAlign w:val="center"/>
          </w:tcPr>
          <w:p w14:paraId="6A7D925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64.8</w:t>
            </w:r>
          </w:p>
        </w:tc>
        <w:tc>
          <w:tcPr>
            <w:tcW w:w="2300" w:type="dxa"/>
            <w:tcBorders>
              <w:top w:val="nil"/>
              <w:left w:val="nil"/>
              <w:bottom w:val="nil"/>
              <w:right w:val="nil"/>
            </w:tcBorders>
            <w:tcMar>
              <w:top w:w="60" w:type="dxa"/>
              <w:left w:w="100" w:type="dxa"/>
              <w:bottom w:w="60" w:type="dxa"/>
              <w:right w:w="100" w:type="dxa"/>
            </w:tcMar>
            <w:vAlign w:val="center"/>
          </w:tcPr>
          <w:p w14:paraId="00D13FB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Median imputation</w:t>
            </w:r>
          </w:p>
        </w:tc>
        <w:tc>
          <w:tcPr>
            <w:tcW w:w="2060" w:type="dxa"/>
            <w:tcBorders>
              <w:top w:val="nil"/>
              <w:left w:val="nil"/>
              <w:bottom w:val="nil"/>
              <w:right w:val="nil"/>
            </w:tcBorders>
            <w:tcMar>
              <w:top w:w="60" w:type="dxa"/>
              <w:left w:w="100" w:type="dxa"/>
              <w:bottom w:w="60" w:type="dxa"/>
              <w:right w:w="100" w:type="dxa"/>
            </w:tcMar>
            <w:vAlign w:val="center"/>
          </w:tcPr>
          <w:p w14:paraId="6257C88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Yes</w:t>
            </w:r>
          </w:p>
        </w:tc>
      </w:tr>
      <w:tr w14:paraId="2C5399DD">
        <w:tc>
          <w:tcPr>
            <w:tcW w:w="3300" w:type="dxa"/>
            <w:tcBorders>
              <w:top w:val="nil"/>
              <w:left w:val="nil"/>
              <w:bottom w:val="nil"/>
              <w:right w:val="nil"/>
            </w:tcBorders>
            <w:tcMar>
              <w:top w:w="60" w:type="dxa"/>
              <w:left w:w="100" w:type="dxa"/>
              <w:bottom w:w="60" w:type="dxa"/>
              <w:right w:w="100" w:type="dxa"/>
            </w:tcMar>
            <w:vAlign w:val="center"/>
          </w:tcPr>
          <w:p w14:paraId="4AD425A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Norepinephrine dose, 6 h prior</w:t>
            </w:r>
          </w:p>
        </w:tc>
        <w:tc>
          <w:tcPr>
            <w:tcW w:w="1700" w:type="dxa"/>
            <w:tcBorders>
              <w:top w:val="nil"/>
              <w:left w:val="nil"/>
              <w:bottom w:val="nil"/>
              <w:right w:val="nil"/>
            </w:tcBorders>
            <w:tcMar>
              <w:top w:w="60" w:type="dxa"/>
              <w:left w:w="100" w:type="dxa"/>
              <w:bottom w:w="60" w:type="dxa"/>
              <w:right w:w="100" w:type="dxa"/>
            </w:tcMar>
            <w:vAlign w:val="center"/>
          </w:tcPr>
          <w:p w14:paraId="0B4EFF6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42.3</w:t>
            </w:r>
          </w:p>
        </w:tc>
        <w:tc>
          <w:tcPr>
            <w:tcW w:w="2300" w:type="dxa"/>
            <w:tcBorders>
              <w:top w:val="nil"/>
              <w:left w:val="nil"/>
              <w:bottom w:val="nil"/>
              <w:right w:val="nil"/>
            </w:tcBorders>
            <w:tcMar>
              <w:top w:w="60" w:type="dxa"/>
              <w:left w:w="100" w:type="dxa"/>
              <w:bottom w:w="60" w:type="dxa"/>
              <w:right w:w="100" w:type="dxa"/>
            </w:tcMar>
            <w:vAlign w:val="center"/>
          </w:tcPr>
          <w:p w14:paraId="3689EF4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Median imputation</w:t>
            </w:r>
          </w:p>
        </w:tc>
        <w:tc>
          <w:tcPr>
            <w:tcW w:w="2060" w:type="dxa"/>
            <w:tcBorders>
              <w:top w:val="nil"/>
              <w:left w:val="nil"/>
              <w:bottom w:val="nil"/>
              <w:right w:val="nil"/>
            </w:tcBorders>
            <w:tcMar>
              <w:top w:w="60" w:type="dxa"/>
              <w:left w:w="100" w:type="dxa"/>
              <w:bottom w:w="60" w:type="dxa"/>
              <w:right w:w="100" w:type="dxa"/>
            </w:tcMar>
            <w:vAlign w:val="center"/>
          </w:tcPr>
          <w:p w14:paraId="635E1B9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Yes</w:t>
            </w:r>
          </w:p>
        </w:tc>
      </w:tr>
      <w:tr w14:paraId="773A5245">
        <w:tc>
          <w:tcPr>
            <w:tcW w:w="3300" w:type="dxa"/>
            <w:tcBorders>
              <w:top w:val="nil"/>
              <w:left w:val="nil"/>
              <w:bottom w:val="nil"/>
              <w:right w:val="nil"/>
            </w:tcBorders>
            <w:tcMar>
              <w:top w:w="60" w:type="dxa"/>
              <w:left w:w="100" w:type="dxa"/>
              <w:bottom w:w="60" w:type="dxa"/>
              <w:right w:w="100" w:type="dxa"/>
            </w:tcMar>
            <w:vAlign w:val="center"/>
          </w:tcPr>
          <w:p w14:paraId="5B8F9EC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Norepinephrine dose, 3 h prior</w:t>
            </w:r>
          </w:p>
        </w:tc>
        <w:tc>
          <w:tcPr>
            <w:tcW w:w="1700" w:type="dxa"/>
            <w:tcBorders>
              <w:top w:val="nil"/>
              <w:left w:val="nil"/>
              <w:bottom w:val="nil"/>
              <w:right w:val="nil"/>
            </w:tcBorders>
            <w:tcMar>
              <w:top w:w="60" w:type="dxa"/>
              <w:left w:w="100" w:type="dxa"/>
              <w:bottom w:w="60" w:type="dxa"/>
              <w:right w:w="100" w:type="dxa"/>
            </w:tcMar>
            <w:vAlign w:val="center"/>
          </w:tcPr>
          <w:p w14:paraId="0CDABD0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27.4</w:t>
            </w:r>
          </w:p>
        </w:tc>
        <w:tc>
          <w:tcPr>
            <w:tcW w:w="2300" w:type="dxa"/>
            <w:tcBorders>
              <w:top w:val="nil"/>
              <w:left w:val="nil"/>
              <w:bottom w:val="nil"/>
              <w:right w:val="nil"/>
            </w:tcBorders>
            <w:tcMar>
              <w:top w:w="60" w:type="dxa"/>
              <w:left w:w="100" w:type="dxa"/>
              <w:bottom w:w="60" w:type="dxa"/>
              <w:right w:w="100" w:type="dxa"/>
            </w:tcMar>
            <w:vAlign w:val="center"/>
          </w:tcPr>
          <w:p w14:paraId="6DDF914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Median imputation</w:t>
            </w:r>
          </w:p>
        </w:tc>
        <w:tc>
          <w:tcPr>
            <w:tcW w:w="2060" w:type="dxa"/>
            <w:tcBorders>
              <w:top w:val="nil"/>
              <w:left w:val="nil"/>
              <w:bottom w:val="nil"/>
              <w:right w:val="nil"/>
            </w:tcBorders>
            <w:tcMar>
              <w:top w:w="60" w:type="dxa"/>
              <w:left w:w="100" w:type="dxa"/>
              <w:bottom w:w="60" w:type="dxa"/>
              <w:right w:w="100" w:type="dxa"/>
            </w:tcMar>
            <w:vAlign w:val="center"/>
          </w:tcPr>
          <w:p w14:paraId="18237F3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Yes</w:t>
            </w:r>
          </w:p>
        </w:tc>
      </w:tr>
      <w:tr w14:paraId="7D16B067">
        <w:tc>
          <w:tcPr>
            <w:tcW w:w="3300" w:type="dxa"/>
            <w:tcBorders>
              <w:top w:val="nil"/>
              <w:left w:val="nil"/>
              <w:bottom w:val="nil"/>
              <w:right w:val="nil"/>
            </w:tcBorders>
            <w:tcMar>
              <w:top w:w="60" w:type="dxa"/>
              <w:left w:w="100" w:type="dxa"/>
              <w:bottom w:w="60" w:type="dxa"/>
              <w:right w:w="100" w:type="dxa"/>
            </w:tcMar>
            <w:vAlign w:val="center"/>
          </w:tcPr>
          <w:p w14:paraId="5E76415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Lactate</w:t>
            </w:r>
          </w:p>
        </w:tc>
        <w:tc>
          <w:tcPr>
            <w:tcW w:w="1700" w:type="dxa"/>
            <w:tcBorders>
              <w:top w:val="nil"/>
              <w:left w:val="nil"/>
              <w:bottom w:val="nil"/>
              <w:right w:val="nil"/>
            </w:tcBorders>
            <w:tcMar>
              <w:top w:w="60" w:type="dxa"/>
              <w:left w:w="100" w:type="dxa"/>
              <w:bottom w:w="60" w:type="dxa"/>
              <w:right w:w="100" w:type="dxa"/>
            </w:tcMar>
            <w:vAlign w:val="center"/>
          </w:tcPr>
          <w:p w14:paraId="0802643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19.1</w:t>
            </w:r>
          </w:p>
        </w:tc>
        <w:tc>
          <w:tcPr>
            <w:tcW w:w="2300" w:type="dxa"/>
            <w:tcBorders>
              <w:top w:val="nil"/>
              <w:left w:val="nil"/>
              <w:bottom w:val="nil"/>
              <w:right w:val="nil"/>
            </w:tcBorders>
            <w:tcMar>
              <w:top w:w="60" w:type="dxa"/>
              <w:left w:w="100" w:type="dxa"/>
              <w:bottom w:w="60" w:type="dxa"/>
              <w:right w:w="100" w:type="dxa"/>
            </w:tcMar>
            <w:vAlign w:val="center"/>
          </w:tcPr>
          <w:p w14:paraId="2601D76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Median imputation</w:t>
            </w:r>
          </w:p>
        </w:tc>
        <w:tc>
          <w:tcPr>
            <w:tcW w:w="2060" w:type="dxa"/>
            <w:tcBorders>
              <w:top w:val="nil"/>
              <w:left w:val="nil"/>
              <w:bottom w:val="nil"/>
              <w:right w:val="nil"/>
            </w:tcBorders>
            <w:tcMar>
              <w:top w:w="60" w:type="dxa"/>
              <w:left w:w="100" w:type="dxa"/>
              <w:bottom w:w="60" w:type="dxa"/>
              <w:right w:w="100" w:type="dxa"/>
            </w:tcMar>
            <w:vAlign w:val="center"/>
          </w:tcPr>
          <w:p w14:paraId="530BCA6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Yes</w:t>
            </w:r>
          </w:p>
        </w:tc>
      </w:tr>
      <w:tr w14:paraId="5F5C7B71">
        <w:tc>
          <w:tcPr>
            <w:tcW w:w="3300" w:type="dxa"/>
            <w:tcBorders>
              <w:top w:val="nil"/>
              <w:left w:val="nil"/>
              <w:bottom w:val="nil"/>
              <w:right w:val="nil"/>
            </w:tcBorders>
            <w:tcMar>
              <w:top w:w="60" w:type="dxa"/>
              <w:left w:w="100" w:type="dxa"/>
              <w:bottom w:w="60" w:type="dxa"/>
              <w:right w:w="100" w:type="dxa"/>
            </w:tcMar>
            <w:vAlign w:val="center"/>
          </w:tcPr>
          <w:p w14:paraId="17CC03D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Arterial pH</w:t>
            </w:r>
          </w:p>
        </w:tc>
        <w:tc>
          <w:tcPr>
            <w:tcW w:w="1700" w:type="dxa"/>
            <w:tcBorders>
              <w:top w:val="nil"/>
              <w:left w:val="nil"/>
              <w:bottom w:val="nil"/>
              <w:right w:val="nil"/>
            </w:tcBorders>
            <w:tcMar>
              <w:top w:w="60" w:type="dxa"/>
              <w:left w:w="100" w:type="dxa"/>
              <w:bottom w:w="60" w:type="dxa"/>
              <w:right w:w="100" w:type="dxa"/>
            </w:tcMar>
            <w:vAlign w:val="center"/>
          </w:tcPr>
          <w:p w14:paraId="7976594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17.8</w:t>
            </w:r>
          </w:p>
        </w:tc>
        <w:tc>
          <w:tcPr>
            <w:tcW w:w="2300" w:type="dxa"/>
            <w:tcBorders>
              <w:top w:val="nil"/>
              <w:left w:val="nil"/>
              <w:bottom w:val="nil"/>
              <w:right w:val="nil"/>
            </w:tcBorders>
            <w:tcMar>
              <w:top w:w="60" w:type="dxa"/>
              <w:left w:w="100" w:type="dxa"/>
              <w:bottom w:w="60" w:type="dxa"/>
              <w:right w:w="100" w:type="dxa"/>
            </w:tcMar>
            <w:vAlign w:val="center"/>
          </w:tcPr>
          <w:p w14:paraId="29DF500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Median imputation</w:t>
            </w:r>
          </w:p>
        </w:tc>
        <w:tc>
          <w:tcPr>
            <w:tcW w:w="2060" w:type="dxa"/>
            <w:tcBorders>
              <w:top w:val="nil"/>
              <w:left w:val="nil"/>
              <w:bottom w:val="nil"/>
              <w:right w:val="nil"/>
            </w:tcBorders>
            <w:tcMar>
              <w:top w:w="60" w:type="dxa"/>
              <w:left w:w="100" w:type="dxa"/>
              <w:bottom w:w="60" w:type="dxa"/>
              <w:right w:w="100" w:type="dxa"/>
            </w:tcMar>
            <w:vAlign w:val="center"/>
          </w:tcPr>
          <w:p w14:paraId="3ED89EF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Yes</w:t>
            </w:r>
          </w:p>
        </w:tc>
      </w:tr>
      <w:tr w14:paraId="6F3BC81F">
        <w:tc>
          <w:tcPr>
            <w:tcW w:w="3300" w:type="dxa"/>
            <w:tcBorders>
              <w:top w:val="nil"/>
              <w:left w:val="nil"/>
              <w:bottom w:val="nil"/>
              <w:right w:val="nil"/>
            </w:tcBorders>
            <w:tcMar>
              <w:top w:w="60" w:type="dxa"/>
              <w:left w:w="100" w:type="dxa"/>
              <w:bottom w:w="60" w:type="dxa"/>
              <w:right w:w="100" w:type="dxa"/>
            </w:tcMar>
            <w:vAlign w:val="center"/>
          </w:tcPr>
          <w:p w14:paraId="6D1533B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iCs/>
                <w:sz w:val="20"/>
                <w:szCs w:val="20"/>
              </w:rPr>
              <w:t>Low missingness (&lt; 10%)</w:t>
            </w:r>
          </w:p>
        </w:tc>
        <w:tc>
          <w:tcPr>
            <w:tcW w:w="1700" w:type="dxa"/>
            <w:tcBorders>
              <w:top w:val="nil"/>
              <w:left w:val="nil"/>
              <w:bottom w:val="nil"/>
              <w:right w:val="nil"/>
            </w:tcBorders>
            <w:tcMar>
              <w:top w:w="60" w:type="dxa"/>
              <w:left w:w="100" w:type="dxa"/>
              <w:bottom w:w="60" w:type="dxa"/>
              <w:right w:w="100" w:type="dxa"/>
            </w:tcMar>
            <w:vAlign w:val="center"/>
          </w:tcPr>
          <w:p w14:paraId="3B4BFDFC">
            <w:pPr>
              <w:keepNext w:val="0"/>
              <w:keepLines w:val="0"/>
              <w:widowControl w:val="0"/>
              <w:kinsoku/>
              <w:wordWrap/>
              <w:overflowPunct/>
              <w:topLinePunct w:val="0"/>
              <w:autoSpaceDE/>
              <w:autoSpaceDN/>
              <w:bidi w:val="0"/>
              <w:adjustRightInd/>
              <w:snapToGrid/>
              <w:spacing w:line="480" w:lineRule="auto"/>
              <w:jc w:val="center"/>
              <w:textAlignment w:val="auto"/>
            </w:pPr>
          </w:p>
        </w:tc>
        <w:tc>
          <w:tcPr>
            <w:tcW w:w="2300" w:type="dxa"/>
            <w:tcBorders>
              <w:top w:val="nil"/>
              <w:left w:val="nil"/>
              <w:bottom w:val="nil"/>
              <w:right w:val="nil"/>
            </w:tcBorders>
            <w:tcMar>
              <w:top w:w="60" w:type="dxa"/>
              <w:left w:w="100" w:type="dxa"/>
              <w:bottom w:w="60" w:type="dxa"/>
              <w:right w:w="100" w:type="dxa"/>
            </w:tcMar>
            <w:vAlign w:val="center"/>
          </w:tcPr>
          <w:p w14:paraId="78F3F34E">
            <w:pPr>
              <w:keepNext w:val="0"/>
              <w:keepLines w:val="0"/>
              <w:widowControl w:val="0"/>
              <w:kinsoku/>
              <w:wordWrap/>
              <w:overflowPunct/>
              <w:topLinePunct w:val="0"/>
              <w:autoSpaceDE/>
              <w:autoSpaceDN/>
              <w:bidi w:val="0"/>
              <w:adjustRightInd/>
              <w:snapToGrid/>
              <w:spacing w:line="480" w:lineRule="auto"/>
              <w:jc w:val="center"/>
              <w:textAlignment w:val="auto"/>
            </w:pPr>
          </w:p>
        </w:tc>
        <w:tc>
          <w:tcPr>
            <w:tcW w:w="2060" w:type="dxa"/>
            <w:tcBorders>
              <w:top w:val="nil"/>
              <w:left w:val="nil"/>
              <w:bottom w:val="nil"/>
              <w:right w:val="nil"/>
            </w:tcBorders>
            <w:tcMar>
              <w:top w:w="60" w:type="dxa"/>
              <w:left w:w="100" w:type="dxa"/>
              <w:bottom w:w="60" w:type="dxa"/>
              <w:right w:w="100" w:type="dxa"/>
            </w:tcMar>
            <w:vAlign w:val="center"/>
          </w:tcPr>
          <w:p w14:paraId="6D06A85F">
            <w:pPr>
              <w:keepNext w:val="0"/>
              <w:keepLines w:val="0"/>
              <w:widowControl w:val="0"/>
              <w:kinsoku/>
              <w:wordWrap/>
              <w:overflowPunct/>
              <w:topLinePunct w:val="0"/>
              <w:autoSpaceDE/>
              <w:autoSpaceDN/>
              <w:bidi w:val="0"/>
              <w:adjustRightInd/>
              <w:snapToGrid/>
              <w:spacing w:line="480" w:lineRule="auto"/>
              <w:jc w:val="center"/>
              <w:textAlignment w:val="auto"/>
            </w:pPr>
          </w:p>
        </w:tc>
      </w:tr>
      <w:tr w14:paraId="157A62F9">
        <w:tc>
          <w:tcPr>
            <w:tcW w:w="3300" w:type="dxa"/>
            <w:tcBorders>
              <w:top w:val="nil"/>
              <w:left w:val="nil"/>
              <w:bottom w:val="nil"/>
              <w:right w:val="nil"/>
            </w:tcBorders>
            <w:tcMar>
              <w:top w:w="60" w:type="dxa"/>
              <w:left w:w="100" w:type="dxa"/>
              <w:bottom w:w="60" w:type="dxa"/>
              <w:right w:w="100" w:type="dxa"/>
            </w:tcMar>
            <w:vAlign w:val="center"/>
          </w:tcPr>
          <w:p w14:paraId="3D6EF3B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Potassium</w:t>
            </w:r>
          </w:p>
        </w:tc>
        <w:tc>
          <w:tcPr>
            <w:tcW w:w="1700" w:type="dxa"/>
            <w:tcBorders>
              <w:top w:val="nil"/>
              <w:left w:val="nil"/>
              <w:bottom w:val="nil"/>
              <w:right w:val="nil"/>
            </w:tcBorders>
            <w:tcMar>
              <w:top w:w="60" w:type="dxa"/>
              <w:left w:w="100" w:type="dxa"/>
              <w:bottom w:w="60" w:type="dxa"/>
              <w:right w:w="100" w:type="dxa"/>
            </w:tcMar>
            <w:vAlign w:val="center"/>
          </w:tcPr>
          <w:p w14:paraId="6AAFCCB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8.9</w:t>
            </w:r>
          </w:p>
        </w:tc>
        <w:tc>
          <w:tcPr>
            <w:tcW w:w="2300" w:type="dxa"/>
            <w:tcBorders>
              <w:top w:val="nil"/>
              <w:left w:val="nil"/>
              <w:bottom w:val="nil"/>
              <w:right w:val="nil"/>
            </w:tcBorders>
            <w:tcMar>
              <w:top w:w="60" w:type="dxa"/>
              <w:left w:w="100" w:type="dxa"/>
              <w:bottom w:w="60" w:type="dxa"/>
              <w:right w:w="100" w:type="dxa"/>
            </w:tcMar>
            <w:vAlign w:val="center"/>
          </w:tcPr>
          <w:p w14:paraId="493F091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Median imputation</w:t>
            </w:r>
          </w:p>
        </w:tc>
        <w:tc>
          <w:tcPr>
            <w:tcW w:w="2060" w:type="dxa"/>
            <w:tcBorders>
              <w:top w:val="nil"/>
              <w:left w:val="nil"/>
              <w:bottom w:val="nil"/>
              <w:right w:val="nil"/>
            </w:tcBorders>
            <w:tcMar>
              <w:top w:w="60" w:type="dxa"/>
              <w:left w:w="100" w:type="dxa"/>
              <w:bottom w:w="60" w:type="dxa"/>
              <w:right w:w="100" w:type="dxa"/>
            </w:tcMar>
            <w:vAlign w:val="center"/>
          </w:tcPr>
          <w:p w14:paraId="10295C8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No</w:t>
            </w:r>
          </w:p>
        </w:tc>
      </w:tr>
      <w:tr w14:paraId="47B82451">
        <w:tc>
          <w:tcPr>
            <w:tcW w:w="3300" w:type="dxa"/>
            <w:tcBorders>
              <w:top w:val="nil"/>
              <w:left w:val="nil"/>
              <w:bottom w:val="nil"/>
              <w:right w:val="nil"/>
            </w:tcBorders>
            <w:tcMar>
              <w:top w:w="60" w:type="dxa"/>
              <w:left w:w="100" w:type="dxa"/>
              <w:bottom w:w="60" w:type="dxa"/>
              <w:right w:w="100" w:type="dxa"/>
            </w:tcMar>
            <w:vAlign w:val="center"/>
          </w:tcPr>
          <w:p w14:paraId="6D0E721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Chloride</w:t>
            </w:r>
          </w:p>
        </w:tc>
        <w:tc>
          <w:tcPr>
            <w:tcW w:w="1700" w:type="dxa"/>
            <w:tcBorders>
              <w:top w:val="nil"/>
              <w:left w:val="nil"/>
              <w:bottom w:val="nil"/>
              <w:right w:val="nil"/>
            </w:tcBorders>
            <w:tcMar>
              <w:top w:w="60" w:type="dxa"/>
              <w:left w:w="100" w:type="dxa"/>
              <w:bottom w:w="60" w:type="dxa"/>
              <w:right w:w="100" w:type="dxa"/>
            </w:tcMar>
            <w:vAlign w:val="center"/>
          </w:tcPr>
          <w:p w14:paraId="3ADE57C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6.9</w:t>
            </w:r>
          </w:p>
        </w:tc>
        <w:tc>
          <w:tcPr>
            <w:tcW w:w="2300" w:type="dxa"/>
            <w:tcBorders>
              <w:top w:val="nil"/>
              <w:left w:val="nil"/>
              <w:bottom w:val="nil"/>
              <w:right w:val="nil"/>
            </w:tcBorders>
            <w:tcMar>
              <w:top w:w="60" w:type="dxa"/>
              <w:left w:w="100" w:type="dxa"/>
              <w:bottom w:w="60" w:type="dxa"/>
              <w:right w:w="100" w:type="dxa"/>
            </w:tcMar>
            <w:vAlign w:val="center"/>
          </w:tcPr>
          <w:p w14:paraId="4C458D7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Median imputation</w:t>
            </w:r>
          </w:p>
        </w:tc>
        <w:tc>
          <w:tcPr>
            <w:tcW w:w="2060" w:type="dxa"/>
            <w:tcBorders>
              <w:top w:val="nil"/>
              <w:left w:val="nil"/>
              <w:bottom w:val="nil"/>
              <w:right w:val="nil"/>
            </w:tcBorders>
            <w:tcMar>
              <w:top w:w="60" w:type="dxa"/>
              <w:left w:w="100" w:type="dxa"/>
              <w:bottom w:w="60" w:type="dxa"/>
              <w:right w:w="100" w:type="dxa"/>
            </w:tcMar>
            <w:vAlign w:val="center"/>
          </w:tcPr>
          <w:p w14:paraId="6238873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No</w:t>
            </w:r>
          </w:p>
        </w:tc>
      </w:tr>
      <w:tr w14:paraId="1ACD269D">
        <w:tc>
          <w:tcPr>
            <w:tcW w:w="3300" w:type="dxa"/>
            <w:tcBorders>
              <w:top w:val="nil"/>
              <w:left w:val="nil"/>
              <w:bottom w:val="nil"/>
              <w:right w:val="nil"/>
            </w:tcBorders>
            <w:tcMar>
              <w:top w:w="60" w:type="dxa"/>
              <w:left w:w="100" w:type="dxa"/>
              <w:bottom w:w="60" w:type="dxa"/>
              <w:right w:w="100" w:type="dxa"/>
            </w:tcMar>
            <w:vAlign w:val="center"/>
          </w:tcPr>
          <w:p w14:paraId="74A9817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Bicarbonate</w:t>
            </w:r>
          </w:p>
        </w:tc>
        <w:tc>
          <w:tcPr>
            <w:tcW w:w="1700" w:type="dxa"/>
            <w:tcBorders>
              <w:top w:val="nil"/>
              <w:left w:val="nil"/>
              <w:bottom w:val="nil"/>
              <w:right w:val="nil"/>
            </w:tcBorders>
            <w:tcMar>
              <w:top w:w="60" w:type="dxa"/>
              <w:left w:w="100" w:type="dxa"/>
              <w:bottom w:w="60" w:type="dxa"/>
              <w:right w:w="100" w:type="dxa"/>
            </w:tcMar>
            <w:vAlign w:val="center"/>
          </w:tcPr>
          <w:p w14:paraId="68B45DE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6.9</w:t>
            </w:r>
          </w:p>
        </w:tc>
        <w:tc>
          <w:tcPr>
            <w:tcW w:w="2300" w:type="dxa"/>
            <w:tcBorders>
              <w:top w:val="nil"/>
              <w:left w:val="nil"/>
              <w:bottom w:val="nil"/>
              <w:right w:val="nil"/>
            </w:tcBorders>
            <w:tcMar>
              <w:top w:w="60" w:type="dxa"/>
              <w:left w:w="100" w:type="dxa"/>
              <w:bottom w:w="60" w:type="dxa"/>
              <w:right w:w="100" w:type="dxa"/>
            </w:tcMar>
            <w:vAlign w:val="center"/>
          </w:tcPr>
          <w:p w14:paraId="0617D40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Median imputation</w:t>
            </w:r>
          </w:p>
        </w:tc>
        <w:tc>
          <w:tcPr>
            <w:tcW w:w="2060" w:type="dxa"/>
            <w:tcBorders>
              <w:top w:val="nil"/>
              <w:left w:val="nil"/>
              <w:bottom w:val="nil"/>
              <w:right w:val="nil"/>
            </w:tcBorders>
            <w:tcMar>
              <w:top w:w="60" w:type="dxa"/>
              <w:left w:w="100" w:type="dxa"/>
              <w:bottom w:w="60" w:type="dxa"/>
              <w:right w:w="100" w:type="dxa"/>
            </w:tcMar>
            <w:vAlign w:val="center"/>
          </w:tcPr>
          <w:p w14:paraId="1FA4428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No</w:t>
            </w:r>
          </w:p>
        </w:tc>
      </w:tr>
      <w:tr w14:paraId="2F2C7459">
        <w:tc>
          <w:tcPr>
            <w:tcW w:w="3300" w:type="dxa"/>
            <w:tcBorders>
              <w:top w:val="nil"/>
              <w:left w:val="nil"/>
              <w:bottom w:val="nil"/>
              <w:right w:val="nil"/>
            </w:tcBorders>
            <w:tcMar>
              <w:top w:w="60" w:type="dxa"/>
              <w:left w:w="100" w:type="dxa"/>
              <w:bottom w:w="60" w:type="dxa"/>
              <w:right w:w="100" w:type="dxa"/>
            </w:tcMar>
            <w:vAlign w:val="center"/>
          </w:tcPr>
          <w:p w14:paraId="2DFD6DA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Blood urea nitrogen</w:t>
            </w:r>
          </w:p>
        </w:tc>
        <w:tc>
          <w:tcPr>
            <w:tcW w:w="1700" w:type="dxa"/>
            <w:tcBorders>
              <w:top w:val="nil"/>
              <w:left w:val="nil"/>
              <w:bottom w:val="nil"/>
              <w:right w:val="nil"/>
            </w:tcBorders>
            <w:tcMar>
              <w:top w:w="60" w:type="dxa"/>
              <w:left w:w="100" w:type="dxa"/>
              <w:bottom w:w="60" w:type="dxa"/>
              <w:right w:w="100" w:type="dxa"/>
            </w:tcMar>
            <w:vAlign w:val="center"/>
          </w:tcPr>
          <w:p w14:paraId="70C4019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6.9</w:t>
            </w:r>
          </w:p>
        </w:tc>
        <w:tc>
          <w:tcPr>
            <w:tcW w:w="2300" w:type="dxa"/>
            <w:tcBorders>
              <w:top w:val="nil"/>
              <w:left w:val="nil"/>
              <w:bottom w:val="nil"/>
              <w:right w:val="nil"/>
            </w:tcBorders>
            <w:tcMar>
              <w:top w:w="60" w:type="dxa"/>
              <w:left w:w="100" w:type="dxa"/>
              <w:bottom w:w="60" w:type="dxa"/>
              <w:right w:w="100" w:type="dxa"/>
            </w:tcMar>
            <w:vAlign w:val="center"/>
          </w:tcPr>
          <w:p w14:paraId="5414C82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Median imputation</w:t>
            </w:r>
          </w:p>
        </w:tc>
        <w:tc>
          <w:tcPr>
            <w:tcW w:w="2060" w:type="dxa"/>
            <w:tcBorders>
              <w:top w:val="nil"/>
              <w:left w:val="nil"/>
              <w:bottom w:val="nil"/>
              <w:right w:val="nil"/>
            </w:tcBorders>
            <w:tcMar>
              <w:top w:w="60" w:type="dxa"/>
              <w:left w:w="100" w:type="dxa"/>
              <w:bottom w:w="60" w:type="dxa"/>
              <w:right w:w="100" w:type="dxa"/>
            </w:tcMar>
            <w:vAlign w:val="center"/>
          </w:tcPr>
          <w:p w14:paraId="75A173A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No</w:t>
            </w:r>
          </w:p>
        </w:tc>
      </w:tr>
      <w:tr w14:paraId="7B908C43">
        <w:tc>
          <w:tcPr>
            <w:tcW w:w="3300" w:type="dxa"/>
            <w:tcBorders>
              <w:top w:val="nil"/>
              <w:left w:val="nil"/>
              <w:bottom w:val="nil"/>
              <w:right w:val="nil"/>
            </w:tcBorders>
            <w:tcMar>
              <w:top w:w="60" w:type="dxa"/>
              <w:left w:w="100" w:type="dxa"/>
              <w:bottom w:w="60" w:type="dxa"/>
              <w:right w:w="100" w:type="dxa"/>
            </w:tcMar>
            <w:vAlign w:val="center"/>
          </w:tcPr>
          <w:p w14:paraId="45DD41C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Creatinine</w:t>
            </w:r>
          </w:p>
        </w:tc>
        <w:tc>
          <w:tcPr>
            <w:tcW w:w="1700" w:type="dxa"/>
            <w:tcBorders>
              <w:top w:val="nil"/>
              <w:left w:val="nil"/>
              <w:bottom w:val="nil"/>
              <w:right w:val="nil"/>
            </w:tcBorders>
            <w:tcMar>
              <w:top w:w="60" w:type="dxa"/>
              <w:left w:w="100" w:type="dxa"/>
              <w:bottom w:w="60" w:type="dxa"/>
              <w:right w:w="100" w:type="dxa"/>
            </w:tcMar>
            <w:vAlign w:val="center"/>
          </w:tcPr>
          <w:p w14:paraId="5792988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6.8</w:t>
            </w:r>
          </w:p>
        </w:tc>
        <w:tc>
          <w:tcPr>
            <w:tcW w:w="2300" w:type="dxa"/>
            <w:tcBorders>
              <w:top w:val="nil"/>
              <w:left w:val="nil"/>
              <w:bottom w:val="nil"/>
              <w:right w:val="nil"/>
            </w:tcBorders>
            <w:tcMar>
              <w:top w:w="60" w:type="dxa"/>
              <w:left w:w="100" w:type="dxa"/>
              <w:bottom w:w="60" w:type="dxa"/>
              <w:right w:w="100" w:type="dxa"/>
            </w:tcMar>
            <w:vAlign w:val="center"/>
          </w:tcPr>
          <w:p w14:paraId="403F8D8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Median imputation</w:t>
            </w:r>
          </w:p>
        </w:tc>
        <w:tc>
          <w:tcPr>
            <w:tcW w:w="2060" w:type="dxa"/>
            <w:tcBorders>
              <w:top w:val="nil"/>
              <w:left w:val="nil"/>
              <w:bottom w:val="nil"/>
              <w:right w:val="nil"/>
            </w:tcBorders>
            <w:tcMar>
              <w:top w:w="60" w:type="dxa"/>
              <w:left w:w="100" w:type="dxa"/>
              <w:bottom w:w="60" w:type="dxa"/>
              <w:right w:w="100" w:type="dxa"/>
            </w:tcMar>
            <w:vAlign w:val="center"/>
          </w:tcPr>
          <w:p w14:paraId="36F42AB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No</w:t>
            </w:r>
          </w:p>
        </w:tc>
      </w:tr>
      <w:tr w14:paraId="6BF5CBAB">
        <w:tc>
          <w:tcPr>
            <w:tcW w:w="3300" w:type="dxa"/>
            <w:tcBorders>
              <w:top w:val="nil"/>
              <w:left w:val="nil"/>
              <w:bottom w:val="nil"/>
              <w:right w:val="nil"/>
            </w:tcBorders>
            <w:tcMar>
              <w:top w:w="60" w:type="dxa"/>
              <w:left w:w="100" w:type="dxa"/>
              <w:bottom w:w="60" w:type="dxa"/>
              <w:right w:w="100" w:type="dxa"/>
            </w:tcMar>
            <w:vAlign w:val="center"/>
          </w:tcPr>
          <w:p w14:paraId="4768185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Mean arterial pressure</w:t>
            </w:r>
          </w:p>
        </w:tc>
        <w:tc>
          <w:tcPr>
            <w:tcW w:w="1700" w:type="dxa"/>
            <w:tcBorders>
              <w:top w:val="nil"/>
              <w:left w:val="nil"/>
              <w:bottom w:val="nil"/>
              <w:right w:val="nil"/>
            </w:tcBorders>
            <w:tcMar>
              <w:top w:w="60" w:type="dxa"/>
              <w:left w:w="100" w:type="dxa"/>
              <w:bottom w:w="60" w:type="dxa"/>
              <w:right w:w="100" w:type="dxa"/>
            </w:tcMar>
            <w:vAlign w:val="center"/>
          </w:tcPr>
          <w:p w14:paraId="229CAE3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3.5</w:t>
            </w:r>
          </w:p>
        </w:tc>
        <w:tc>
          <w:tcPr>
            <w:tcW w:w="2300" w:type="dxa"/>
            <w:tcBorders>
              <w:top w:val="nil"/>
              <w:left w:val="nil"/>
              <w:bottom w:val="nil"/>
              <w:right w:val="nil"/>
            </w:tcBorders>
            <w:tcMar>
              <w:top w:w="60" w:type="dxa"/>
              <w:left w:w="100" w:type="dxa"/>
              <w:bottom w:w="60" w:type="dxa"/>
              <w:right w:w="100" w:type="dxa"/>
            </w:tcMar>
            <w:vAlign w:val="center"/>
          </w:tcPr>
          <w:p w14:paraId="206F046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Median imputation</w:t>
            </w:r>
          </w:p>
        </w:tc>
        <w:tc>
          <w:tcPr>
            <w:tcW w:w="2060" w:type="dxa"/>
            <w:tcBorders>
              <w:top w:val="nil"/>
              <w:left w:val="nil"/>
              <w:bottom w:val="nil"/>
              <w:right w:val="nil"/>
            </w:tcBorders>
            <w:tcMar>
              <w:top w:w="60" w:type="dxa"/>
              <w:left w:w="100" w:type="dxa"/>
              <w:bottom w:w="60" w:type="dxa"/>
              <w:right w:w="100" w:type="dxa"/>
            </w:tcMar>
            <w:vAlign w:val="center"/>
          </w:tcPr>
          <w:p w14:paraId="23184AC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No</w:t>
            </w:r>
          </w:p>
        </w:tc>
      </w:tr>
      <w:tr w14:paraId="5AE98B56">
        <w:tc>
          <w:tcPr>
            <w:tcW w:w="3300" w:type="dxa"/>
            <w:tcBorders>
              <w:top w:val="nil"/>
              <w:left w:val="nil"/>
              <w:bottom w:val="nil"/>
              <w:right w:val="nil"/>
            </w:tcBorders>
            <w:tcMar>
              <w:top w:w="60" w:type="dxa"/>
              <w:left w:w="100" w:type="dxa"/>
              <w:bottom w:w="60" w:type="dxa"/>
              <w:right w:w="100" w:type="dxa"/>
            </w:tcMar>
            <w:vAlign w:val="center"/>
          </w:tcPr>
          <w:p w14:paraId="18179A7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Mean arterial pressure, 6 h mean</w:t>
            </w:r>
          </w:p>
        </w:tc>
        <w:tc>
          <w:tcPr>
            <w:tcW w:w="1700" w:type="dxa"/>
            <w:tcBorders>
              <w:top w:val="nil"/>
              <w:left w:val="nil"/>
              <w:bottom w:val="nil"/>
              <w:right w:val="nil"/>
            </w:tcBorders>
            <w:tcMar>
              <w:top w:w="60" w:type="dxa"/>
              <w:left w:w="100" w:type="dxa"/>
              <w:bottom w:w="60" w:type="dxa"/>
              <w:right w:w="100" w:type="dxa"/>
            </w:tcMar>
            <w:vAlign w:val="center"/>
          </w:tcPr>
          <w:p w14:paraId="04F7DED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3.5</w:t>
            </w:r>
          </w:p>
        </w:tc>
        <w:tc>
          <w:tcPr>
            <w:tcW w:w="2300" w:type="dxa"/>
            <w:tcBorders>
              <w:top w:val="nil"/>
              <w:left w:val="nil"/>
              <w:bottom w:val="nil"/>
              <w:right w:val="nil"/>
            </w:tcBorders>
            <w:tcMar>
              <w:top w:w="60" w:type="dxa"/>
              <w:left w:w="100" w:type="dxa"/>
              <w:bottom w:w="60" w:type="dxa"/>
              <w:right w:w="100" w:type="dxa"/>
            </w:tcMar>
            <w:vAlign w:val="center"/>
          </w:tcPr>
          <w:p w14:paraId="7325E25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Median imputation</w:t>
            </w:r>
          </w:p>
        </w:tc>
        <w:tc>
          <w:tcPr>
            <w:tcW w:w="2060" w:type="dxa"/>
            <w:tcBorders>
              <w:top w:val="nil"/>
              <w:left w:val="nil"/>
              <w:bottom w:val="nil"/>
              <w:right w:val="nil"/>
            </w:tcBorders>
            <w:tcMar>
              <w:top w:w="60" w:type="dxa"/>
              <w:left w:w="100" w:type="dxa"/>
              <w:bottom w:w="60" w:type="dxa"/>
              <w:right w:w="100" w:type="dxa"/>
            </w:tcMar>
            <w:vAlign w:val="center"/>
          </w:tcPr>
          <w:p w14:paraId="4A1E8A0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No</w:t>
            </w:r>
          </w:p>
        </w:tc>
      </w:tr>
      <w:tr w14:paraId="7C596FB7">
        <w:tc>
          <w:tcPr>
            <w:tcW w:w="3300" w:type="dxa"/>
            <w:tcBorders>
              <w:top w:val="nil"/>
              <w:left w:val="nil"/>
              <w:bottom w:val="nil"/>
              <w:right w:val="nil"/>
            </w:tcBorders>
            <w:tcMar>
              <w:top w:w="60" w:type="dxa"/>
              <w:left w:w="100" w:type="dxa"/>
              <w:bottom w:w="60" w:type="dxa"/>
              <w:right w:w="100" w:type="dxa"/>
            </w:tcMar>
            <w:vAlign w:val="center"/>
          </w:tcPr>
          <w:p w14:paraId="5BC5DA7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SOFA score</w:t>
            </w:r>
          </w:p>
        </w:tc>
        <w:tc>
          <w:tcPr>
            <w:tcW w:w="1700" w:type="dxa"/>
            <w:tcBorders>
              <w:top w:val="nil"/>
              <w:left w:val="nil"/>
              <w:bottom w:val="nil"/>
              <w:right w:val="nil"/>
            </w:tcBorders>
            <w:tcMar>
              <w:top w:w="60" w:type="dxa"/>
              <w:left w:w="100" w:type="dxa"/>
              <w:bottom w:w="60" w:type="dxa"/>
              <w:right w:w="100" w:type="dxa"/>
            </w:tcMar>
            <w:vAlign w:val="center"/>
          </w:tcPr>
          <w:p w14:paraId="05046D3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1.4</w:t>
            </w:r>
          </w:p>
        </w:tc>
        <w:tc>
          <w:tcPr>
            <w:tcW w:w="2300" w:type="dxa"/>
            <w:tcBorders>
              <w:top w:val="nil"/>
              <w:left w:val="nil"/>
              <w:bottom w:val="nil"/>
              <w:right w:val="nil"/>
            </w:tcBorders>
            <w:tcMar>
              <w:top w:w="60" w:type="dxa"/>
              <w:left w:w="100" w:type="dxa"/>
              <w:bottom w:w="60" w:type="dxa"/>
              <w:right w:w="100" w:type="dxa"/>
            </w:tcMar>
            <w:vAlign w:val="center"/>
          </w:tcPr>
          <w:p w14:paraId="0B2BDC1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Median imputation</w:t>
            </w:r>
          </w:p>
        </w:tc>
        <w:tc>
          <w:tcPr>
            <w:tcW w:w="2060" w:type="dxa"/>
            <w:tcBorders>
              <w:top w:val="nil"/>
              <w:left w:val="nil"/>
              <w:bottom w:val="nil"/>
              <w:right w:val="nil"/>
            </w:tcBorders>
            <w:tcMar>
              <w:top w:w="60" w:type="dxa"/>
              <w:left w:w="100" w:type="dxa"/>
              <w:bottom w:w="60" w:type="dxa"/>
              <w:right w:w="100" w:type="dxa"/>
            </w:tcMar>
            <w:vAlign w:val="center"/>
          </w:tcPr>
          <w:p w14:paraId="7E5C19A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No</w:t>
            </w:r>
          </w:p>
        </w:tc>
      </w:tr>
      <w:tr w14:paraId="4007F486">
        <w:tc>
          <w:tcPr>
            <w:tcW w:w="3300" w:type="dxa"/>
            <w:tcBorders>
              <w:top w:val="nil"/>
              <w:left w:val="nil"/>
              <w:bottom w:val="nil"/>
              <w:right w:val="nil"/>
            </w:tcBorders>
            <w:tcMar>
              <w:top w:w="60" w:type="dxa"/>
              <w:left w:w="100" w:type="dxa"/>
              <w:bottom w:w="60" w:type="dxa"/>
              <w:right w:w="100" w:type="dxa"/>
            </w:tcMar>
            <w:vAlign w:val="center"/>
          </w:tcPr>
          <w:p w14:paraId="3A4D19D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Peripheral oxygen saturation</w:t>
            </w:r>
          </w:p>
        </w:tc>
        <w:tc>
          <w:tcPr>
            <w:tcW w:w="1700" w:type="dxa"/>
            <w:tcBorders>
              <w:top w:val="nil"/>
              <w:left w:val="nil"/>
              <w:bottom w:val="nil"/>
              <w:right w:val="nil"/>
            </w:tcBorders>
            <w:tcMar>
              <w:top w:w="60" w:type="dxa"/>
              <w:left w:w="100" w:type="dxa"/>
              <w:bottom w:w="60" w:type="dxa"/>
              <w:right w:w="100" w:type="dxa"/>
            </w:tcMar>
            <w:vAlign w:val="center"/>
          </w:tcPr>
          <w:p w14:paraId="7996D52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1.0</w:t>
            </w:r>
          </w:p>
        </w:tc>
        <w:tc>
          <w:tcPr>
            <w:tcW w:w="2300" w:type="dxa"/>
            <w:tcBorders>
              <w:top w:val="nil"/>
              <w:left w:val="nil"/>
              <w:bottom w:val="nil"/>
              <w:right w:val="nil"/>
            </w:tcBorders>
            <w:tcMar>
              <w:top w:w="60" w:type="dxa"/>
              <w:left w:w="100" w:type="dxa"/>
              <w:bottom w:w="60" w:type="dxa"/>
              <w:right w:w="100" w:type="dxa"/>
            </w:tcMar>
            <w:vAlign w:val="center"/>
          </w:tcPr>
          <w:p w14:paraId="0B98084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Median imputation</w:t>
            </w:r>
          </w:p>
        </w:tc>
        <w:tc>
          <w:tcPr>
            <w:tcW w:w="2060" w:type="dxa"/>
            <w:tcBorders>
              <w:top w:val="nil"/>
              <w:left w:val="nil"/>
              <w:bottom w:val="nil"/>
              <w:right w:val="nil"/>
            </w:tcBorders>
            <w:tcMar>
              <w:top w:w="60" w:type="dxa"/>
              <w:left w:w="100" w:type="dxa"/>
              <w:bottom w:w="60" w:type="dxa"/>
              <w:right w:w="100" w:type="dxa"/>
            </w:tcMar>
            <w:vAlign w:val="center"/>
          </w:tcPr>
          <w:p w14:paraId="0251D65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No</w:t>
            </w:r>
          </w:p>
        </w:tc>
      </w:tr>
      <w:tr w14:paraId="5BA9F3BD">
        <w:tc>
          <w:tcPr>
            <w:tcW w:w="3300" w:type="dxa"/>
            <w:tcBorders>
              <w:top w:val="nil"/>
              <w:left w:val="nil"/>
              <w:bottom w:val="nil"/>
              <w:right w:val="nil"/>
            </w:tcBorders>
            <w:tcMar>
              <w:top w:w="60" w:type="dxa"/>
              <w:left w:w="100" w:type="dxa"/>
              <w:bottom w:w="60" w:type="dxa"/>
              <w:right w:w="100" w:type="dxa"/>
            </w:tcMar>
            <w:vAlign w:val="center"/>
          </w:tcPr>
          <w:p w14:paraId="1D9778A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Heart rate</w:t>
            </w:r>
          </w:p>
        </w:tc>
        <w:tc>
          <w:tcPr>
            <w:tcW w:w="1700" w:type="dxa"/>
            <w:tcBorders>
              <w:top w:val="nil"/>
              <w:left w:val="nil"/>
              <w:bottom w:val="nil"/>
              <w:right w:val="nil"/>
            </w:tcBorders>
            <w:tcMar>
              <w:top w:w="60" w:type="dxa"/>
              <w:left w:w="100" w:type="dxa"/>
              <w:bottom w:w="60" w:type="dxa"/>
              <w:right w:w="100" w:type="dxa"/>
            </w:tcMar>
            <w:vAlign w:val="center"/>
          </w:tcPr>
          <w:p w14:paraId="73FEA3D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0.4</w:t>
            </w:r>
          </w:p>
        </w:tc>
        <w:tc>
          <w:tcPr>
            <w:tcW w:w="2300" w:type="dxa"/>
            <w:tcBorders>
              <w:top w:val="nil"/>
              <w:left w:val="nil"/>
              <w:bottom w:val="nil"/>
              <w:right w:val="nil"/>
            </w:tcBorders>
            <w:tcMar>
              <w:top w:w="60" w:type="dxa"/>
              <w:left w:w="100" w:type="dxa"/>
              <w:bottom w:w="60" w:type="dxa"/>
              <w:right w:w="100" w:type="dxa"/>
            </w:tcMar>
            <w:vAlign w:val="center"/>
          </w:tcPr>
          <w:p w14:paraId="6462E56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Median imputation</w:t>
            </w:r>
          </w:p>
        </w:tc>
        <w:tc>
          <w:tcPr>
            <w:tcW w:w="2060" w:type="dxa"/>
            <w:tcBorders>
              <w:top w:val="nil"/>
              <w:left w:val="nil"/>
              <w:bottom w:val="nil"/>
              <w:right w:val="nil"/>
            </w:tcBorders>
            <w:tcMar>
              <w:top w:w="60" w:type="dxa"/>
              <w:left w:w="100" w:type="dxa"/>
              <w:bottom w:w="60" w:type="dxa"/>
              <w:right w:w="100" w:type="dxa"/>
            </w:tcMar>
            <w:vAlign w:val="center"/>
          </w:tcPr>
          <w:p w14:paraId="32C8848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No</w:t>
            </w:r>
          </w:p>
        </w:tc>
      </w:tr>
      <w:tr w14:paraId="5F558A22">
        <w:tc>
          <w:tcPr>
            <w:tcW w:w="3300" w:type="dxa"/>
            <w:tcBorders>
              <w:top w:val="nil"/>
              <w:left w:val="nil"/>
              <w:bottom w:val="nil"/>
              <w:right w:val="nil"/>
            </w:tcBorders>
            <w:tcMar>
              <w:top w:w="60" w:type="dxa"/>
              <w:left w:w="100" w:type="dxa"/>
              <w:bottom w:w="60" w:type="dxa"/>
              <w:right w:w="100" w:type="dxa"/>
            </w:tcMar>
            <w:vAlign w:val="center"/>
          </w:tcPr>
          <w:p w14:paraId="21356CA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Weight</w:t>
            </w:r>
          </w:p>
        </w:tc>
        <w:tc>
          <w:tcPr>
            <w:tcW w:w="1700" w:type="dxa"/>
            <w:tcBorders>
              <w:top w:val="nil"/>
              <w:left w:val="nil"/>
              <w:bottom w:val="nil"/>
              <w:right w:val="nil"/>
            </w:tcBorders>
            <w:tcMar>
              <w:top w:w="60" w:type="dxa"/>
              <w:left w:w="100" w:type="dxa"/>
              <w:bottom w:w="60" w:type="dxa"/>
              <w:right w:w="100" w:type="dxa"/>
            </w:tcMar>
            <w:vAlign w:val="center"/>
          </w:tcPr>
          <w:p w14:paraId="4471DC3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0.4</w:t>
            </w:r>
          </w:p>
        </w:tc>
        <w:tc>
          <w:tcPr>
            <w:tcW w:w="2300" w:type="dxa"/>
            <w:tcBorders>
              <w:top w:val="nil"/>
              <w:left w:val="nil"/>
              <w:bottom w:val="nil"/>
              <w:right w:val="nil"/>
            </w:tcBorders>
            <w:tcMar>
              <w:top w:w="60" w:type="dxa"/>
              <w:left w:w="100" w:type="dxa"/>
              <w:bottom w:w="60" w:type="dxa"/>
              <w:right w:w="100" w:type="dxa"/>
            </w:tcMar>
            <w:vAlign w:val="center"/>
          </w:tcPr>
          <w:p w14:paraId="3A3A289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Median imputation</w:t>
            </w:r>
          </w:p>
        </w:tc>
        <w:tc>
          <w:tcPr>
            <w:tcW w:w="2060" w:type="dxa"/>
            <w:tcBorders>
              <w:top w:val="nil"/>
              <w:left w:val="nil"/>
              <w:bottom w:val="nil"/>
              <w:right w:val="nil"/>
            </w:tcBorders>
            <w:tcMar>
              <w:top w:w="60" w:type="dxa"/>
              <w:left w:w="100" w:type="dxa"/>
              <w:bottom w:w="60" w:type="dxa"/>
              <w:right w:w="100" w:type="dxa"/>
            </w:tcMar>
            <w:vAlign w:val="center"/>
          </w:tcPr>
          <w:p w14:paraId="34C8CA0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No</w:t>
            </w:r>
          </w:p>
        </w:tc>
      </w:tr>
      <w:tr w14:paraId="6011F397">
        <w:tc>
          <w:tcPr>
            <w:tcW w:w="3300" w:type="dxa"/>
            <w:tcBorders>
              <w:top w:val="nil"/>
              <w:left w:val="nil"/>
              <w:bottom w:val="single" w:color="000000" w:sz="12" w:space="0"/>
              <w:right w:val="nil"/>
            </w:tcBorders>
            <w:tcMar>
              <w:top w:w="60" w:type="dxa"/>
              <w:left w:w="100" w:type="dxa"/>
              <w:bottom w:w="60" w:type="dxa"/>
              <w:right w:w="100" w:type="dxa"/>
            </w:tcMar>
            <w:vAlign w:val="center"/>
          </w:tcPr>
          <w:p w14:paraId="400B22D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Norepinephrine peak (prior 6 h)</w:t>
            </w:r>
          </w:p>
        </w:tc>
        <w:tc>
          <w:tcPr>
            <w:tcW w:w="1700" w:type="dxa"/>
            <w:tcBorders>
              <w:top w:val="nil"/>
              <w:left w:val="nil"/>
              <w:bottom w:val="single" w:color="000000" w:sz="12" w:space="0"/>
              <w:right w:val="nil"/>
            </w:tcBorders>
            <w:tcMar>
              <w:top w:w="60" w:type="dxa"/>
              <w:left w:w="100" w:type="dxa"/>
              <w:bottom w:w="60" w:type="dxa"/>
              <w:right w:w="100" w:type="dxa"/>
            </w:tcMar>
            <w:vAlign w:val="center"/>
          </w:tcPr>
          <w:p w14:paraId="5D13A0C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0.0</w:t>
            </w:r>
          </w:p>
        </w:tc>
        <w:tc>
          <w:tcPr>
            <w:tcW w:w="2300" w:type="dxa"/>
            <w:tcBorders>
              <w:top w:val="nil"/>
              <w:left w:val="nil"/>
              <w:bottom w:val="single" w:color="000000" w:sz="12" w:space="0"/>
              <w:right w:val="nil"/>
            </w:tcBorders>
            <w:tcMar>
              <w:top w:w="60" w:type="dxa"/>
              <w:left w:w="100" w:type="dxa"/>
              <w:bottom w:w="60" w:type="dxa"/>
              <w:right w:w="100" w:type="dxa"/>
            </w:tcMar>
            <w:vAlign w:val="center"/>
          </w:tcPr>
          <w:p w14:paraId="6B254D1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w:t>
            </w:r>
          </w:p>
        </w:tc>
        <w:tc>
          <w:tcPr>
            <w:tcW w:w="2060" w:type="dxa"/>
            <w:tcBorders>
              <w:top w:val="nil"/>
              <w:left w:val="nil"/>
              <w:bottom w:val="single" w:color="000000" w:sz="12" w:space="0"/>
              <w:right w:val="nil"/>
            </w:tcBorders>
            <w:tcMar>
              <w:top w:w="60" w:type="dxa"/>
              <w:left w:w="100" w:type="dxa"/>
              <w:bottom w:w="60" w:type="dxa"/>
              <w:right w:w="100" w:type="dxa"/>
            </w:tcMar>
            <w:vAlign w:val="center"/>
          </w:tcPr>
          <w:p w14:paraId="32AA79D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No</w:t>
            </w:r>
          </w:p>
        </w:tc>
      </w:tr>
    </w:tbl>
    <w:p w14:paraId="2DC59A5B">
      <w:pPr>
        <w:keepNext w:val="0"/>
        <w:keepLines w:val="0"/>
        <w:widowControl w:val="0"/>
        <w:kinsoku/>
        <w:wordWrap/>
        <w:overflowPunct/>
        <w:topLinePunct w:val="0"/>
        <w:autoSpaceDE/>
        <w:autoSpaceDN/>
        <w:bidi w:val="0"/>
        <w:adjustRightInd/>
        <w:snapToGrid/>
        <w:spacing w:before="120" w:after="80" w:line="480" w:lineRule="auto"/>
        <w:jc w:val="left"/>
        <w:textAlignment w:val="auto"/>
      </w:pPr>
      <w:r>
        <w:rPr>
          <w:rFonts w:ascii="Times New Roman" w:hAnsi="Times New Roman" w:eastAsia="Times New Roman" w:cs="Times New Roman"/>
          <w:i/>
          <w:iCs/>
          <w:sz w:val="20"/>
          <w:szCs w:val="20"/>
        </w:rPr>
        <w:t>Variables with structurally complete data (demographics, ICU timing, norepinephrine trajectory categorical class, current dose at index, binary comorbidity indicators after 0-coding) are not listed.Missingness percentages are computed on the unmatched analytic cohort before imputation. Missing-indicator coding was applied for all variables in the substantial-missingness tier (≥ 10 percent), allowing both the imputed continuous value and the missingness pattern to enter the regression and causal forest models. Variables with low missingness (&lt; 10 percent) were imputed silently with the cohort median without an accompanying indicator. Norepinephrine peak in the preceding 6 hours was complete by construction (defined as the maximum of the available dose records, with no peak yielding a value of zero for patients newly starting norepinephrine at the index time).</w:t>
      </w:r>
    </w:p>
    <w:p w14:paraId="27C5AA30">
      <w:pPr>
        <w:keepNext w:val="0"/>
        <w:keepLines w:val="0"/>
        <w:widowControl w:val="0"/>
        <w:kinsoku/>
        <w:wordWrap/>
        <w:overflowPunct/>
        <w:topLinePunct w:val="0"/>
        <w:autoSpaceDE/>
        <w:autoSpaceDN/>
        <w:bidi w:val="0"/>
        <w:adjustRightInd/>
        <w:snapToGrid/>
        <w:spacing w:line="480" w:lineRule="auto"/>
        <w:textAlignment w:val="auto"/>
      </w:pPr>
    </w:p>
    <w:p w14:paraId="45B671C0">
      <w:pPr>
        <w:keepNext w:val="0"/>
        <w:keepLines w:val="0"/>
        <w:widowControl w:val="0"/>
        <w:kinsoku/>
        <w:wordWrap/>
        <w:overflowPunct/>
        <w:topLinePunct w:val="0"/>
        <w:autoSpaceDE/>
        <w:autoSpaceDN/>
        <w:bidi w:val="0"/>
        <w:adjustRightInd/>
        <w:snapToGrid/>
        <w:spacing w:line="480" w:lineRule="auto"/>
        <w:textAlignment w:val="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Supplementary Table S5. Treatment effects and conditional average treatment effects (CATEs) by biological phenotype stratum, with a separate analogous analysis by congestive heart failure status.</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800"/>
        <w:gridCol w:w="1100"/>
        <w:gridCol w:w="1800"/>
        <w:gridCol w:w="1800"/>
        <w:gridCol w:w="1860"/>
      </w:tblGrid>
      <w:tr w14:paraId="4432B4D3">
        <w:tc>
          <w:tcPr>
            <w:tcW w:w="2800" w:type="dxa"/>
            <w:tcBorders>
              <w:top w:val="single" w:color="000000" w:sz="12" w:space="0"/>
              <w:left w:val="nil"/>
              <w:bottom w:val="single" w:color="000000" w:sz="6" w:space="0"/>
              <w:right w:val="nil"/>
            </w:tcBorders>
            <w:tcMar>
              <w:top w:w="60" w:type="dxa"/>
              <w:left w:w="100" w:type="dxa"/>
              <w:bottom w:w="60" w:type="dxa"/>
              <w:right w:w="100" w:type="dxa"/>
            </w:tcMar>
            <w:vAlign w:val="center"/>
          </w:tcPr>
          <w:p w14:paraId="5988859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Stratum</w:t>
            </w:r>
          </w:p>
        </w:tc>
        <w:tc>
          <w:tcPr>
            <w:tcW w:w="1100" w:type="dxa"/>
            <w:tcBorders>
              <w:top w:val="single" w:color="000000" w:sz="12" w:space="0"/>
              <w:left w:val="nil"/>
              <w:bottom w:val="single" w:color="000000" w:sz="6" w:space="0"/>
              <w:right w:val="nil"/>
            </w:tcBorders>
            <w:tcMar>
              <w:top w:w="60" w:type="dxa"/>
              <w:left w:w="100" w:type="dxa"/>
              <w:bottom w:w="60" w:type="dxa"/>
              <w:right w:w="100" w:type="dxa"/>
            </w:tcMar>
            <w:vAlign w:val="center"/>
          </w:tcPr>
          <w:p w14:paraId="5535F5E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n</w:t>
            </w:r>
          </w:p>
        </w:tc>
        <w:tc>
          <w:tcPr>
            <w:tcW w:w="1800" w:type="dxa"/>
            <w:tcBorders>
              <w:top w:val="single" w:color="000000" w:sz="12" w:space="0"/>
              <w:left w:val="nil"/>
              <w:bottom w:val="single" w:color="000000" w:sz="6" w:space="0"/>
              <w:right w:val="nil"/>
            </w:tcBorders>
            <w:tcMar>
              <w:top w:w="60" w:type="dxa"/>
              <w:left w:w="100" w:type="dxa"/>
              <w:bottom w:w="60" w:type="dxa"/>
              <w:right w:w="100" w:type="dxa"/>
            </w:tcMar>
            <w:vAlign w:val="center"/>
          </w:tcPr>
          <w:p w14:paraId="60BF3F3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Diuretic event rate</w:t>
            </w:r>
          </w:p>
        </w:tc>
        <w:tc>
          <w:tcPr>
            <w:tcW w:w="1800" w:type="dxa"/>
            <w:tcBorders>
              <w:top w:val="single" w:color="000000" w:sz="12" w:space="0"/>
              <w:left w:val="nil"/>
              <w:bottom w:val="single" w:color="000000" w:sz="6" w:space="0"/>
              <w:right w:val="nil"/>
            </w:tcBorders>
            <w:tcMar>
              <w:top w:w="60" w:type="dxa"/>
              <w:left w:w="100" w:type="dxa"/>
              <w:bottom w:w="60" w:type="dxa"/>
              <w:right w:w="100" w:type="dxa"/>
            </w:tcMar>
            <w:vAlign w:val="center"/>
          </w:tcPr>
          <w:p w14:paraId="22284F3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Control event rate</w:t>
            </w:r>
          </w:p>
        </w:tc>
        <w:tc>
          <w:tcPr>
            <w:tcW w:w="1860" w:type="dxa"/>
            <w:tcBorders>
              <w:top w:val="single" w:color="000000" w:sz="12" w:space="0"/>
              <w:left w:val="nil"/>
              <w:bottom w:val="single" w:color="000000" w:sz="6" w:space="0"/>
              <w:right w:val="nil"/>
            </w:tcBorders>
            <w:tcMar>
              <w:top w:w="60" w:type="dxa"/>
              <w:left w:w="100" w:type="dxa"/>
              <w:bottom w:w="60" w:type="dxa"/>
              <w:right w:w="100" w:type="dxa"/>
            </w:tcMar>
            <w:vAlign w:val="center"/>
          </w:tcPr>
          <w:p w14:paraId="66C74AA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val="0"/>
                <w:iCs w:val="0"/>
                <w:sz w:val="20"/>
                <w:szCs w:val="20"/>
              </w:rPr>
              <w:t>Mean CATE</w:t>
            </w:r>
          </w:p>
        </w:tc>
      </w:tr>
      <w:tr w14:paraId="614162B5">
        <w:tc>
          <w:tcPr>
            <w:tcW w:w="2800" w:type="dxa"/>
            <w:tcBorders>
              <w:top w:val="nil"/>
              <w:left w:val="nil"/>
              <w:bottom w:val="nil"/>
              <w:right w:val="nil"/>
            </w:tcBorders>
            <w:tcMar>
              <w:top w:w="60" w:type="dxa"/>
              <w:left w:w="100" w:type="dxa"/>
              <w:bottom w:w="60" w:type="dxa"/>
              <w:right w:w="100" w:type="dxa"/>
            </w:tcMar>
            <w:vAlign w:val="center"/>
          </w:tcPr>
          <w:p w14:paraId="5EA33C9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iCs/>
                <w:sz w:val="20"/>
                <w:szCs w:val="20"/>
              </w:rPr>
              <w:t>Blood urea nitrogen (mg/dL), by quartile</w:t>
            </w:r>
          </w:p>
        </w:tc>
        <w:tc>
          <w:tcPr>
            <w:tcW w:w="1100" w:type="dxa"/>
            <w:tcBorders>
              <w:top w:val="nil"/>
              <w:left w:val="nil"/>
              <w:bottom w:val="nil"/>
              <w:right w:val="nil"/>
            </w:tcBorders>
            <w:tcMar>
              <w:top w:w="60" w:type="dxa"/>
              <w:left w:w="100" w:type="dxa"/>
              <w:bottom w:w="60" w:type="dxa"/>
              <w:right w:w="100" w:type="dxa"/>
            </w:tcMar>
            <w:vAlign w:val="center"/>
          </w:tcPr>
          <w:p w14:paraId="2ACD35AA">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00" w:type="dxa"/>
            <w:tcBorders>
              <w:top w:val="nil"/>
              <w:left w:val="nil"/>
              <w:bottom w:val="nil"/>
              <w:right w:val="nil"/>
            </w:tcBorders>
            <w:tcMar>
              <w:top w:w="60" w:type="dxa"/>
              <w:left w:w="100" w:type="dxa"/>
              <w:bottom w:w="60" w:type="dxa"/>
              <w:right w:w="100" w:type="dxa"/>
            </w:tcMar>
            <w:vAlign w:val="center"/>
          </w:tcPr>
          <w:p w14:paraId="2EADA3E4">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00" w:type="dxa"/>
            <w:tcBorders>
              <w:top w:val="nil"/>
              <w:left w:val="nil"/>
              <w:bottom w:val="nil"/>
              <w:right w:val="nil"/>
            </w:tcBorders>
            <w:tcMar>
              <w:top w:w="60" w:type="dxa"/>
              <w:left w:w="100" w:type="dxa"/>
              <w:bottom w:w="60" w:type="dxa"/>
              <w:right w:w="100" w:type="dxa"/>
            </w:tcMar>
            <w:vAlign w:val="center"/>
          </w:tcPr>
          <w:p w14:paraId="2E5EDA16">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60" w:type="dxa"/>
            <w:tcBorders>
              <w:top w:val="nil"/>
              <w:left w:val="nil"/>
              <w:bottom w:val="nil"/>
              <w:right w:val="nil"/>
            </w:tcBorders>
            <w:tcMar>
              <w:top w:w="60" w:type="dxa"/>
              <w:left w:w="100" w:type="dxa"/>
              <w:bottom w:w="60" w:type="dxa"/>
              <w:right w:w="100" w:type="dxa"/>
            </w:tcMar>
            <w:vAlign w:val="center"/>
          </w:tcPr>
          <w:p w14:paraId="2A3E379F">
            <w:pPr>
              <w:keepNext w:val="0"/>
              <w:keepLines w:val="0"/>
              <w:widowControl w:val="0"/>
              <w:kinsoku/>
              <w:wordWrap/>
              <w:overflowPunct/>
              <w:topLinePunct w:val="0"/>
              <w:autoSpaceDE/>
              <w:autoSpaceDN/>
              <w:bidi w:val="0"/>
              <w:adjustRightInd/>
              <w:snapToGrid/>
              <w:spacing w:line="480" w:lineRule="auto"/>
              <w:jc w:val="center"/>
              <w:textAlignment w:val="auto"/>
            </w:pPr>
          </w:p>
        </w:tc>
      </w:tr>
      <w:tr w14:paraId="472CBD72">
        <w:tc>
          <w:tcPr>
            <w:tcW w:w="2800" w:type="dxa"/>
            <w:tcBorders>
              <w:top w:val="nil"/>
              <w:left w:val="nil"/>
              <w:bottom w:val="nil"/>
              <w:right w:val="nil"/>
            </w:tcBorders>
            <w:tcMar>
              <w:top w:w="60" w:type="dxa"/>
              <w:left w:w="100" w:type="dxa"/>
              <w:bottom w:w="60" w:type="dxa"/>
              <w:right w:w="100" w:type="dxa"/>
            </w:tcMar>
            <w:vAlign w:val="center"/>
          </w:tcPr>
          <w:p w14:paraId="0460E31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Q1 (lowest, median 11.6)</w:t>
            </w:r>
          </w:p>
        </w:tc>
        <w:tc>
          <w:tcPr>
            <w:tcW w:w="1100" w:type="dxa"/>
            <w:tcBorders>
              <w:top w:val="nil"/>
              <w:left w:val="nil"/>
              <w:bottom w:val="nil"/>
              <w:right w:val="nil"/>
            </w:tcBorders>
            <w:tcMar>
              <w:top w:w="60" w:type="dxa"/>
              <w:left w:w="100" w:type="dxa"/>
              <w:bottom w:w="60" w:type="dxa"/>
              <w:right w:w="100" w:type="dxa"/>
            </w:tcMar>
            <w:vAlign w:val="center"/>
          </w:tcPr>
          <w:p w14:paraId="55158E0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1,911</w:t>
            </w:r>
          </w:p>
        </w:tc>
        <w:tc>
          <w:tcPr>
            <w:tcW w:w="1800" w:type="dxa"/>
            <w:tcBorders>
              <w:top w:val="nil"/>
              <w:left w:val="nil"/>
              <w:bottom w:val="nil"/>
              <w:right w:val="nil"/>
            </w:tcBorders>
            <w:tcMar>
              <w:top w:w="60" w:type="dxa"/>
              <w:left w:w="100" w:type="dxa"/>
              <w:bottom w:w="60" w:type="dxa"/>
              <w:right w:w="100" w:type="dxa"/>
            </w:tcMar>
            <w:vAlign w:val="center"/>
          </w:tcPr>
          <w:p w14:paraId="586B2C6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0.322</w:t>
            </w:r>
          </w:p>
        </w:tc>
        <w:tc>
          <w:tcPr>
            <w:tcW w:w="1800" w:type="dxa"/>
            <w:tcBorders>
              <w:top w:val="nil"/>
              <w:left w:val="nil"/>
              <w:bottom w:val="nil"/>
              <w:right w:val="nil"/>
            </w:tcBorders>
            <w:tcMar>
              <w:top w:w="60" w:type="dxa"/>
              <w:left w:w="100" w:type="dxa"/>
              <w:bottom w:w="60" w:type="dxa"/>
              <w:right w:w="100" w:type="dxa"/>
            </w:tcMar>
            <w:vAlign w:val="center"/>
          </w:tcPr>
          <w:p w14:paraId="72F3B12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0.214</w:t>
            </w:r>
          </w:p>
        </w:tc>
        <w:tc>
          <w:tcPr>
            <w:tcW w:w="1860" w:type="dxa"/>
            <w:tcBorders>
              <w:top w:val="nil"/>
              <w:left w:val="nil"/>
              <w:bottom w:val="nil"/>
              <w:right w:val="nil"/>
            </w:tcBorders>
            <w:tcMar>
              <w:top w:w="60" w:type="dxa"/>
              <w:left w:w="100" w:type="dxa"/>
              <w:bottom w:w="60" w:type="dxa"/>
              <w:right w:w="100" w:type="dxa"/>
            </w:tcMar>
            <w:vAlign w:val="center"/>
          </w:tcPr>
          <w:p w14:paraId="60FD111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0.145</w:t>
            </w:r>
          </w:p>
        </w:tc>
      </w:tr>
      <w:tr w14:paraId="64AB48C6">
        <w:tc>
          <w:tcPr>
            <w:tcW w:w="2800" w:type="dxa"/>
            <w:tcBorders>
              <w:top w:val="nil"/>
              <w:left w:val="nil"/>
              <w:bottom w:val="nil"/>
              <w:right w:val="nil"/>
            </w:tcBorders>
            <w:tcMar>
              <w:top w:w="60" w:type="dxa"/>
              <w:left w:w="100" w:type="dxa"/>
              <w:bottom w:w="60" w:type="dxa"/>
              <w:right w:w="100" w:type="dxa"/>
            </w:tcMar>
            <w:vAlign w:val="center"/>
          </w:tcPr>
          <w:p w14:paraId="1F6904F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Q2 (median 20.7)</w:t>
            </w:r>
          </w:p>
        </w:tc>
        <w:tc>
          <w:tcPr>
            <w:tcW w:w="1100" w:type="dxa"/>
            <w:tcBorders>
              <w:top w:val="nil"/>
              <w:left w:val="nil"/>
              <w:bottom w:val="nil"/>
              <w:right w:val="nil"/>
            </w:tcBorders>
            <w:tcMar>
              <w:top w:w="60" w:type="dxa"/>
              <w:left w:w="100" w:type="dxa"/>
              <w:bottom w:w="60" w:type="dxa"/>
              <w:right w:w="100" w:type="dxa"/>
            </w:tcMar>
            <w:vAlign w:val="center"/>
          </w:tcPr>
          <w:p w14:paraId="6B08187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1,760</w:t>
            </w:r>
          </w:p>
        </w:tc>
        <w:tc>
          <w:tcPr>
            <w:tcW w:w="1800" w:type="dxa"/>
            <w:tcBorders>
              <w:top w:val="nil"/>
              <w:left w:val="nil"/>
              <w:bottom w:val="nil"/>
              <w:right w:val="nil"/>
            </w:tcBorders>
            <w:tcMar>
              <w:top w:w="60" w:type="dxa"/>
              <w:left w:w="100" w:type="dxa"/>
              <w:bottom w:w="60" w:type="dxa"/>
              <w:right w:w="100" w:type="dxa"/>
            </w:tcMar>
            <w:vAlign w:val="center"/>
          </w:tcPr>
          <w:p w14:paraId="6A7410A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0.364</w:t>
            </w:r>
          </w:p>
        </w:tc>
        <w:tc>
          <w:tcPr>
            <w:tcW w:w="1800" w:type="dxa"/>
            <w:tcBorders>
              <w:top w:val="nil"/>
              <w:left w:val="nil"/>
              <w:bottom w:val="nil"/>
              <w:right w:val="nil"/>
            </w:tcBorders>
            <w:tcMar>
              <w:top w:w="60" w:type="dxa"/>
              <w:left w:w="100" w:type="dxa"/>
              <w:bottom w:w="60" w:type="dxa"/>
              <w:right w:w="100" w:type="dxa"/>
            </w:tcMar>
            <w:vAlign w:val="center"/>
          </w:tcPr>
          <w:p w14:paraId="25C1919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0.223</w:t>
            </w:r>
          </w:p>
        </w:tc>
        <w:tc>
          <w:tcPr>
            <w:tcW w:w="1860" w:type="dxa"/>
            <w:tcBorders>
              <w:top w:val="nil"/>
              <w:left w:val="nil"/>
              <w:bottom w:val="nil"/>
              <w:right w:val="nil"/>
            </w:tcBorders>
            <w:tcMar>
              <w:top w:w="60" w:type="dxa"/>
              <w:left w:w="100" w:type="dxa"/>
              <w:bottom w:w="60" w:type="dxa"/>
              <w:right w:w="100" w:type="dxa"/>
            </w:tcMar>
            <w:vAlign w:val="center"/>
          </w:tcPr>
          <w:p w14:paraId="46C982E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0.159</w:t>
            </w:r>
          </w:p>
        </w:tc>
      </w:tr>
      <w:tr w14:paraId="55DEDE7A">
        <w:tc>
          <w:tcPr>
            <w:tcW w:w="2800" w:type="dxa"/>
            <w:tcBorders>
              <w:top w:val="nil"/>
              <w:left w:val="nil"/>
              <w:bottom w:val="nil"/>
              <w:right w:val="nil"/>
            </w:tcBorders>
            <w:tcMar>
              <w:top w:w="60" w:type="dxa"/>
              <w:left w:w="100" w:type="dxa"/>
              <w:bottom w:w="60" w:type="dxa"/>
              <w:right w:w="100" w:type="dxa"/>
            </w:tcMar>
            <w:vAlign w:val="center"/>
          </w:tcPr>
          <w:p w14:paraId="32D8CAA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Q3 (median 29.7)</w:t>
            </w:r>
          </w:p>
        </w:tc>
        <w:tc>
          <w:tcPr>
            <w:tcW w:w="1100" w:type="dxa"/>
            <w:tcBorders>
              <w:top w:val="nil"/>
              <w:left w:val="nil"/>
              <w:bottom w:val="nil"/>
              <w:right w:val="nil"/>
            </w:tcBorders>
            <w:tcMar>
              <w:top w:w="60" w:type="dxa"/>
              <w:left w:w="100" w:type="dxa"/>
              <w:bottom w:w="60" w:type="dxa"/>
              <w:right w:w="100" w:type="dxa"/>
            </w:tcMar>
            <w:vAlign w:val="center"/>
          </w:tcPr>
          <w:p w14:paraId="66302A3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1,457</w:t>
            </w:r>
          </w:p>
        </w:tc>
        <w:tc>
          <w:tcPr>
            <w:tcW w:w="1800" w:type="dxa"/>
            <w:tcBorders>
              <w:top w:val="nil"/>
              <w:left w:val="nil"/>
              <w:bottom w:val="nil"/>
              <w:right w:val="nil"/>
            </w:tcBorders>
            <w:tcMar>
              <w:top w:w="60" w:type="dxa"/>
              <w:left w:w="100" w:type="dxa"/>
              <w:bottom w:w="60" w:type="dxa"/>
              <w:right w:w="100" w:type="dxa"/>
            </w:tcMar>
            <w:vAlign w:val="center"/>
          </w:tcPr>
          <w:p w14:paraId="39750AD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0.435</w:t>
            </w:r>
          </w:p>
        </w:tc>
        <w:tc>
          <w:tcPr>
            <w:tcW w:w="1800" w:type="dxa"/>
            <w:tcBorders>
              <w:top w:val="nil"/>
              <w:left w:val="nil"/>
              <w:bottom w:val="nil"/>
              <w:right w:val="nil"/>
            </w:tcBorders>
            <w:tcMar>
              <w:top w:w="60" w:type="dxa"/>
              <w:left w:w="100" w:type="dxa"/>
              <w:bottom w:w="60" w:type="dxa"/>
              <w:right w:w="100" w:type="dxa"/>
            </w:tcMar>
            <w:vAlign w:val="center"/>
          </w:tcPr>
          <w:p w14:paraId="3B4BFB9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0.228</w:t>
            </w:r>
          </w:p>
        </w:tc>
        <w:tc>
          <w:tcPr>
            <w:tcW w:w="1860" w:type="dxa"/>
            <w:tcBorders>
              <w:top w:val="nil"/>
              <w:left w:val="nil"/>
              <w:bottom w:val="nil"/>
              <w:right w:val="nil"/>
            </w:tcBorders>
            <w:tcMar>
              <w:top w:w="60" w:type="dxa"/>
              <w:left w:w="100" w:type="dxa"/>
              <w:bottom w:w="60" w:type="dxa"/>
              <w:right w:w="100" w:type="dxa"/>
            </w:tcMar>
            <w:vAlign w:val="center"/>
          </w:tcPr>
          <w:p w14:paraId="0EE4B17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0.156</w:t>
            </w:r>
          </w:p>
        </w:tc>
      </w:tr>
      <w:tr w14:paraId="694A257D">
        <w:tc>
          <w:tcPr>
            <w:tcW w:w="2800" w:type="dxa"/>
            <w:tcBorders>
              <w:top w:val="nil"/>
              <w:left w:val="nil"/>
              <w:bottom w:val="nil"/>
              <w:right w:val="nil"/>
            </w:tcBorders>
            <w:tcMar>
              <w:top w:w="60" w:type="dxa"/>
              <w:left w:w="100" w:type="dxa"/>
              <w:bottom w:w="60" w:type="dxa"/>
              <w:right w:w="100" w:type="dxa"/>
            </w:tcMar>
            <w:vAlign w:val="center"/>
          </w:tcPr>
          <w:p w14:paraId="3F7A016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Q4 (highest, median 62.2)</w:t>
            </w:r>
          </w:p>
        </w:tc>
        <w:tc>
          <w:tcPr>
            <w:tcW w:w="1100" w:type="dxa"/>
            <w:tcBorders>
              <w:top w:val="nil"/>
              <w:left w:val="nil"/>
              <w:bottom w:val="nil"/>
              <w:right w:val="nil"/>
            </w:tcBorders>
            <w:tcMar>
              <w:top w:w="60" w:type="dxa"/>
              <w:left w:w="100" w:type="dxa"/>
              <w:bottom w:w="60" w:type="dxa"/>
              <w:right w:w="100" w:type="dxa"/>
            </w:tcMar>
            <w:vAlign w:val="center"/>
          </w:tcPr>
          <w:p w14:paraId="5DB718B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1,631</w:t>
            </w:r>
          </w:p>
        </w:tc>
        <w:tc>
          <w:tcPr>
            <w:tcW w:w="1800" w:type="dxa"/>
            <w:tcBorders>
              <w:top w:val="nil"/>
              <w:left w:val="nil"/>
              <w:bottom w:val="nil"/>
              <w:right w:val="nil"/>
            </w:tcBorders>
            <w:tcMar>
              <w:top w:w="60" w:type="dxa"/>
              <w:left w:w="100" w:type="dxa"/>
              <w:bottom w:w="60" w:type="dxa"/>
              <w:right w:w="100" w:type="dxa"/>
            </w:tcMar>
            <w:vAlign w:val="center"/>
          </w:tcPr>
          <w:p w14:paraId="1C16C4A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0.429</w:t>
            </w:r>
          </w:p>
        </w:tc>
        <w:tc>
          <w:tcPr>
            <w:tcW w:w="1800" w:type="dxa"/>
            <w:tcBorders>
              <w:top w:val="nil"/>
              <w:left w:val="nil"/>
              <w:bottom w:val="nil"/>
              <w:right w:val="nil"/>
            </w:tcBorders>
            <w:tcMar>
              <w:top w:w="60" w:type="dxa"/>
              <w:left w:w="100" w:type="dxa"/>
              <w:bottom w:w="60" w:type="dxa"/>
              <w:right w:w="100" w:type="dxa"/>
            </w:tcMar>
            <w:vAlign w:val="center"/>
          </w:tcPr>
          <w:p w14:paraId="3822B3A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0.259</w:t>
            </w:r>
          </w:p>
        </w:tc>
        <w:tc>
          <w:tcPr>
            <w:tcW w:w="1860" w:type="dxa"/>
            <w:tcBorders>
              <w:top w:val="nil"/>
              <w:left w:val="nil"/>
              <w:bottom w:val="nil"/>
              <w:right w:val="nil"/>
            </w:tcBorders>
            <w:tcMar>
              <w:top w:w="60" w:type="dxa"/>
              <w:left w:w="100" w:type="dxa"/>
              <w:bottom w:w="60" w:type="dxa"/>
              <w:right w:w="100" w:type="dxa"/>
            </w:tcMar>
            <w:vAlign w:val="center"/>
          </w:tcPr>
          <w:p w14:paraId="3792FF9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0.157</w:t>
            </w:r>
          </w:p>
        </w:tc>
      </w:tr>
      <w:tr w14:paraId="0861A20C">
        <w:tc>
          <w:tcPr>
            <w:tcW w:w="2800" w:type="dxa"/>
            <w:tcBorders>
              <w:top w:val="nil"/>
              <w:left w:val="nil"/>
              <w:bottom w:val="nil"/>
              <w:right w:val="nil"/>
            </w:tcBorders>
            <w:tcMar>
              <w:top w:w="60" w:type="dxa"/>
              <w:left w:w="100" w:type="dxa"/>
              <w:bottom w:w="60" w:type="dxa"/>
              <w:right w:w="100" w:type="dxa"/>
            </w:tcMar>
            <w:vAlign w:val="center"/>
          </w:tcPr>
          <w:p w14:paraId="58A97B0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iCs/>
                <w:sz w:val="20"/>
                <w:szCs w:val="20"/>
              </w:rPr>
              <w:t>Serum albumin (g/dL), by clinical cut points</w:t>
            </w:r>
          </w:p>
        </w:tc>
        <w:tc>
          <w:tcPr>
            <w:tcW w:w="1100" w:type="dxa"/>
            <w:tcBorders>
              <w:top w:val="nil"/>
              <w:left w:val="nil"/>
              <w:bottom w:val="nil"/>
              <w:right w:val="nil"/>
            </w:tcBorders>
            <w:tcMar>
              <w:top w:w="60" w:type="dxa"/>
              <w:left w:w="100" w:type="dxa"/>
              <w:bottom w:w="60" w:type="dxa"/>
              <w:right w:w="100" w:type="dxa"/>
            </w:tcMar>
            <w:vAlign w:val="center"/>
          </w:tcPr>
          <w:p w14:paraId="39E166F7">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00" w:type="dxa"/>
            <w:tcBorders>
              <w:top w:val="nil"/>
              <w:left w:val="nil"/>
              <w:bottom w:val="nil"/>
              <w:right w:val="nil"/>
            </w:tcBorders>
            <w:tcMar>
              <w:top w:w="60" w:type="dxa"/>
              <w:left w:w="100" w:type="dxa"/>
              <w:bottom w:w="60" w:type="dxa"/>
              <w:right w:w="100" w:type="dxa"/>
            </w:tcMar>
            <w:vAlign w:val="center"/>
          </w:tcPr>
          <w:p w14:paraId="6C0499A6">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00" w:type="dxa"/>
            <w:tcBorders>
              <w:top w:val="nil"/>
              <w:left w:val="nil"/>
              <w:bottom w:val="nil"/>
              <w:right w:val="nil"/>
            </w:tcBorders>
            <w:tcMar>
              <w:top w:w="60" w:type="dxa"/>
              <w:left w:w="100" w:type="dxa"/>
              <w:bottom w:w="60" w:type="dxa"/>
              <w:right w:w="100" w:type="dxa"/>
            </w:tcMar>
            <w:vAlign w:val="center"/>
          </w:tcPr>
          <w:p w14:paraId="2EF2DE7E">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60" w:type="dxa"/>
            <w:tcBorders>
              <w:top w:val="nil"/>
              <w:left w:val="nil"/>
              <w:bottom w:val="nil"/>
              <w:right w:val="nil"/>
            </w:tcBorders>
            <w:tcMar>
              <w:top w:w="60" w:type="dxa"/>
              <w:left w:w="100" w:type="dxa"/>
              <w:bottom w:w="60" w:type="dxa"/>
              <w:right w:w="100" w:type="dxa"/>
            </w:tcMar>
            <w:vAlign w:val="center"/>
          </w:tcPr>
          <w:p w14:paraId="18D4454D">
            <w:pPr>
              <w:keepNext w:val="0"/>
              <w:keepLines w:val="0"/>
              <w:widowControl w:val="0"/>
              <w:kinsoku/>
              <w:wordWrap/>
              <w:overflowPunct/>
              <w:topLinePunct w:val="0"/>
              <w:autoSpaceDE/>
              <w:autoSpaceDN/>
              <w:bidi w:val="0"/>
              <w:adjustRightInd/>
              <w:snapToGrid/>
              <w:spacing w:line="480" w:lineRule="auto"/>
              <w:jc w:val="center"/>
              <w:textAlignment w:val="auto"/>
            </w:pPr>
          </w:p>
        </w:tc>
      </w:tr>
      <w:tr w14:paraId="53476F67">
        <w:tc>
          <w:tcPr>
            <w:tcW w:w="2800" w:type="dxa"/>
            <w:tcBorders>
              <w:top w:val="nil"/>
              <w:left w:val="nil"/>
              <w:bottom w:val="nil"/>
              <w:right w:val="nil"/>
            </w:tcBorders>
            <w:tcMar>
              <w:top w:w="60" w:type="dxa"/>
              <w:left w:w="100" w:type="dxa"/>
              <w:bottom w:w="60" w:type="dxa"/>
              <w:right w:w="100" w:type="dxa"/>
            </w:tcMar>
            <w:vAlign w:val="center"/>
          </w:tcPr>
          <w:p w14:paraId="05BC331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Low (&lt; 2.5)</w:t>
            </w:r>
          </w:p>
        </w:tc>
        <w:tc>
          <w:tcPr>
            <w:tcW w:w="1100" w:type="dxa"/>
            <w:tcBorders>
              <w:top w:val="nil"/>
              <w:left w:val="nil"/>
              <w:bottom w:val="nil"/>
              <w:right w:val="nil"/>
            </w:tcBorders>
            <w:tcMar>
              <w:top w:w="60" w:type="dxa"/>
              <w:left w:w="100" w:type="dxa"/>
              <w:bottom w:w="60" w:type="dxa"/>
              <w:right w:w="100" w:type="dxa"/>
            </w:tcMar>
            <w:vAlign w:val="center"/>
          </w:tcPr>
          <w:p w14:paraId="066D642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762</w:t>
            </w:r>
          </w:p>
        </w:tc>
        <w:tc>
          <w:tcPr>
            <w:tcW w:w="1800" w:type="dxa"/>
            <w:tcBorders>
              <w:top w:val="nil"/>
              <w:left w:val="nil"/>
              <w:bottom w:val="nil"/>
              <w:right w:val="nil"/>
            </w:tcBorders>
            <w:tcMar>
              <w:top w:w="60" w:type="dxa"/>
              <w:left w:w="100" w:type="dxa"/>
              <w:bottom w:w="60" w:type="dxa"/>
              <w:right w:w="100" w:type="dxa"/>
            </w:tcMar>
            <w:vAlign w:val="center"/>
          </w:tcPr>
          <w:p w14:paraId="4DF96D7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0.394</w:t>
            </w:r>
          </w:p>
        </w:tc>
        <w:tc>
          <w:tcPr>
            <w:tcW w:w="1800" w:type="dxa"/>
            <w:tcBorders>
              <w:top w:val="nil"/>
              <w:left w:val="nil"/>
              <w:bottom w:val="nil"/>
              <w:right w:val="nil"/>
            </w:tcBorders>
            <w:tcMar>
              <w:top w:w="60" w:type="dxa"/>
              <w:left w:w="100" w:type="dxa"/>
              <w:bottom w:w="60" w:type="dxa"/>
              <w:right w:w="100" w:type="dxa"/>
            </w:tcMar>
            <w:vAlign w:val="center"/>
          </w:tcPr>
          <w:p w14:paraId="70F0A62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0.253</w:t>
            </w:r>
          </w:p>
        </w:tc>
        <w:tc>
          <w:tcPr>
            <w:tcW w:w="1860" w:type="dxa"/>
            <w:tcBorders>
              <w:top w:val="nil"/>
              <w:left w:val="nil"/>
              <w:bottom w:val="nil"/>
              <w:right w:val="nil"/>
            </w:tcBorders>
            <w:tcMar>
              <w:top w:w="60" w:type="dxa"/>
              <w:left w:w="100" w:type="dxa"/>
              <w:bottom w:w="60" w:type="dxa"/>
              <w:right w:w="100" w:type="dxa"/>
            </w:tcMar>
            <w:vAlign w:val="center"/>
          </w:tcPr>
          <w:p w14:paraId="4D6D92C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0.147</w:t>
            </w:r>
          </w:p>
        </w:tc>
      </w:tr>
      <w:tr w14:paraId="02A13953">
        <w:tc>
          <w:tcPr>
            <w:tcW w:w="2800" w:type="dxa"/>
            <w:tcBorders>
              <w:top w:val="nil"/>
              <w:left w:val="nil"/>
              <w:bottom w:val="nil"/>
              <w:right w:val="nil"/>
            </w:tcBorders>
            <w:tcMar>
              <w:top w:w="60" w:type="dxa"/>
              <w:left w:w="100" w:type="dxa"/>
              <w:bottom w:w="60" w:type="dxa"/>
              <w:right w:w="100" w:type="dxa"/>
            </w:tcMar>
            <w:vAlign w:val="center"/>
          </w:tcPr>
          <w:p w14:paraId="634FBF7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Mid (2.5–3.5)</w:t>
            </w:r>
          </w:p>
        </w:tc>
        <w:tc>
          <w:tcPr>
            <w:tcW w:w="1100" w:type="dxa"/>
            <w:tcBorders>
              <w:top w:val="nil"/>
              <w:left w:val="nil"/>
              <w:bottom w:val="nil"/>
              <w:right w:val="nil"/>
            </w:tcBorders>
            <w:tcMar>
              <w:top w:w="60" w:type="dxa"/>
              <w:left w:w="100" w:type="dxa"/>
              <w:bottom w:w="60" w:type="dxa"/>
              <w:right w:w="100" w:type="dxa"/>
            </w:tcMar>
            <w:vAlign w:val="center"/>
          </w:tcPr>
          <w:p w14:paraId="0EBC1DC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5,706</w:t>
            </w:r>
          </w:p>
        </w:tc>
        <w:tc>
          <w:tcPr>
            <w:tcW w:w="1800" w:type="dxa"/>
            <w:tcBorders>
              <w:top w:val="nil"/>
              <w:left w:val="nil"/>
              <w:bottom w:val="nil"/>
              <w:right w:val="nil"/>
            </w:tcBorders>
            <w:tcMar>
              <w:top w:w="60" w:type="dxa"/>
              <w:left w:w="100" w:type="dxa"/>
              <w:bottom w:w="60" w:type="dxa"/>
              <w:right w:w="100" w:type="dxa"/>
            </w:tcMar>
            <w:vAlign w:val="center"/>
          </w:tcPr>
          <w:p w14:paraId="46C45D8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0.388</w:t>
            </w:r>
          </w:p>
        </w:tc>
        <w:tc>
          <w:tcPr>
            <w:tcW w:w="1800" w:type="dxa"/>
            <w:tcBorders>
              <w:top w:val="nil"/>
              <w:left w:val="nil"/>
              <w:bottom w:val="nil"/>
              <w:right w:val="nil"/>
            </w:tcBorders>
            <w:tcMar>
              <w:top w:w="60" w:type="dxa"/>
              <w:left w:w="100" w:type="dxa"/>
              <w:bottom w:w="60" w:type="dxa"/>
              <w:right w:w="100" w:type="dxa"/>
            </w:tcMar>
            <w:vAlign w:val="center"/>
          </w:tcPr>
          <w:p w14:paraId="3FA513E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0.226</w:t>
            </w:r>
          </w:p>
        </w:tc>
        <w:tc>
          <w:tcPr>
            <w:tcW w:w="1860" w:type="dxa"/>
            <w:tcBorders>
              <w:top w:val="nil"/>
              <w:left w:val="nil"/>
              <w:bottom w:val="nil"/>
              <w:right w:val="nil"/>
            </w:tcBorders>
            <w:tcMar>
              <w:top w:w="60" w:type="dxa"/>
              <w:left w:w="100" w:type="dxa"/>
              <w:bottom w:w="60" w:type="dxa"/>
              <w:right w:w="100" w:type="dxa"/>
            </w:tcMar>
            <w:vAlign w:val="center"/>
          </w:tcPr>
          <w:p w14:paraId="26A733D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0.155</w:t>
            </w:r>
          </w:p>
        </w:tc>
      </w:tr>
      <w:tr w14:paraId="679A2705">
        <w:tc>
          <w:tcPr>
            <w:tcW w:w="2800" w:type="dxa"/>
            <w:tcBorders>
              <w:top w:val="nil"/>
              <w:left w:val="nil"/>
              <w:bottom w:val="nil"/>
              <w:right w:val="nil"/>
            </w:tcBorders>
            <w:tcMar>
              <w:top w:w="60" w:type="dxa"/>
              <w:left w:w="100" w:type="dxa"/>
              <w:bottom w:w="60" w:type="dxa"/>
              <w:right w:w="100" w:type="dxa"/>
            </w:tcMar>
            <w:vAlign w:val="center"/>
          </w:tcPr>
          <w:p w14:paraId="1F4CD34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High (&gt; 3.5)</w:t>
            </w:r>
          </w:p>
        </w:tc>
        <w:tc>
          <w:tcPr>
            <w:tcW w:w="1100" w:type="dxa"/>
            <w:tcBorders>
              <w:top w:val="nil"/>
              <w:left w:val="nil"/>
              <w:bottom w:val="nil"/>
              <w:right w:val="nil"/>
            </w:tcBorders>
            <w:tcMar>
              <w:top w:w="60" w:type="dxa"/>
              <w:left w:w="100" w:type="dxa"/>
              <w:bottom w:w="60" w:type="dxa"/>
              <w:right w:w="100" w:type="dxa"/>
            </w:tcMar>
            <w:vAlign w:val="center"/>
          </w:tcPr>
          <w:p w14:paraId="15E70E3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291</w:t>
            </w:r>
          </w:p>
        </w:tc>
        <w:tc>
          <w:tcPr>
            <w:tcW w:w="1800" w:type="dxa"/>
            <w:tcBorders>
              <w:top w:val="nil"/>
              <w:left w:val="nil"/>
              <w:bottom w:val="nil"/>
              <w:right w:val="nil"/>
            </w:tcBorders>
            <w:tcMar>
              <w:top w:w="60" w:type="dxa"/>
              <w:left w:w="100" w:type="dxa"/>
              <w:bottom w:w="60" w:type="dxa"/>
              <w:right w:w="100" w:type="dxa"/>
            </w:tcMar>
            <w:vAlign w:val="center"/>
          </w:tcPr>
          <w:p w14:paraId="5E67D64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0.412</w:t>
            </w:r>
          </w:p>
        </w:tc>
        <w:tc>
          <w:tcPr>
            <w:tcW w:w="1800" w:type="dxa"/>
            <w:tcBorders>
              <w:top w:val="nil"/>
              <w:left w:val="nil"/>
              <w:bottom w:val="nil"/>
              <w:right w:val="nil"/>
            </w:tcBorders>
            <w:tcMar>
              <w:top w:w="60" w:type="dxa"/>
              <w:left w:w="100" w:type="dxa"/>
              <w:bottom w:w="60" w:type="dxa"/>
              <w:right w:w="100" w:type="dxa"/>
            </w:tcMar>
            <w:vAlign w:val="center"/>
          </w:tcPr>
          <w:p w14:paraId="21A9409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0.238</w:t>
            </w:r>
          </w:p>
        </w:tc>
        <w:tc>
          <w:tcPr>
            <w:tcW w:w="1860" w:type="dxa"/>
            <w:tcBorders>
              <w:top w:val="nil"/>
              <w:left w:val="nil"/>
              <w:bottom w:val="nil"/>
              <w:right w:val="nil"/>
            </w:tcBorders>
            <w:tcMar>
              <w:top w:w="60" w:type="dxa"/>
              <w:left w:w="100" w:type="dxa"/>
              <w:bottom w:w="60" w:type="dxa"/>
              <w:right w:w="100" w:type="dxa"/>
            </w:tcMar>
            <w:vAlign w:val="center"/>
          </w:tcPr>
          <w:p w14:paraId="3BAA0FA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0.158</w:t>
            </w:r>
          </w:p>
        </w:tc>
      </w:tr>
      <w:tr w14:paraId="3A082D52">
        <w:tc>
          <w:tcPr>
            <w:tcW w:w="2800" w:type="dxa"/>
            <w:tcBorders>
              <w:top w:val="nil"/>
              <w:left w:val="nil"/>
              <w:bottom w:val="nil"/>
              <w:right w:val="nil"/>
            </w:tcBorders>
            <w:tcMar>
              <w:top w:w="60" w:type="dxa"/>
              <w:left w:w="100" w:type="dxa"/>
              <w:bottom w:w="60" w:type="dxa"/>
              <w:right w:w="100" w:type="dxa"/>
            </w:tcMar>
            <w:vAlign w:val="center"/>
          </w:tcPr>
          <w:p w14:paraId="1B323DF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iCs/>
                <w:sz w:val="20"/>
                <w:szCs w:val="20"/>
              </w:rPr>
              <w:t>Chloride (mEq/L), by clinical cut points</w:t>
            </w:r>
          </w:p>
        </w:tc>
        <w:tc>
          <w:tcPr>
            <w:tcW w:w="1100" w:type="dxa"/>
            <w:tcBorders>
              <w:top w:val="nil"/>
              <w:left w:val="nil"/>
              <w:bottom w:val="nil"/>
              <w:right w:val="nil"/>
            </w:tcBorders>
            <w:tcMar>
              <w:top w:w="60" w:type="dxa"/>
              <w:left w:w="100" w:type="dxa"/>
              <w:bottom w:w="60" w:type="dxa"/>
              <w:right w:w="100" w:type="dxa"/>
            </w:tcMar>
            <w:vAlign w:val="center"/>
          </w:tcPr>
          <w:p w14:paraId="705DA76A">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00" w:type="dxa"/>
            <w:tcBorders>
              <w:top w:val="nil"/>
              <w:left w:val="nil"/>
              <w:bottom w:val="nil"/>
              <w:right w:val="nil"/>
            </w:tcBorders>
            <w:tcMar>
              <w:top w:w="60" w:type="dxa"/>
              <w:left w:w="100" w:type="dxa"/>
              <w:bottom w:w="60" w:type="dxa"/>
              <w:right w:w="100" w:type="dxa"/>
            </w:tcMar>
            <w:vAlign w:val="center"/>
          </w:tcPr>
          <w:p w14:paraId="3ABE0CFD">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00" w:type="dxa"/>
            <w:tcBorders>
              <w:top w:val="nil"/>
              <w:left w:val="nil"/>
              <w:bottom w:val="nil"/>
              <w:right w:val="nil"/>
            </w:tcBorders>
            <w:tcMar>
              <w:top w:w="60" w:type="dxa"/>
              <w:left w:w="100" w:type="dxa"/>
              <w:bottom w:w="60" w:type="dxa"/>
              <w:right w:w="100" w:type="dxa"/>
            </w:tcMar>
            <w:vAlign w:val="center"/>
          </w:tcPr>
          <w:p w14:paraId="6700A7BD">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60" w:type="dxa"/>
            <w:tcBorders>
              <w:top w:val="nil"/>
              <w:left w:val="nil"/>
              <w:bottom w:val="nil"/>
              <w:right w:val="nil"/>
            </w:tcBorders>
            <w:tcMar>
              <w:top w:w="60" w:type="dxa"/>
              <w:left w:w="100" w:type="dxa"/>
              <w:bottom w:w="60" w:type="dxa"/>
              <w:right w:w="100" w:type="dxa"/>
            </w:tcMar>
            <w:vAlign w:val="center"/>
          </w:tcPr>
          <w:p w14:paraId="24419640">
            <w:pPr>
              <w:keepNext w:val="0"/>
              <w:keepLines w:val="0"/>
              <w:widowControl w:val="0"/>
              <w:kinsoku/>
              <w:wordWrap/>
              <w:overflowPunct/>
              <w:topLinePunct w:val="0"/>
              <w:autoSpaceDE/>
              <w:autoSpaceDN/>
              <w:bidi w:val="0"/>
              <w:adjustRightInd/>
              <w:snapToGrid/>
              <w:spacing w:line="480" w:lineRule="auto"/>
              <w:jc w:val="center"/>
              <w:textAlignment w:val="auto"/>
            </w:pPr>
          </w:p>
        </w:tc>
      </w:tr>
      <w:tr w14:paraId="33FAE2E6">
        <w:tc>
          <w:tcPr>
            <w:tcW w:w="2800" w:type="dxa"/>
            <w:tcBorders>
              <w:top w:val="nil"/>
              <w:left w:val="nil"/>
              <w:bottom w:val="nil"/>
              <w:right w:val="nil"/>
            </w:tcBorders>
            <w:tcMar>
              <w:top w:w="60" w:type="dxa"/>
              <w:left w:w="100" w:type="dxa"/>
              <w:bottom w:w="60" w:type="dxa"/>
              <w:right w:w="100" w:type="dxa"/>
            </w:tcMar>
            <w:vAlign w:val="center"/>
          </w:tcPr>
          <w:p w14:paraId="1DA18A6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Low (&lt; 98)</w:t>
            </w:r>
          </w:p>
        </w:tc>
        <w:tc>
          <w:tcPr>
            <w:tcW w:w="1100" w:type="dxa"/>
            <w:tcBorders>
              <w:top w:val="nil"/>
              <w:left w:val="nil"/>
              <w:bottom w:val="nil"/>
              <w:right w:val="nil"/>
            </w:tcBorders>
            <w:tcMar>
              <w:top w:w="60" w:type="dxa"/>
              <w:left w:w="100" w:type="dxa"/>
              <w:bottom w:w="60" w:type="dxa"/>
              <w:right w:w="100" w:type="dxa"/>
            </w:tcMar>
            <w:vAlign w:val="center"/>
          </w:tcPr>
          <w:p w14:paraId="0CA5842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826</w:t>
            </w:r>
          </w:p>
        </w:tc>
        <w:tc>
          <w:tcPr>
            <w:tcW w:w="1800" w:type="dxa"/>
            <w:tcBorders>
              <w:top w:val="nil"/>
              <w:left w:val="nil"/>
              <w:bottom w:val="nil"/>
              <w:right w:val="nil"/>
            </w:tcBorders>
            <w:tcMar>
              <w:top w:w="60" w:type="dxa"/>
              <w:left w:w="100" w:type="dxa"/>
              <w:bottom w:w="60" w:type="dxa"/>
              <w:right w:w="100" w:type="dxa"/>
            </w:tcMar>
            <w:vAlign w:val="center"/>
          </w:tcPr>
          <w:p w14:paraId="6B13766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0.417</w:t>
            </w:r>
          </w:p>
        </w:tc>
        <w:tc>
          <w:tcPr>
            <w:tcW w:w="1800" w:type="dxa"/>
            <w:tcBorders>
              <w:top w:val="nil"/>
              <w:left w:val="nil"/>
              <w:bottom w:val="nil"/>
              <w:right w:val="nil"/>
            </w:tcBorders>
            <w:tcMar>
              <w:top w:w="60" w:type="dxa"/>
              <w:left w:w="100" w:type="dxa"/>
              <w:bottom w:w="60" w:type="dxa"/>
              <w:right w:w="100" w:type="dxa"/>
            </w:tcMar>
            <w:vAlign w:val="center"/>
          </w:tcPr>
          <w:p w14:paraId="31733FF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0.242</w:t>
            </w:r>
          </w:p>
        </w:tc>
        <w:tc>
          <w:tcPr>
            <w:tcW w:w="1860" w:type="dxa"/>
            <w:tcBorders>
              <w:top w:val="nil"/>
              <w:left w:val="nil"/>
              <w:bottom w:val="nil"/>
              <w:right w:val="nil"/>
            </w:tcBorders>
            <w:tcMar>
              <w:top w:w="60" w:type="dxa"/>
              <w:left w:w="100" w:type="dxa"/>
              <w:bottom w:w="60" w:type="dxa"/>
              <w:right w:w="100" w:type="dxa"/>
            </w:tcMar>
            <w:vAlign w:val="center"/>
          </w:tcPr>
          <w:p w14:paraId="06B392F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0.158</w:t>
            </w:r>
          </w:p>
        </w:tc>
      </w:tr>
      <w:tr w14:paraId="1CCFBAD7">
        <w:tc>
          <w:tcPr>
            <w:tcW w:w="2800" w:type="dxa"/>
            <w:tcBorders>
              <w:top w:val="nil"/>
              <w:left w:val="nil"/>
              <w:bottom w:val="nil"/>
              <w:right w:val="nil"/>
            </w:tcBorders>
            <w:tcMar>
              <w:top w:w="60" w:type="dxa"/>
              <w:left w:w="100" w:type="dxa"/>
              <w:bottom w:w="60" w:type="dxa"/>
              <w:right w:w="100" w:type="dxa"/>
            </w:tcMar>
            <w:vAlign w:val="center"/>
          </w:tcPr>
          <w:p w14:paraId="48EECD6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Normal (98–106)</w:t>
            </w:r>
          </w:p>
        </w:tc>
        <w:tc>
          <w:tcPr>
            <w:tcW w:w="1100" w:type="dxa"/>
            <w:tcBorders>
              <w:top w:val="nil"/>
              <w:left w:val="nil"/>
              <w:bottom w:val="nil"/>
              <w:right w:val="nil"/>
            </w:tcBorders>
            <w:tcMar>
              <w:top w:w="60" w:type="dxa"/>
              <w:left w:w="100" w:type="dxa"/>
              <w:bottom w:w="60" w:type="dxa"/>
              <w:right w:w="100" w:type="dxa"/>
            </w:tcMar>
            <w:vAlign w:val="center"/>
          </w:tcPr>
          <w:p w14:paraId="64BD372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3,154</w:t>
            </w:r>
          </w:p>
        </w:tc>
        <w:tc>
          <w:tcPr>
            <w:tcW w:w="1800" w:type="dxa"/>
            <w:tcBorders>
              <w:top w:val="nil"/>
              <w:left w:val="nil"/>
              <w:bottom w:val="nil"/>
              <w:right w:val="nil"/>
            </w:tcBorders>
            <w:tcMar>
              <w:top w:w="60" w:type="dxa"/>
              <w:left w:w="100" w:type="dxa"/>
              <w:bottom w:w="60" w:type="dxa"/>
              <w:right w:w="100" w:type="dxa"/>
            </w:tcMar>
            <w:vAlign w:val="center"/>
          </w:tcPr>
          <w:p w14:paraId="69FE483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0.377</w:t>
            </w:r>
          </w:p>
        </w:tc>
        <w:tc>
          <w:tcPr>
            <w:tcW w:w="1800" w:type="dxa"/>
            <w:tcBorders>
              <w:top w:val="nil"/>
              <w:left w:val="nil"/>
              <w:bottom w:val="nil"/>
              <w:right w:val="nil"/>
            </w:tcBorders>
            <w:tcMar>
              <w:top w:w="60" w:type="dxa"/>
              <w:left w:w="100" w:type="dxa"/>
              <w:bottom w:w="60" w:type="dxa"/>
              <w:right w:w="100" w:type="dxa"/>
            </w:tcMar>
            <w:vAlign w:val="center"/>
          </w:tcPr>
          <w:p w14:paraId="58ADA4A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0.222</w:t>
            </w:r>
          </w:p>
        </w:tc>
        <w:tc>
          <w:tcPr>
            <w:tcW w:w="1860" w:type="dxa"/>
            <w:tcBorders>
              <w:top w:val="nil"/>
              <w:left w:val="nil"/>
              <w:bottom w:val="nil"/>
              <w:right w:val="nil"/>
            </w:tcBorders>
            <w:tcMar>
              <w:top w:w="60" w:type="dxa"/>
              <w:left w:w="100" w:type="dxa"/>
              <w:bottom w:w="60" w:type="dxa"/>
              <w:right w:w="100" w:type="dxa"/>
            </w:tcMar>
            <w:vAlign w:val="center"/>
          </w:tcPr>
          <w:p w14:paraId="6B56B50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0.155</w:t>
            </w:r>
          </w:p>
        </w:tc>
      </w:tr>
      <w:tr w14:paraId="13AF170E">
        <w:tc>
          <w:tcPr>
            <w:tcW w:w="2800" w:type="dxa"/>
            <w:tcBorders>
              <w:top w:val="nil"/>
              <w:left w:val="nil"/>
              <w:bottom w:val="nil"/>
              <w:right w:val="nil"/>
            </w:tcBorders>
            <w:tcMar>
              <w:top w:w="60" w:type="dxa"/>
              <w:left w:w="100" w:type="dxa"/>
              <w:bottom w:w="60" w:type="dxa"/>
              <w:right w:w="100" w:type="dxa"/>
            </w:tcMar>
            <w:vAlign w:val="center"/>
          </w:tcPr>
          <w:p w14:paraId="3602598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High (&gt; 106)</w:t>
            </w:r>
          </w:p>
        </w:tc>
        <w:tc>
          <w:tcPr>
            <w:tcW w:w="1100" w:type="dxa"/>
            <w:tcBorders>
              <w:top w:val="nil"/>
              <w:left w:val="nil"/>
              <w:bottom w:val="nil"/>
              <w:right w:val="nil"/>
            </w:tcBorders>
            <w:tcMar>
              <w:top w:w="60" w:type="dxa"/>
              <w:left w:w="100" w:type="dxa"/>
              <w:bottom w:w="60" w:type="dxa"/>
              <w:right w:w="100" w:type="dxa"/>
            </w:tcMar>
            <w:vAlign w:val="center"/>
          </w:tcPr>
          <w:p w14:paraId="37685F1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2,779</w:t>
            </w:r>
          </w:p>
        </w:tc>
        <w:tc>
          <w:tcPr>
            <w:tcW w:w="1800" w:type="dxa"/>
            <w:tcBorders>
              <w:top w:val="nil"/>
              <w:left w:val="nil"/>
              <w:bottom w:val="nil"/>
              <w:right w:val="nil"/>
            </w:tcBorders>
            <w:tcMar>
              <w:top w:w="60" w:type="dxa"/>
              <w:left w:w="100" w:type="dxa"/>
              <w:bottom w:w="60" w:type="dxa"/>
              <w:right w:w="100" w:type="dxa"/>
            </w:tcMar>
            <w:vAlign w:val="center"/>
          </w:tcPr>
          <w:p w14:paraId="193DD92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0.396</w:t>
            </w:r>
          </w:p>
        </w:tc>
        <w:tc>
          <w:tcPr>
            <w:tcW w:w="1800" w:type="dxa"/>
            <w:tcBorders>
              <w:top w:val="nil"/>
              <w:left w:val="nil"/>
              <w:bottom w:val="nil"/>
              <w:right w:val="nil"/>
            </w:tcBorders>
            <w:tcMar>
              <w:top w:w="60" w:type="dxa"/>
              <w:left w:w="100" w:type="dxa"/>
              <w:bottom w:w="60" w:type="dxa"/>
              <w:right w:w="100" w:type="dxa"/>
            </w:tcMar>
            <w:vAlign w:val="center"/>
          </w:tcPr>
          <w:p w14:paraId="337AC9C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0.235</w:t>
            </w:r>
          </w:p>
        </w:tc>
        <w:tc>
          <w:tcPr>
            <w:tcW w:w="1860" w:type="dxa"/>
            <w:tcBorders>
              <w:top w:val="nil"/>
              <w:left w:val="nil"/>
              <w:bottom w:val="nil"/>
              <w:right w:val="nil"/>
            </w:tcBorders>
            <w:tcMar>
              <w:top w:w="60" w:type="dxa"/>
              <w:left w:w="100" w:type="dxa"/>
              <w:bottom w:w="60" w:type="dxa"/>
              <w:right w:w="100" w:type="dxa"/>
            </w:tcMar>
            <w:vAlign w:val="center"/>
          </w:tcPr>
          <w:p w14:paraId="6992FD8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0.152</w:t>
            </w:r>
          </w:p>
        </w:tc>
      </w:tr>
      <w:tr w14:paraId="1DF10799">
        <w:tc>
          <w:tcPr>
            <w:tcW w:w="2800" w:type="dxa"/>
            <w:tcBorders>
              <w:top w:val="nil"/>
              <w:left w:val="nil"/>
              <w:bottom w:val="nil"/>
              <w:right w:val="nil"/>
            </w:tcBorders>
            <w:tcMar>
              <w:top w:w="60" w:type="dxa"/>
              <w:left w:w="100" w:type="dxa"/>
              <w:bottom w:w="60" w:type="dxa"/>
              <w:right w:w="100" w:type="dxa"/>
            </w:tcMar>
            <w:vAlign w:val="center"/>
          </w:tcPr>
          <w:p w14:paraId="1A887B1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iCs/>
                <w:sz w:val="20"/>
                <w:szCs w:val="20"/>
              </w:rPr>
              <w:t>Potassium (mEq/L), by clinical cut points</w:t>
            </w:r>
          </w:p>
        </w:tc>
        <w:tc>
          <w:tcPr>
            <w:tcW w:w="1100" w:type="dxa"/>
            <w:tcBorders>
              <w:top w:val="nil"/>
              <w:left w:val="nil"/>
              <w:bottom w:val="nil"/>
              <w:right w:val="nil"/>
            </w:tcBorders>
            <w:tcMar>
              <w:top w:w="60" w:type="dxa"/>
              <w:left w:w="100" w:type="dxa"/>
              <w:bottom w:w="60" w:type="dxa"/>
              <w:right w:w="100" w:type="dxa"/>
            </w:tcMar>
            <w:vAlign w:val="center"/>
          </w:tcPr>
          <w:p w14:paraId="67EEF0F3">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00" w:type="dxa"/>
            <w:tcBorders>
              <w:top w:val="nil"/>
              <w:left w:val="nil"/>
              <w:bottom w:val="nil"/>
              <w:right w:val="nil"/>
            </w:tcBorders>
            <w:tcMar>
              <w:top w:w="60" w:type="dxa"/>
              <w:left w:w="100" w:type="dxa"/>
              <w:bottom w:w="60" w:type="dxa"/>
              <w:right w:w="100" w:type="dxa"/>
            </w:tcMar>
            <w:vAlign w:val="center"/>
          </w:tcPr>
          <w:p w14:paraId="3F6ED32C">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00" w:type="dxa"/>
            <w:tcBorders>
              <w:top w:val="nil"/>
              <w:left w:val="nil"/>
              <w:bottom w:val="nil"/>
              <w:right w:val="nil"/>
            </w:tcBorders>
            <w:tcMar>
              <w:top w:w="60" w:type="dxa"/>
              <w:left w:w="100" w:type="dxa"/>
              <w:bottom w:w="60" w:type="dxa"/>
              <w:right w:w="100" w:type="dxa"/>
            </w:tcMar>
            <w:vAlign w:val="center"/>
          </w:tcPr>
          <w:p w14:paraId="5E70F292">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60" w:type="dxa"/>
            <w:tcBorders>
              <w:top w:val="nil"/>
              <w:left w:val="nil"/>
              <w:bottom w:val="nil"/>
              <w:right w:val="nil"/>
            </w:tcBorders>
            <w:tcMar>
              <w:top w:w="60" w:type="dxa"/>
              <w:left w:w="100" w:type="dxa"/>
              <w:bottom w:w="60" w:type="dxa"/>
              <w:right w:w="100" w:type="dxa"/>
            </w:tcMar>
            <w:vAlign w:val="center"/>
          </w:tcPr>
          <w:p w14:paraId="6DEB4BF7">
            <w:pPr>
              <w:keepNext w:val="0"/>
              <w:keepLines w:val="0"/>
              <w:widowControl w:val="0"/>
              <w:kinsoku/>
              <w:wordWrap/>
              <w:overflowPunct/>
              <w:topLinePunct w:val="0"/>
              <w:autoSpaceDE/>
              <w:autoSpaceDN/>
              <w:bidi w:val="0"/>
              <w:adjustRightInd/>
              <w:snapToGrid/>
              <w:spacing w:line="480" w:lineRule="auto"/>
              <w:jc w:val="center"/>
              <w:textAlignment w:val="auto"/>
            </w:pPr>
          </w:p>
        </w:tc>
      </w:tr>
      <w:tr w14:paraId="167596FE">
        <w:tc>
          <w:tcPr>
            <w:tcW w:w="2800" w:type="dxa"/>
            <w:tcBorders>
              <w:top w:val="nil"/>
              <w:left w:val="nil"/>
              <w:bottom w:val="nil"/>
              <w:right w:val="nil"/>
            </w:tcBorders>
            <w:tcMar>
              <w:top w:w="60" w:type="dxa"/>
              <w:left w:w="100" w:type="dxa"/>
              <w:bottom w:w="60" w:type="dxa"/>
              <w:right w:w="100" w:type="dxa"/>
            </w:tcMar>
            <w:vAlign w:val="center"/>
          </w:tcPr>
          <w:p w14:paraId="51BE74D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Low (&lt; 3.5)</w:t>
            </w:r>
          </w:p>
        </w:tc>
        <w:tc>
          <w:tcPr>
            <w:tcW w:w="1100" w:type="dxa"/>
            <w:tcBorders>
              <w:top w:val="nil"/>
              <w:left w:val="nil"/>
              <w:bottom w:val="nil"/>
              <w:right w:val="nil"/>
            </w:tcBorders>
            <w:tcMar>
              <w:top w:w="60" w:type="dxa"/>
              <w:left w:w="100" w:type="dxa"/>
              <w:bottom w:w="60" w:type="dxa"/>
              <w:right w:w="100" w:type="dxa"/>
            </w:tcMar>
            <w:vAlign w:val="center"/>
          </w:tcPr>
          <w:p w14:paraId="6B1E524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834</w:t>
            </w:r>
          </w:p>
        </w:tc>
        <w:tc>
          <w:tcPr>
            <w:tcW w:w="1800" w:type="dxa"/>
            <w:tcBorders>
              <w:top w:val="nil"/>
              <w:left w:val="nil"/>
              <w:bottom w:val="nil"/>
              <w:right w:val="nil"/>
            </w:tcBorders>
            <w:tcMar>
              <w:top w:w="60" w:type="dxa"/>
              <w:left w:w="100" w:type="dxa"/>
              <w:bottom w:w="60" w:type="dxa"/>
              <w:right w:w="100" w:type="dxa"/>
            </w:tcMar>
            <w:vAlign w:val="center"/>
          </w:tcPr>
          <w:p w14:paraId="1FE4EBB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0.476</w:t>
            </w:r>
          </w:p>
        </w:tc>
        <w:tc>
          <w:tcPr>
            <w:tcW w:w="1800" w:type="dxa"/>
            <w:tcBorders>
              <w:top w:val="nil"/>
              <w:left w:val="nil"/>
              <w:bottom w:val="nil"/>
              <w:right w:val="nil"/>
            </w:tcBorders>
            <w:tcMar>
              <w:top w:w="60" w:type="dxa"/>
              <w:left w:w="100" w:type="dxa"/>
              <w:bottom w:w="60" w:type="dxa"/>
              <w:right w:w="100" w:type="dxa"/>
            </w:tcMar>
            <w:vAlign w:val="center"/>
          </w:tcPr>
          <w:p w14:paraId="1ABF1F0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0.233</w:t>
            </w:r>
          </w:p>
        </w:tc>
        <w:tc>
          <w:tcPr>
            <w:tcW w:w="1860" w:type="dxa"/>
            <w:tcBorders>
              <w:top w:val="nil"/>
              <w:left w:val="nil"/>
              <w:bottom w:val="nil"/>
              <w:right w:val="nil"/>
            </w:tcBorders>
            <w:tcMar>
              <w:top w:w="60" w:type="dxa"/>
              <w:left w:w="100" w:type="dxa"/>
              <w:bottom w:w="60" w:type="dxa"/>
              <w:right w:w="100" w:type="dxa"/>
            </w:tcMar>
            <w:vAlign w:val="center"/>
          </w:tcPr>
          <w:p w14:paraId="2F956F0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0.155</w:t>
            </w:r>
          </w:p>
        </w:tc>
      </w:tr>
      <w:tr w14:paraId="69C6B38F">
        <w:tc>
          <w:tcPr>
            <w:tcW w:w="2800" w:type="dxa"/>
            <w:tcBorders>
              <w:top w:val="nil"/>
              <w:left w:val="nil"/>
              <w:bottom w:val="nil"/>
              <w:right w:val="nil"/>
            </w:tcBorders>
            <w:tcMar>
              <w:top w:w="60" w:type="dxa"/>
              <w:left w:w="100" w:type="dxa"/>
              <w:bottom w:w="60" w:type="dxa"/>
              <w:right w:w="100" w:type="dxa"/>
            </w:tcMar>
            <w:vAlign w:val="center"/>
          </w:tcPr>
          <w:p w14:paraId="24F5CDB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Normal (3.5–5.0)</w:t>
            </w:r>
          </w:p>
        </w:tc>
        <w:tc>
          <w:tcPr>
            <w:tcW w:w="1100" w:type="dxa"/>
            <w:tcBorders>
              <w:top w:val="nil"/>
              <w:left w:val="nil"/>
              <w:bottom w:val="nil"/>
              <w:right w:val="nil"/>
            </w:tcBorders>
            <w:tcMar>
              <w:top w:w="60" w:type="dxa"/>
              <w:left w:w="100" w:type="dxa"/>
              <w:bottom w:w="60" w:type="dxa"/>
              <w:right w:w="100" w:type="dxa"/>
            </w:tcMar>
            <w:vAlign w:val="center"/>
          </w:tcPr>
          <w:p w14:paraId="6084C9A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5,229</w:t>
            </w:r>
          </w:p>
        </w:tc>
        <w:tc>
          <w:tcPr>
            <w:tcW w:w="1800" w:type="dxa"/>
            <w:tcBorders>
              <w:top w:val="nil"/>
              <w:left w:val="nil"/>
              <w:bottom w:val="nil"/>
              <w:right w:val="nil"/>
            </w:tcBorders>
            <w:tcMar>
              <w:top w:w="60" w:type="dxa"/>
              <w:left w:w="100" w:type="dxa"/>
              <w:bottom w:w="60" w:type="dxa"/>
              <w:right w:w="100" w:type="dxa"/>
            </w:tcMar>
            <w:vAlign w:val="center"/>
          </w:tcPr>
          <w:p w14:paraId="06F4E29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0.375</w:t>
            </w:r>
          </w:p>
        </w:tc>
        <w:tc>
          <w:tcPr>
            <w:tcW w:w="1800" w:type="dxa"/>
            <w:tcBorders>
              <w:top w:val="nil"/>
              <w:left w:val="nil"/>
              <w:bottom w:val="nil"/>
              <w:right w:val="nil"/>
            </w:tcBorders>
            <w:tcMar>
              <w:top w:w="60" w:type="dxa"/>
              <w:left w:w="100" w:type="dxa"/>
              <w:bottom w:w="60" w:type="dxa"/>
              <w:right w:w="100" w:type="dxa"/>
            </w:tcMar>
            <w:vAlign w:val="center"/>
          </w:tcPr>
          <w:p w14:paraId="018E2A8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0.223</w:t>
            </w:r>
          </w:p>
        </w:tc>
        <w:tc>
          <w:tcPr>
            <w:tcW w:w="1860" w:type="dxa"/>
            <w:tcBorders>
              <w:top w:val="nil"/>
              <w:left w:val="nil"/>
              <w:bottom w:val="nil"/>
              <w:right w:val="nil"/>
            </w:tcBorders>
            <w:tcMar>
              <w:top w:w="60" w:type="dxa"/>
              <w:left w:w="100" w:type="dxa"/>
              <w:bottom w:w="60" w:type="dxa"/>
              <w:right w:w="100" w:type="dxa"/>
            </w:tcMar>
            <w:vAlign w:val="center"/>
          </w:tcPr>
          <w:p w14:paraId="2E6B15B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0.154</w:t>
            </w:r>
          </w:p>
        </w:tc>
      </w:tr>
      <w:tr w14:paraId="421D8A64">
        <w:tc>
          <w:tcPr>
            <w:tcW w:w="2800" w:type="dxa"/>
            <w:tcBorders>
              <w:top w:val="nil"/>
              <w:left w:val="nil"/>
              <w:bottom w:val="nil"/>
              <w:right w:val="nil"/>
            </w:tcBorders>
            <w:tcMar>
              <w:top w:w="60" w:type="dxa"/>
              <w:left w:w="100" w:type="dxa"/>
              <w:bottom w:w="60" w:type="dxa"/>
              <w:right w:w="100" w:type="dxa"/>
            </w:tcMar>
            <w:vAlign w:val="center"/>
          </w:tcPr>
          <w:p w14:paraId="4E31B8D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High (&gt; 5.0)</w:t>
            </w:r>
          </w:p>
        </w:tc>
        <w:tc>
          <w:tcPr>
            <w:tcW w:w="1100" w:type="dxa"/>
            <w:tcBorders>
              <w:top w:val="nil"/>
              <w:left w:val="nil"/>
              <w:bottom w:val="nil"/>
              <w:right w:val="nil"/>
            </w:tcBorders>
            <w:tcMar>
              <w:top w:w="60" w:type="dxa"/>
              <w:left w:w="100" w:type="dxa"/>
              <w:bottom w:w="60" w:type="dxa"/>
              <w:right w:w="100" w:type="dxa"/>
            </w:tcMar>
            <w:vAlign w:val="center"/>
          </w:tcPr>
          <w:p w14:paraId="48B88E6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696</w:t>
            </w:r>
          </w:p>
        </w:tc>
        <w:tc>
          <w:tcPr>
            <w:tcW w:w="1800" w:type="dxa"/>
            <w:tcBorders>
              <w:top w:val="nil"/>
              <w:left w:val="nil"/>
              <w:bottom w:val="nil"/>
              <w:right w:val="nil"/>
            </w:tcBorders>
            <w:tcMar>
              <w:top w:w="60" w:type="dxa"/>
              <w:left w:w="100" w:type="dxa"/>
              <w:bottom w:w="60" w:type="dxa"/>
              <w:right w:w="100" w:type="dxa"/>
            </w:tcMar>
            <w:vAlign w:val="center"/>
          </w:tcPr>
          <w:p w14:paraId="616AB24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0.414</w:t>
            </w:r>
          </w:p>
        </w:tc>
        <w:tc>
          <w:tcPr>
            <w:tcW w:w="1800" w:type="dxa"/>
            <w:tcBorders>
              <w:top w:val="nil"/>
              <w:left w:val="nil"/>
              <w:bottom w:val="nil"/>
              <w:right w:val="nil"/>
            </w:tcBorders>
            <w:tcMar>
              <w:top w:w="60" w:type="dxa"/>
              <w:left w:w="100" w:type="dxa"/>
              <w:bottom w:w="60" w:type="dxa"/>
              <w:right w:w="100" w:type="dxa"/>
            </w:tcMar>
            <w:vAlign w:val="center"/>
          </w:tcPr>
          <w:p w14:paraId="20FCEC0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0.284</w:t>
            </w:r>
          </w:p>
        </w:tc>
        <w:tc>
          <w:tcPr>
            <w:tcW w:w="1860" w:type="dxa"/>
            <w:tcBorders>
              <w:top w:val="nil"/>
              <w:left w:val="nil"/>
              <w:bottom w:val="nil"/>
              <w:right w:val="nil"/>
            </w:tcBorders>
            <w:tcMar>
              <w:top w:w="60" w:type="dxa"/>
              <w:left w:w="100" w:type="dxa"/>
              <w:bottom w:w="60" w:type="dxa"/>
              <w:right w:w="100" w:type="dxa"/>
            </w:tcMar>
            <w:vAlign w:val="center"/>
          </w:tcPr>
          <w:p w14:paraId="34BBEA5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0.153</w:t>
            </w:r>
          </w:p>
        </w:tc>
      </w:tr>
      <w:tr w14:paraId="4D35F4C7">
        <w:tc>
          <w:tcPr>
            <w:tcW w:w="2800" w:type="dxa"/>
            <w:tcBorders>
              <w:top w:val="nil"/>
              <w:left w:val="nil"/>
              <w:bottom w:val="nil"/>
              <w:right w:val="nil"/>
            </w:tcBorders>
            <w:tcMar>
              <w:top w:w="60" w:type="dxa"/>
              <w:left w:w="100" w:type="dxa"/>
              <w:bottom w:w="60" w:type="dxa"/>
              <w:right w:w="100" w:type="dxa"/>
            </w:tcMar>
            <w:vAlign w:val="center"/>
          </w:tcPr>
          <w:p w14:paraId="2F666D5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iCs/>
                <w:sz w:val="20"/>
                <w:szCs w:val="20"/>
              </w:rPr>
              <w:t>Lactate (mmol/L), by clinical cut points</w:t>
            </w:r>
          </w:p>
        </w:tc>
        <w:tc>
          <w:tcPr>
            <w:tcW w:w="1100" w:type="dxa"/>
            <w:tcBorders>
              <w:top w:val="nil"/>
              <w:left w:val="nil"/>
              <w:bottom w:val="nil"/>
              <w:right w:val="nil"/>
            </w:tcBorders>
            <w:tcMar>
              <w:top w:w="60" w:type="dxa"/>
              <w:left w:w="100" w:type="dxa"/>
              <w:bottom w:w="60" w:type="dxa"/>
              <w:right w:w="100" w:type="dxa"/>
            </w:tcMar>
            <w:vAlign w:val="center"/>
          </w:tcPr>
          <w:p w14:paraId="045CBD1A">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00" w:type="dxa"/>
            <w:tcBorders>
              <w:top w:val="nil"/>
              <w:left w:val="nil"/>
              <w:bottom w:val="nil"/>
              <w:right w:val="nil"/>
            </w:tcBorders>
            <w:tcMar>
              <w:top w:w="60" w:type="dxa"/>
              <w:left w:w="100" w:type="dxa"/>
              <w:bottom w:w="60" w:type="dxa"/>
              <w:right w:w="100" w:type="dxa"/>
            </w:tcMar>
            <w:vAlign w:val="center"/>
          </w:tcPr>
          <w:p w14:paraId="573DFFE7">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00" w:type="dxa"/>
            <w:tcBorders>
              <w:top w:val="nil"/>
              <w:left w:val="nil"/>
              <w:bottom w:val="nil"/>
              <w:right w:val="nil"/>
            </w:tcBorders>
            <w:tcMar>
              <w:top w:w="60" w:type="dxa"/>
              <w:left w:w="100" w:type="dxa"/>
              <w:bottom w:w="60" w:type="dxa"/>
              <w:right w:w="100" w:type="dxa"/>
            </w:tcMar>
            <w:vAlign w:val="center"/>
          </w:tcPr>
          <w:p w14:paraId="4F7AE821">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60" w:type="dxa"/>
            <w:tcBorders>
              <w:top w:val="nil"/>
              <w:left w:val="nil"/>
              <w:bottom w:val="nil"/>
              <w:right w:val="nil"/>
            </w:tcBorders>
            <w:tcMar>
              <w:top w:w="60" w:type="dxa"/>
              <w:left w:w="100" w:type="dxa"/>
              <w:bottom w:w="60" w:type="dxa"/>
              <w:right w:w="100" w:type="dxa"/>
            </w:tcMar>
            <w:vAlign w:val="center"/>
          </w:tcPr>
          <w:p w14:paraId="21BBC761">
            <w:pPr>
              <w:keepNext w:val="0"/>
              <w:keepLines w:val="0"/>
              <w:widowControl w:val="0"/>
              <w:kinsoku/>
              <w:wordWrap/>
              <w:overflowPunct/>
              <w:topLinePunct w:val="0"/>
              <w:autoSpaceDE/>
              <w:autoSpaceDN/>
              <w:bidi w:val="0"/>
              <w:adjustRightInd/>
              <w:snapToGrid/>
              <w:spacing w:line="480" w:lineRule="auto"/>
              <w:jc w:val="center"/>
              <w:textAlignment w:val="auto"/>
            </w:pPr>
          </w:p>
        </w:tc>
      </w:tr>
      <w:tr w14:paraId="08E40006">
        <w:tc>
          <w:tcPr>
            <w:tcW w:w="2800" w:type="dxa"/>
            <w:tcBorders>
              <w:top w:val="nil"/>
              <w:left w:val="nil"/>
              <w:bottom w:val="nil"/>
              <w:right w:val="nil"/>
            </w:tcBorders>
            <w:tcMar>
              <w:top w:w="60" w:type="dxa"/>
              <w:left w:w="100" w:type="dxa"/>
              <w:bottom w:w="60" w:type="dxa"/>
              <w:right w:w="100" w:type="dxa"/>
            </w:tcMar>
            <w:vAlign w:val="center"/>
          </w:tcPr>
          <w:p w14:paraId="063F9E4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Normal (&lt; 1.5, median 1.15)</w:t>
            </w:r>
          </w:p>
        </w:tc>
        <w:tc>
          <w:tcPr>
            <w:tcW w:w="1100" w:type="dxa"/>
            <w:tcBorders>
              <w:top w:val="nil"/>
              <w:left w:val="nil"/>
              <w:bottom w:val="nil"/>
              <w:right w:val="nil"/>
            </w:tcBorders>
            <w:tcMar>
              <w:top w:w="60" w:type="dxa"/>
              <w:left w:w="100" w:type="dxa"/>
              <w:bottom w:w="60" w:type="dxa"/>
              <w:right w:w="100" w:type="dxa"/>
            </w:tcMar>
            <w:vAlign w:val="center"/>
          </w:tcPr>
          <w:p w14:paraId="174F1CA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2,098</w:t>
            </w:r>
          </w:p>
        </w:tc>
        <w:tc>
          <w:tcPr>
            <w:tcW w:w="1800" w:type="dxa"/>
            <w:tcBorders>
              <w:top w:val="nil"/>
              <w:left w:val="nil"/>
              <w:bottom w:val="nil"/>
              <w:right w:val="nil"/>
            </w:tcBorders>
            <w:tcMar>
              <w:top w:w="60" w:type="dxa"/>
              <w:left w:w="100" w:type="dxa"/>
              <w:bottom w:w="60" w:type="dxa"/>
              <w:right w:w="100" w:type="dxa"/>
            </w:tcMar>
            <w:vAlign w:val="center"/>
          </w:tcPr>
          <w:p w14:paraId="21AB609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0.363</w:t>
            </w:r>
          </w:p>
        </w:tc>
        <w:tc>
          <w:tcPr>
            <w:tcW w:w="1800" w:type="dxa"/>
            <w:tcBorders>
              <w:top w:val="nil"/>
              <w:left w:val="nil"/>
              <w:bottom w:val="nil"/>
              <w:right w:val="nil"/>
            </w:tcBorders>
            <w:tcMar>
              <w:top w:w="60" w:type="dxa"/>
              <w:left w:w="100" w:type="dxa"/>
              <w:bottom w:w="60" w:type="dxa"/>
              <w:right w:w="100" w:type="dxa"/>
            </w:tcMar>
            <w:vAlign w:val="center"/>
          </w:tcPr>
          <w:p w14:paraId="265287E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0.196</w:t>
            </w:r>
          </w:p>
        </w:tc>
        <w:tc>
          <w:tcPr>
            <w:tcW w:w="1860" w:type="dxa"/>
            <w:tcBorders>
              <w:top w:val="nil"/>
              <w:left w:val="nil"/>
              <w:bottom w:val="nil"/>
              <w:right w:val="nil"/>
            </w:tcBorders>
            <w:tcMar>
              <w:top w:w="60" w:type="dxa"/>
              <w:left w:w="100" w:type="dxa"/>
              <w:bottom w:w="60" w:type="dxa"/>
              <w:right w:w="100" w:type="dxa"/>
            </w:tcMar>
            <w:vAlign w:val="center"/>
          </w:tcPr>
          <w:p w14:paraId="0731889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0.153</w:t>
            </w:r>
          </w:p>
        </w:tc>
      </w:tr>
      <w:tr w14:paraId="53009B18">
        <w:tc>
          <w:tcPr>
            <w:tcW w:w="2800" w:type="dxa"/>
            <w:tcBorders>
              <w:top w:val="nil"/>
              <w:left w:val="nil"/>
              <w:bottom w:val="nil"/>
              <w:right w:val="nil"/>
            </w:tcBorders>
            <w:tcMar>
              <w:top w:w="60" w:type="dxa"/>
              <w:left w:w="100" w:type="dxa"/>
              <w:bottom w:w="60" w:type="dxa"/>
              <w:right w:w="100" w:type="dxa"/>
            </w:tcMar>
            <w:vAlign w:val="center"/>
          </w:tcPr>
          <w:p w14:paraId="682C556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Mild (1.5–2.5, median 1.97)</w:t>
            </w:r>
          </w:p>
        </w:tc>
        <w:tc>
          <w:tcPr>
            <w:tcW w:w="1100" w:type="dxa"/>
            <w:tcBorders>
              <w:top w:val="nil"/>
              <w:left w:val="nil"/>
              <w:bottom w:val="nil"/>
              <w:right w:val="nil"/>
            </w:tcBorders>
            <w:tcMar>
              <w:top w:w="60" w:type="dxa"/>
              <w:left w:w="100" w:type="dxa"/>
              <w:bottom w:w="60" w:type="dxa"/>
              <w:right w:w="100" w:type="dxa"/>
            </w:tcMar>
            <w:vAlign w:val="center"/>
          </w:tcPr>
          <w:p w14:paraId="03CB05E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1,743</w:t>
            </w:r>
          </w:p>
        </w:tc>
        <w:tc>
          <w:tcPr>
            <w:tcW w:w="1800" w:type="dxa"/>
            <w:tcBorders>
              <w:top w:val="nil"/>
              <w:left w:val="nil"/>
              <w:bottom w:val="nil"/>
              <w:right w:val="nil"/>
            </w:tcBorders>
            <w:tcMar>
              <w:top w:w="60" w:type="dxa"/>
              <w:left w:w="100" w:type="dxa"/>
              <w:bottom w:w="60" w:type="dxa"/>
              <w:right w:w="100" w:type="dxa"/>
            </w:tcMar>
            <w:vAlign w:val="center"/>
          </w:tcPr>
          <w:p w14:paraId="28E86BC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0.363</w:t>
            </w:r>
          </w:p>
        </w:tc>
        <w:tc>
          <w:tcPr>
            <w:tcW w:w="1800" w:type="dxa"/>
            <w:tcBorders>
              <w:top w:val="nil"/>
              <w:left w:val="nil"/>
              <w:bottom w:val="nil"/>
              <w:right w:val="nil"/>
            </w:tcBorders>
            <w:tcMar>
              <w:top w:w="60" w:type="dxa"/>
              <w:left w:w="100" w:type="dxa"/>
              <w:bottom w:w="60" w:type="dxa"/>
              <w:right w:w="100" w:type="dxa"/>
            </w:tcMar>
            <w:vAlign w:val="center"/>
          </w:tcPr>
          <w:p w14:paraId="55563DA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0.220</w:t>
            </w:r>
          </w:p>
        </w:tc>
        <w:tc>
          <w:tcPr>
            <w:tcW w:w="1860" w:type="dxa"/>
            <w:tcBorders>
              <w:top w:val="nil"/>
              <w:left w:val="nil"/>
              <w:bottom w:val="nil"/>
              <w:right w:val="nil"/>
            </w:tcBorders>
            <w:tcMar>
              <w:top w:w="60" w:type="dxa"/>
              <w:left w:w="100" w:type="dxa"/>
              <w:bottom w:w="60" w:type="dxa"/>
              <w:right w:w="100" w:type="dxa"/>
            </w:tcMar>
            <w:vAlign w:val="center"/>
          </w:tcPr>
          <w:p w14:paraId="01587A1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0.154</w:t>
            </w:r>
          </w:p>
        </w:tc>
      </w:tr>
      <w:tr w14:paraId="090C2FC3">
        <w:tc>
          <w:tcPr>
            <w:tcW w:w="2800" w:type="dxa"/>
            <w:tcBorders>
              <w:top w:val="nil"/>
              <w:left w:val="nil"/>
              <w:bottom w:val="nil"/>
              <w:right w:val="nil"/>
            </w:tcBorders>
            <w:tcMar>
              <w:top w:w="60" w:type="dxa"/>
              <w:left w:w="100" w:type="dxa"/>
              <w:bottom w:w="60" w:type="dxa"/>
              <w:right w:w="100" w:type="dxa"/>
            </w:tcMar>
            <w:vAlign w:val="center"/>
          </w:tcPr>
          <w:p w14:paraId="323912E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High (&gt; 2.5, median 4.89)</w:t>
            </w:r>
          </w:p>
        </w:tc>
        <w:tc>
          <w:tcPr>
            <w:tcW w:w="1100" w:type="dxa"/>
            <w:tcBorders>
              <w:top w:val="nil"/>
              <w:left w:val="nil"/>
              <w:bottom w:val="nil"/>
              <w:right w:val="nil"/>
            </w:tcBorders>
            <w:tcMar>
              <w:top w:w="60" w:type="dxa"/>
              <w:left w:w="100" w:type="dxa"/>
              <w:bottom w:w="60" w:type="dxa"/>
              <w:right w:w="100" w:type="dxa"/>
            </w:tcMar>
            <w:vAlign w:val="center"/>
          </w:tcPr>
          <w:p w14:paraId="7D7C7F7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1,630</w:t>
            </w:r>
          </w:p>
        </w:tc>
        <w:tc>
          <w:tcPr>
            <w:tcW w:w="1800" w:type="dxa"/>
            <w:tcBorders>
              <w:top w:val="nil"/>
              <w:left w:val="nil"/>
              <w:bottom w:val="nil"/>
              <w:right w:val="nil"/>
            </w:tcBorders>
            <w:tcMar>
              <w:top w:w="60" w:type="dxa"/>
              <w:left w:w="100" w:type="dxa"/>
              <w:bottom w:w="60" w:type="dxa"/>
              <w:right w:w="100" w:type="dxa"/>
            </w:tcMar>
            <w:vAlign w:val="center"/>
          </w:tcPr>
          <w:p w14:paraId="76FDB49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0.444</w:t>
            </w:r>
          </w:p>
        </w:tc>
        <w:tc>
          <w:tcPr>
            <w:tcW w:w="1800" w:type="dxa"/>
            <w:tcBorders>
              <w:top w:val="nil"/>
              <w:left w:val="nil"/>
              <w:bottom w:val="nil"/>
              <w:right w:val="nil"/>
            </w:tcBorders>
            <w:tcMar>
              <w:top w:w="60" w:type="dxa"/>
              <w:left w:w="100" w:type="dxa"/>
              <w:bottom w:w="60" w:type="dxa"/>
              <w:right w:w="100" w:type="dxa"/>
            </w:tcMar>
            <w:vAlign w:val="center"/>
          </w:tcPr>
          <w:p w14:paraId="18C405C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0.281</w:t>
            </w:r>
          </w:p>
        </w:tc>
        <w:tc>
          <w:tcPr>
            <w:tcW w:w="1860" w:type="dxa"/>
            <w:tcBorders>
              <w:top w:val="nil"/>
              <w:left w:val="nil"/>
              <w:bottom w:val="nil"/>
              <w:right w:val="nil"/>
            </w:tcBorders>
            <w:tcMar>
              <w:top w:w="60" w:type="dxa"/>
              <w:left w:w="100" w:type="dxa"/>
              <w:bottom w:w="60" w:type="dxa"/>
              <w:right w:w="100" w:type="dxa"/>
            </w:tcMar>
            <w:vAlign w:val="center"/>
          </w:tcPr>
          <w:p w14:paraId="3C77898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0.151</w:t>
            </w:r>
          </w:p>
        </w:tc>
      </w:tr>
      <w:tr w14:paraId="0556CCC4">
        <w:tc>
          <w:tcPr>
            <w:tcW w:w="2800" w:type="dxa"/>
            <w:tcBorders>
              <w:top w:val="nil"/>
              <w:left w:val="nil"/>
              <w:bottom w:val="nil"/>
              <w:right w:val="nil"/>
            </w:tcBorders>
            <w:tcMar>
              <w:top w:w="60" w:type="dxa"/>
              <w:left w:w="100" w:type="dxa"/>
              <w:bottom w:w="60" w:type="dxa"/>
              <w:right w:w="100" w:type="dxa"/>
            </w:tcMar>
            <w:vAlign w:val="center"/>
          </w:tcPr>
          <w:p w14:paraId="11D46A3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iCs/>
                <w:sz w:val="20"/>
                <w:szCs w:val="20"/>
              </w:rPr>
              <w:t>Central venous pressure (mmHg), subset with recorded CVP (n = 2,376)</w:t>
            </w:r>
          </w:p>
        </w:tc>
        <w:tc>
          <w:tcPr>
            <w:tcW w:w="1100" w:type="dxa"/>
            <w:tcBorders>
              <w:top w:val="nil"/>
              <w:left w:val="nil"/>
              <w:bottom w:val="nil"/>
              <w:right w:val="nil"/>
            </w:tcBorders>
            <w:tcMar>
              <w:top w:w="60" w:type="dxa"/>
              <w:left w:w="100" w:type="dxa"/>
              <w:bottom w:w="60" w:type="dxa"/>
              <w:right w:w="100" w:type="dxa"/>
            </w:tcMar>
            <w:vAlign w:val="center"/>
          </w:tcPr>
          <w:p w14:paraId="01A78898">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00" w:type="dxa"/>
            <w:tcBorders>
              <w:top w:val="nil"/>
              <w:left w:val="nil"/>
              <w:bottom w:val="nil"/>
              <w:right w:val="nil"/>
            </w:tcBorders>
            <w:tcMar>
              <w:top w:w="60" w:type="dxa"/>
              <w:left w:w="100" w:type="dxa"/>
              <w:bottom w:w="60" w:type="dxa"/>
              <w:right w:w="100" w:type="dxa"/>
            </w:tcMar>
            <w:vAlign w:val="center"/>
          </w:tcPr>
          <w:p w14:paraId="76549146">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00" w:type="dxa"/>
            <w:tcBorders>
              <w:top w:val="nil"/>
              <w:left w:val="nil"/>
              <w:bottom w:val="nil"/>
              <w:right w:val="nil"/>
            </w:tcBorders>
            <w:tcMar>
              <w:top w:w="60" w:type="dxa"/>
              <w:left w:w="100" w:type="dxa"/>
              <w:bottom w:w="60" w:type="dxa"/>
              <w:right w:w="100" w:type="dxa"/>
            </w:tcMar>
            <w:vAlign w:val="center"/>
          </w:tcPr>
          <w:p w14:paraId="7F5A87EA">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60" w:type="dxa"/>
            <w:tcBorders>
              <w:top w:val="nil"/>
              <w:left w:val="nil"/>
              <w:bottom w:val="nil"/>
              <w:right w:val="nil"/>
            </w:tcBorders>
            <w:tcMar>
              <w:top w:w="60" w:type="dxa"/>
              <w:left w:w="100" w:type="dxa"/>
              <w:bottom w:w="60" w:type="dxa"/>
              <w:right w:w="100" w:type="dxa"/>
            </w:tcMar>
            <w:vAlign w:val="center"/>
          </w:tcPr>
          <w:p w14:paraId="078EFBB5">
            <w:pPr>
              <w:keepNext w:val="0"/>
              <w:keepLines w:val="0"/>
              <w:widowControl w:val="0"/>
              <w:kinsoku/>
              <w:wordWrap/>
              <w:overflowPunct/>
              <w:topLinePunct w:val="0"/>
              <w:autoSpaceDE/>
              <w:autoSpaceDN/>
              <w:bidi w:val="0"/>
              <w:adjustRightInd/>
              <w:snapToGrid/>
              <w:spacing w:line="480" w:lineRule="auto"/>
              <w:jc w:val="center"/>
              <w:textAlignment w:val="auto"/>
            </w:pPr>
          </w:p>
        </w:tc>
      </w:tr>
      <w:tr w14:paraId="4B93F4DC">
        <w:tc>
          <w:tcPr>
            <w:tcW w:w="2800" w:type="dxa"/>
            <w:tcBorders>
              <w:top w:val="nil"/>
              <w:left w:val="nil"/>
              <w:bottom w:val="nil"/>
              <w:right w:val="nil"/>
            </w:tcBorders>
            <w:tcMar>
              <w:top w:w="60" w:type="dxa"/>
              <w:left w:w="100" w:type="dxa"/>
              <w:bottom w:w="60" w:type="dxa"/>
              <w:right w:w="100" w:type="dxa"/>
            </w:tcMar>
            <w:vAlign w:val="center"/>
          </w:tcPr>
          <w:p w14:paraId="5B4B666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Low (&lt; 8, median 5.4)</w:t>
            </w:r>
          </w:p>
        </w:tc>
        <w:tc>
          <w:tcPr>
            <w:tcW w:w="1100" w:type="dxa"/>
            <w:tcBorders>
              <w:top w:val="nil"/>
              <w:left w:val="nil"/>
              <w:bottom w:val="nil"/>
              <w:right w:val="nil"/>
            </w:tcBorders>
            <w:tcMar>
              <w:top w:w="60" w:type="dxa"/>
              <w:left w:w="100" w:type="dxa"/>
              <w:bottom w:w="60" w:type="dxa"/>
              <w:right w:w="100" w:type="dxa"/>
            </w:tcMar>
            <w:vAlign w:val="center"/>
          </w:tcPr>
          <w:p w14:paraId="3E4C241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628</w:t>
            </w:r>
          </w:p>
        </w:tc>
        <w:tc>
          <w:tcPr>
            <w:tcW w:w="1800" w:type="dxa"/>
            <w:tcBorders>
              <w:top w:val="nil"/>
              <w:left w:val="nil"/>
              <w:bottom w:val="nil"/>
              <w:right w:val="nil"/>
            </w:tcBorders>
            <w:tcMar>
              <w:top w:w="60" w:type="dxa"/>
              <w:left w:w="100" w:type="dxa"/>
              <w:bottom w:w="60" w:type="dxa"/>
              <w:right w:w="100" w:type="dxa"/>
            </w:tcMar>
            <w:vAlign w:val="center"/>
          </w:tcPr>
          <w:p w14:paraId="30B7598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0.237</w:t>
            </w:r>
          </w:p>
        </w:tc>
        <w:tc>
          <w:tcPr>
            <w:tcW w:w="1800" w:type="dxa"/>
            <w:tcBorders>
              <w:top w:val="nil"/>
              <w:left w:val="nil"/>
              <w:bottom w:val="nil"/>
              <w:right w:val="nil"/>
            </w:tcBorders>
            <w:tcMar>
              <w:top w:w="60" w:type="dxa"/>
              <w:left w:w="100" w:type="dxa"/>
              <w:bottom w:w="60" w:type="dxa"/>
              <w:right w:w="100" w:type="dxa"/>
            </w:tcMar>
            <w:vAlign w:val="center"/>
          </w:tcPr>
          <w:p w14:paraId="5B2654F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0.198</w:t>
            </w:r>
          </w:p>
        </w:tc>
        <w:tc>
          <w:tcPr>
            <w:tcW w:w="1860" w:type="dxa"/>
            <w:tcBorders>
              <w:top w:val="nil"/>
              <w:left w:val="nil"/>
              <w:bottom w:val="nil"/>
              <w:right w:val="nil"/>
            </w:tcBorders>
            <w:tcMar>
              <w:top w:w="60" w:type="dxa"/>
              <w:left w:w="100" w:type="dxa"/>
              <w:bottom w:w="60" w:type="dxa"/>
              <w:right w:w="100" w:type="dxa"/>
            </w:tcMar>
            <w:vAlign w:val="center"/>
          </w:tcPr>
          <w:p w14:paraId="44C7FB1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0.143</w:t>
            </w:r>
          </w:p>
        </w:tc>
      </w:tr>
      <w:tr w14:paraId="3F1CEE46">
        <w:tc>
          <w:tcPr>
            <w:tcW w:w="2800" w:type="dxa"/>
            <w:tcBorders>
              <w:top w:val="nil"/>
              <w:left w:val="nil"/>
              <w:bottom w:val="nil"/>
              <w:right w:val="nil"/>
            </w:tcBorders>
            <w:tcMar>
              <w:top w:w="60" w:type="dxa"/>
              <w:left w:w="100" w:type="dxa"/>
              <w:bottom w:w="60" w:type="dxa"/>
              <w:right w:w="100" w:type="dxa"/>
            </w:tcMar>
            <w:vAlign w:val="center"/>
          </w:tcPr>
          <w:p w14:paraId="1F8A966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Mid (8–12, median 10.6)</w:t>
            </w:r>
          </w:p>
        </w:tc>
        <w:tc>
          <w:tcPr>
            <w:tcW w:w="1100" w:type="dxa"/>
            <w:tcBorders>
              <w:top w:val="nil"/>
              <w:left w:val="nil"/>
              <w:bottom w:val="nil"/>
              <w:right w:val="nil"/>
            </w:tcBorders>
            <w:tcMar>
              <w:top w:w="60" w:type="dxa"/>
              <w:left w:w="100" w:type="dxa"/>
              <w:bottom w:w="60" w:type="dxa"/>
              <w:right w:w="100" w:type="dxa"/>
            </w:tcMar>
            <w:vAlign w:val="center"/>
          </w:tcPr>
          <w:p w14:paraId="7A3DCE5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698</w:t>
            </w:r>
          </w:p>
        </w:tc>
        <w:tc>
          <w:tcPr>
            <w:tcW w:w="1800" w:type="dxa"/>
            <w:tcBorders>
              <w:top w:val="nil"/>
              <w:left w:val="nil"/>
              <w:bottom w:val="nil"/>
              <w:right w:val="nil"/>
            </w:tcBorders>
            <w:tcMar>
              <w:top w:w="60" w:type="dxa"/>
              <w:left w:w="100" w:type="dxa"/>
              <w:bottom w:w="60" w:type="dxa"/>
              <w:right w:w="100" w:type="dxa"/>
            </w:tcMar>
            <w:vAlign w:val="center"/>
          </w:tcPr>
          <w:p w14:paraId="7DF973C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0.361</w:t>
            </w:r>
          </w:p>
        </w:tc>
        <w:tc>
          <w:tcPr>
            <w:tcW w:w="1800" w:type="dxa"/>
            <w:tcBorders>
              <w:top w:val="nil"/>
              <w:left w:val="nil"/>
              <w:bottom w:val="nil"/>
              <w:right w:val="nil"/>
            </w:tcBorders>
            <w:tcMar>
              <w:top w:w="60" w:type="dxa"/>
              <w:left w:w="100" w:type="dxa"/>
              <w:bottom w:w="60" w:type="dxa"/>
              <w:right w:w="100" w:type="dxa"/>
            </w:tcMar>
            <w:vAlign w:val="center"/>
          </w:tcPr>
          <w:p w14:paraId="18FA4BA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0.237</w:t>
            </w:r>
          </w:p>
        </w:tc>
        <w:tc>
          <w:tcPr>
            <w:tcW w:w="1860" w:type="dxa"/>
            <w:tcBorders>
              <w:top w:val="nil"/>
              <w:left w:val="nil"/>
              <w:bottom w:val="nil"/>
              <w:right w:val="nil"/>
            </w:tcBorders>
            <w:tcMar>
              <w:top w:w="60" w:type="dxa"/>
              <w:left w:w="100" w:type="dxa"/>
              <w:bottom w:w="60" w:type="dxa"/>
              <w:right w:w="100" w:type="dxa"/>
            </w:tcMar>
            <w:vAlign w:val="center"/>
          </w:tcPr>
          <w:p w14:paraId="0CC1DC1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0.149</w:t>
            </w:r>
          </w:p>
        </w:tc>
      </w:tr>
      <w:tr w14:paraId="10B96C02">
        <w:tc>
          <w:tcPr>
            <w:tcW w:w="2800" w:type="dxa"/>
            <w:tcBorders>
              <w:top w:val="nil"/>
              <w:left w:val="nil"/>
              <w:bottom w:val="nil"/>
              <w:right w:val="nil"/>
            </w:tcBorders>
            <w:tcMar>
              <w:top w:w="60" w:type="dxa"/>
              <w:left w:w="100" w:type="dxa"/>
              <w:bottom w:w="60" w:type="dxa"/>
              <w:right w:w="100" w:type="dxa"/>
            </w:tcMar>
            <w:vAlign w:val="center"/>
          </w:tcPr>
          <w:p w14:paraId="31E2290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High (&gt; 12, median 17.2)</w:t>
            </w:r>
          </w:p>
        </w:tc>
        <w:tc>
          <w:tcPr>
            <w:tcW w:w="1100" w:type="dxa"/>
            <w:tcBorders>
              <w:top w:val="nil"/>
              <w:left w:val="nil"/>
              <w:bottom w:val="nil"/>
              <w:right w:val="nil"/>
            </w:tcBorders>
            <w:tcMar>
              <w:top w:w="60" w:type="dxa"/>
              <w:left w:w="100" w:type="dxa"/>
              <w:bottom w:w="60" w:type="dxa"/>
              <w:right w:w="100" w:type="dxa"/>
            </w:tcMar>
            <w:vAlign w:val="center"/>
          </w:tcPr>
          <w:p w14:paraId="20FBA5C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1,050</w:t>
            </w:r>
          </w:p>
        </w:tc>
        <w:tc>
          <w:tcPr>
            <w:tcW w:w="1800" w:type="dxa"/>
            <w:tcBorders>
              <w:top w:val="nil"/>
              <w:left w:val="nil"/>
              <w:bottom w:val="nil"/>
              <w:right w:val="nil"/>
            </w:tcBorders>
            <w:tcMar>
              <w:top w:w="60" w:type="dxa"/>
              <w:left w:w="100" w:type="dxa"/>
              <w:bottom w:w="60" w:type="dxa"/>
              <w:right w:w="100" w:type="dxa"/>
            </w:tcMar>
            <w:vAlign w:val="center"/>
          </w:tcPr>
          <w:p w14:paraId="1721042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0.360</w:t>
            </w:r>
          </w:p>
        </w:tc>
        <w:tc>
          <w:tcPr>
            <w:tcW w:w="1800" w:type="dxa"/>
            <w:tcBorders>
              <w:top w:val="nil"/>
              <w:left w:val="nil"/>
              <w:bottom w:val="nil"/>
              <w:right w:val="nil"/>
            </w:tcBorders>
            <w:tcMar>
              <w:top w:w="60" w:type="dxa"/>
              <w:left w:w="100" w:type="dxa"/>
              <w:bottom w:w="60" w:type="dxa"/>
              <w:right w:w="100" w:type="dxa"/>
            </w:tcMar>
            <w:vAlign w:val="center"/>
          </w:tcPr>
          <w:p w14:paraId="10DEC55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0.248</w:t>
            </w:r>
          </w:p>
        </w:tc>
        <w:tc>
          <w:tcPr>
            <w:tcW w:w="1860" w:type="dxa"/>
            <w:tcBorders>
              <w:top w:val="nil"/>
              <w:left w:val="nil"/>
              <w:bottom w:val="nil"/>
              <w:right w:val="nil"/>
            </w:tcBorders>
            <w:tcMar>
              <w:top w:w="60" w:type="dxa"/>
              <w:left w:w="100" w:type="dxa"/>
              <w:bottom w:w="60" w:type="dxa"/>
              <w:right w:w="100" w:type="dxa"/>
            </w:tcMar>
            <w:vAlign w:val="center"/>
          </w:tcPr>
          <w:p w14:paraId="2046504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0.151</w:t>
            </w:r>
          </w:p>
        </w:tc>
      </w:tr>
      <w:tr w14:paraId="56855A1D">
        <w:tc>
          <w:tcPr>
            <w:tcW w:w="2800" w:type="dxa"/>
            <w:tcBorders>
              <w:top w:val="nil"/>
              <w:left w:val="nil"/>
              <w:bottom w:val="nil"/>
              <w:right w:val="nil"/>
            </w:tcBorders>
            <w:tcMar>
              <w:top w:w="60" w:type="dxa"/>
              <w:left w:w="100" w:type="dxa"/>
              <w:bottom w:w="60" w:type="dxa"/>
              <w:right w:w="100" w:type="dxa"/>
            </w:tcMar>
            <w:vAlign w:val="center"/>
          </w:tcPr>
          <w:p w14:paraId="595EDDA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i/>
                <w:iCs/>
                <w:sz w:val="20"/>
                <w:szCs w:val="20"/>
              </w:rPr>
              <w:t>Congestive heart failure status</w:t>
            </w:r>
          </w:p>
        </w:tc>
        <w:tc>
          <w:tcPr>
            <w:tcW w:w="1100" w:type="dxa"/>
            <w:tcBorders>
              <w:top w:val="nil"/>
              <w:left w:val="nil"/>
              <w:bottom w:val="nil"/>
              <w:right w:val="nil"/>
            </w:tcBorders>
            <w:tcMar>
              <w:top w:w="60" w:type="dxa"/>
              <w:left w:w="100" w:type="dxa"/>
              <w:bottom w:w="60" w:type="dxa"/>
              <w:right w:w="100" w:type="dxa"/>
            </w:tcMar>
            <w:vAlign w:val="center"/>
          </w:tcPr>
          <w:p w14:paraId="7604AE48">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00" w:type="dxa"/>
            <w:tcBorders>
              <w:top w:val="nil"/>
              <w:left w:val="nil"/>
              <w:bottom w:val="nil"/>
              <w:right w:val="nil"/>
            </w:tcBorders>
            <w:tcMar>
              <w:top w:w="60" w:type="dxa"/>
              <w:left w:w="100" w:type="dxa"/>
              <w:bottom w:w="60" w:type="dxa"/>
              <w:right w:w="100" w:type="dxa"/>
            </w:tcMar>
            <w:vAlign w:val="center"/>
          </w:tcPr>
          <w:p w14:paraId="6573BDAC">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00" w:type="dxa"/>
            <w:tcBorders>
              <w:top w:val="nil"/>
              <w:left w:val="nil"/>
              <w:bottom w:val="nil"/>
              <w:right w:val="nil"/>
            </w:tcBorders>
            <w:tcMar>
              <w:top w:w="60" w:type="dxa"/>
              <w:left w:w="100" w:type="dxa"/>
              <w:bottom w:w="60" w:type="dxa"/>
              <w:right w:w="100" w:type="dxa"/>
            </w:tcMar>
            <w:vAlign w:val="center"/>
          </w:tcPr>
          <w:p w14:paraId="10843DE4">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860" w:type="dxa"/>
            <w:tcBorders>
              <w:top w:val="nil"/>
              <w:left w:val="nil"/>
              <w:bottom w:val="nil"/>
              <w:right w:val="nil"/>
            </w:tcBorders>
            <w:tcMar>
              <w:top w:w="60" w:type="dxa"/>
              <w:left w:w="100" w:type="dxa"/>
              <w:bottom w:w="60" w:type="dxa"/>
              <w:right w:w="100" w:type="dxa"/>
            </w:tcMar>
            <w:vAlign w:val="center"/>
          </w:tcPr>
          <w:p w14:paraId="3446A5BF">
            <w:pPr>
              <w:keepNext w:val="0"/>
              <w:keepLines w:val="0"/>
              <w:widowControl w:val="0"/>
              <w:kinsoku/>
              <w:wordWrap/>
              <w:overflowPunct/>
              <w:topLinePunct w:val="0"/>
              <w:autoSpaceDE/>
              <w:autoSpaceDN/>
              <w:bidi w:val="0"/>
              <w:adjustRightInd/>
              <w:snapToGrid/>
              <w:spacing w:line="480" w:lineRule="auto"/>
              <w:jc w:val="center"/>
              <w:textAlignment w:val="auto"/>
            </w:pPr>
          </w:p>
        </w:tc>
      </w:tr>
      <w:tr w14:paraId="316532A6">
        <w:tc>
          <w:tcPr>
            <w:tcW w:w="2800" w:type="dxa"/>
            <w:tcBorders>
              <w:top w:val="nil"/>
              <w:left w:val="nil"/>
              <w:bottom w:val="nil"/>
              <w:right w:val="nil"/>
            </w:tcBorders>
            <w:tcMar>
              <w:top w:w="60" w:type="dxa"/>
              <w:left w:w="100" w:type="dxa"/>
              <w:bottom w:w="60" w:type="dxa"/>
              <w:right w:w="100" w:type="dxa"/>
            </w:tcMar>
            <w:vAlign w:val="center"/>
          </w:tcPr>
          <w:p w14:paraId="4AC9DAC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Absent</w:t>
            </w:r>
          </w:p>
        </w:tc>
        <w:tc>
          <w:tcPr>
            <w:tcW w:w="1100" w:type="dxa"/>
            <w:tcBorders>
              <w:top w:val="nil"/>
              <w:left w:val="nil"/>
              <w:bottom w:val="nil"/>
              <w:right w:val="nil"/>
            </w:tcBorders>
            <w:tcMar>
              <w:top w:w="60" w:type="dxa"/>
              <w:left w:w="100" w:type="dxa"/>
              <w:bottom w:w="60" w:type="dxa"/>
              <w:right w:w="100" w:type="dxa"/>
            </w:tcMar>
            <w:vAlign w:val="center"/>
          </w:tcPr>
          <w:p w14:paraId="02DB653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4,545</w:t>
            </w:r>
          </w:p>
        </w:tc>
        <w:tc>
          <w:tcPr>
            <w:tcW w:w="1800" w:type="dxa"/>
            <w:tcBorders>
              <w:top w:val="nil"/>
              <w:left w:val="nil"/>
              <w:bottom w:val="nil"/>
              <w:right w:val="nil"/>
            </w:tcBorders>
            <w:tcMar>
              <w:top w:w="60" w:type="dxa"/>
              <w:left w:w="100" w:type="dxa"/>
              <w:bottom w:w="60" w:type="dxa"/>
              <w:right w:w="100" w:type="dxa"/>
            </w:tcMar>
            <w:vAlign w:val="center"/>
          </w:tcPr>
          <w:p w14:paraId="3C0CBF3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0.360</w:t>
            </w:r>
          </w:p>
        </w:tc>
        <w:tc>
          <w:tcPr>
            <w:tcW w:w="1800" w:type="dxa"/>
            <w:tcBorders>
              <w:top w:val="nil"/>
              <w:left w:val="nil"/>
              <w:bottom w:val="nil"/>
              <w:right w:val="nil"/>
            </w:tcBorders>
            <w:tcMar>
              <w:top w:w="60" w:type="dxa"/>
              <w:left w:w="100" w:type="dxa"/>
              <w:bottom w:w="60" w:type="dxa"/>
              <w:right w:w="100" w:type="dxa"/>
            </w:tcMar>
            <w:vAlign w:val="center"/>
          </w:tcPr>
          <w:p w14:paraId="0F7BEA7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0.233</w:t>
            </w:r>
          </w:p>
        </w:tc>
        <w:tc>
          <w:tcPr>
            <w:tcW w:w="1860" w:type="dxa"/>
            <w:tcBorders>
              <w:top w:val="nil"/>
              <w:left w:val="nil"/>
              <w:bottom w:val="nil"/>
              <w:right w:val="nil"/>
            </w:tcBorders>
            <w:tcMar>
              <w:top w:w="60" w:type="dxa"/>
              <w:left w:w="100" w:type="dxa"/>
              <w:bottom w:w="60" w:type="dxa"/>
              <w:right w:w="100" w:type="dxa"/>
            </w:tcMar>
            <w:vAlign w:val="center"/>
          </w:tcPr>
          <w:p w14:paraId="5199576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0.150</w:t>
            </w:r>
          </w:p>
        </w:tc>
      </w:tr>
      <w:tr w14:paraId="0A32B8FA">
        <w:tc>
          <w:tcPr>
            <w:tcW w:w="2800" w:type="dxa"/>
            <w:tcBorders>
              <w:top w:val="nil"/>
              <w:left w:val="nil"/>
              <w:bottom w:val="single" w:color="000000" w:sz="12" w:space="0"/>
              <w:right w:val="nil"/>
            </w:tcBorders>
            <w:tcMar>
              <w:top w:w="60" w:type="dxa"/>
              <w:left w:w="100" w:type="dxa"/>
              <w:bottom w:w="60" w:type="dxa"/>
              <w:right w:w="100" w:type="dxa"/>
            </w:tcMar>
            <w:vAlign w:val="center"/>
          </w:tcPr>
          <w:p w14:paraId="1890871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Present</w:t>
            </w:r>
          </w:p>
        </w:tc>
        <w:tc>
          <w:tcPr>
            <w:tcW w:w="1100" w:type="dxa"/>
            <w:tcBorders>
              <w:top w:val="nil"/>
              <w:left w:val="nil"/>
              <w:bottom w:val="single" w:color="000000" w:sz="12" w:space="0"/>
              <w:right w:val="nil"/>
            </w:tcBorders>
            <w:tcMar>
              <w:top w:w="60" w:type="dxa"/>
              <w:left w:w="100" w:type="dxa"/>
              <w:bottom w:w="60" w:type="dxa"/>
              <w:right w:w="100" w:type="dxa"/>
            </w:tcMar>
            <w:vAlign w:val="center"/>
          </w:tcPr>
          <w:p w14:paraId="09315A3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2,214</w:t>
            </w:r>
          </w:p>
        </w:tc>
        <w:tc>
          <w:tcPr>
            <w:tcW w:w="1800" w:type="dxa"/>
            <w:tcBorders>
              <w:top w:val="nil"/>
              <w:left w:val="nil"/>
              <w:bottom w:val="single" w:color="000000" w:sz="12" w:space="0"/>
              <w:right w:val="nil"/>
            </w:tcBorders>
            <w:tcMar>
              <w:top w:w="60" w:type="dxa"/>
              <w:left w:w="100" w:type="dxa"/>
              <w:bottom w:w="60" w:type="dxa"/>
              <w:right w:w="100" w:type="dxa"/>
            </w:tcMar>
            <w:vAlign w:val="center"/>
          </w:tcPr>
          <w:p w14:paraId="645E574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0.420</w:t>
            </w:r>
          </w:p>
        </w:tc>
        <w:tc>
          <w:tcPr>
            <w:tcW w:w="1800" w:type="dxa"/>
            <w:tcBorders>
              <w:top w:val="nil"/>
              <w:left w:val="nil"/>
              <w:bottom w:val="single" w:color="000000" w:sz="12" w:space="0"/>
              <w:right w:val="nil"/>
            </w:tcBorders>
            <w:tcMar>
              <w:top w:w="60" w:type="dxa"/>
              <w:left w:w="100" w:type="dxa"/>
              <w:bottom w:w="60" w:type="dxa"/>
              <w:right w:w="100" w:type="dxa"/>
            </w:tcMar>
            <w:vAlign w:val="center"/>
          </w:tcPr>
          <w:p w14:paraId="22358C3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0.220</w:t>
            </w:r>
          </w:p>
        </w:tc>
        <w:tc>
          <w:tcPr>
            <w:tcW w:w="1860" w:type="dxa"/>
            <w:tcBorders>
              <w:top w:val="nil"/>
              <w:left w:val="nil"/>
              <w:bottom w:val="single" w:color="000000" w:sz="12" w:space="0"/>
              <w:right w:val="nil"/>
            </w:tcBorders>
            <w:tcMar>
              <w:top w:w="60" w:type="dxa"/>
              <w:left w:w="100" w:type="dxa"/>
              <w:bottom w:w="60" w:type="dxa"/>
              <w:right w:w="100" w:type="dxa"/>
            </w:tcMar>
            <w:vAlign w:val="center"/>
          </w:tcPr>
          <w:p w14:paraId="0B9F806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val="0"/>
                <w:bCs w:val="0"/>
                <w:i w:val="0"/>
                <w:iCs w:val="0"/>
                <w:sz w:val="20"/>
                <w:szCs w:val="20"/>
              </w:rPr>
              <w:t>0.162</w:t>
            </w:r>
          </w:p>
        </w:tc>
      </w:tr>
    </w:tbl>
    <w:p w14:paraId="5FC658DD">
      <w:pPr>
        <w:keepNext w:val="0"/>
        <w:keepLines w:val="0"/>
        <w:widowControl w:val="0"/>
        <w:kinsoku/>
        <w:wordWrap/>
        <w:overflowPunct/>
        <w:topLinePunct w:val="0"/>
        <w:autoSpaceDE/>
        <w:autoSpaceDN/>
        <w:bidi w:val="0"/>
        <w:adjustRightInd/>
        <w:snapToGrid/>
        <w:spacing w:before="60" w:after="120" w:line="480" w:lineRule="auto"/>
        <w:textAlignment w:val="auto"/>
      </w:pPr>
      <w:r>
        <w:rPr>
          <w:rFonts w:ascii="Times New Roman" w:hAnsi="Times New Roman" w:eastAsia="Times New Roman" w:cs="Times New Roman"/>
          <w:i/>
          <w:iCs/>
          <w:sz w:val="20"/>
          <w:szCs w:val="20"/>
        </w:rPr>
        <w:t>Event rates are unadjusted proportions of the primary composite outcome within each stratum, by treatment arm in the unmatched cohort. Mean CATE values are arithmetic means of the patient-level conditional average treatment effect estimates from the causal forest, restricted to patients within each stratum. The lactate stratification (n = 5,471) and the CVP stratification (n = 2,376) used observed values only and excluded patients with missing measurements; the BUN, albumin, chloride, and potassium stratifications used the post-imputation values (with the cohort median substituted for missing observations, consistent with the primary analysis covariate set). For albumin in particular, which had high pre-imputation missingness (68.4 percent; Supplementary Table S4), the size of the mid stratum (2.5–3.5 g/dL) is inflated by imputation-to-median to a degree that the stratum is no longer a clean representation of observed albumin; the albumin stratification is therefore reported for completeness only and should not be regarded as inferential evidence about an albumin-defined patient phenotype. Cut points: BUN by sample quartile; albumin (&lt; 2.5, 2.5–3.5, &gt; 3.5 g/dL); chloride (&lt; 98, 98–106, &gt; 106 mEq/L); potassium (&lt; 3.5, 3.5–5.0, &gt; 5.0 mEq/L); lactate (&lt; 1.5, 1.5–2.5, &gt; 2.5 mmol/L); CVP (&lt; 8, 8–12, &gt; 12 mmHg); CHF as a binary indicator from the diagnostic record.</w:t>
      </w:r>
    </w:p>
    <w:p w14:paraId="62F6D4C1">
      <w:pPr>
        <w:keepNext w:val="0"/>
        <w:keepLines w:val="0"/>
        <w:widowControl w:val="0"/>
        <w:kinsoku/>
        <w:wordWrap/>
        <w:overflowPunct/>
        <w:topLinePunct w:val="0"/>
        <w:autoSpaceDE/>
        <w:autoSpaceDN/>
        <w:bidi w:val="0"/>
        <w:adjustRightInd/>
        <w:snapToGrid/>
        <w:spacing w:line="480" w:lineRule="auto"/>
        <w:textAlignment w:val="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Supplementary Table S6. Baseline characteristics of the unmatched eICU-CRD external validation cohort, by treatment assignment.</w:t>
      </w:r>
    </w:p>
    <w:tbl>
      <w:tblPr>
        <w:tblStyle w:val="11"/>
        <w:tblW w:w="822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3118"/>
        <w:gridCol w:w="1701"/>
        <w:gridCol w:w="1701"/>
        <w:gridCol w:w="1701"/>
      </w:tblGrid>
      <w:tr w14:paraId="024FCFCE">
        <w:tc>
          <w:tcPr>
            <w:tcW w:w="3118" w:type="dxa"/>
            <w:tcBorders>
              <w:top w:val="single" w:color="000000" w:sz="12" w:space="0"/>
              <w:left w:val="nil"/>
              <w:bottom w:val="single" w:color="000000" w:sz="6" w:space="0"/>
              <w:right w:val="nil"/>
            </w:tcBorders>
            <w:vAlign w:val="center"/>
          </w:tcPr>
          <w:p w14:paraId="2B36B93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sz w:val="20"/>
                <w:szCs w:val="20"/>
              </w:rPr>
              <w:t>Characteristic</w:t>
            </w:r>
          </w:p>
        </w:tc>
        <w:tc>
          <w:tcPr>
            <w:tcW w:w="1701" w:type="dxa"/>
            <w:tcBorders>
              <w:top w:val="single" w:color="000000" w:sz="12" w:space="0"/>
              <w:left w:val="nil"/>
              <w:bottom w:val="single" w:color="000000" w:sz="6" w:space="0"/>
              <w:right w:val="nil"/>
            </w:tcBorders>
            <w:vAlign w:val="center"/>
          </w:tcPr>
          <w:p w14:paraId="4EBB8B7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sz w:val="20"/>
                <w:szCs w:val="20"/>
              </w:rPr>
              <w:t>Overall (N = 7,137)</w:t>
            </w:r>
          </w:p>
        </w:tc>
        <w:tc>
          <w:tcPr>
            <w:tcW w:w="1701" w:type="dxa"/>
            <w:tcBorders>
              <w:top w:val="single" w:color="000000" w:sz="12" w:space="0"/>
              <w:left w:val="nil"/>
              <w:bottom w:val="single" w:color="000000" w:sz="6" w:space="0"/>
              <w:right w:val="nil"/>
            </w:tcBorders>
            <w:vAlign w:val="center"/>
          </w:tcPr>
          <w:p w14:paraId="694F17A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sz w:val="20"/>
                <w:szCs w:val="20"/>
              </w:rPr>
              <w:t>Control (N = 6,362)</w:t>
            </w:r>
          </w:p>
        </w:tc>
        <w:tc>
          <w:tcPr>
            <w:tcW w:w="1701" w:type="dxa"/>
            <w:tcBorders>
              <w:top w:val="single" w:color="000000" w:sz="12" w:space="0"/>
              <w:left w:val="nil"/>
              <w:bottom w:val="single" w:color="000000" w:sz="6" w:space="0"/>
              <w:right w:val="nil"/>
            </w:tcBorders>
            <w:vAlign w:val="center"/>
          </w:tcPr>
          <w:p w14:paraId="31490AA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sz w:val="20"/>
                <w:szCs w:val="20"/>
              </w:rPr>
              <w:t>Diuretic (N = 775)</w:t>
            </w:r>
          </w:p>
        </w:tc>
      </w:tr>
      <w:tr w14:paraId="44BA54EE">
        <w:tc>
          <w:tcPr>
            <w:tcW w:w="3118" w:type="dxa"/>
            <w:tcBorders>
              <w:top w:val="nil"/>
              <w:left w:val="nil"/>
              <w:bottom w:val="nil"/>
              <w:right w:val="nil"/>
            </w:tcBorders>
            <w:vAlign w:val="center"/>
          </w:tcPr>
          <w:p w14:paraId="09DEC92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Demographics</w:t>
            </w:r>
          </w:p>
        </w:tc>
        <w:tc>
          <w:tcPr>
            <w:tcW w:w="1701" w:type="dxa"/>
            <w:tcBorders>
              <w:top w:val="nil"/>
              <w:left w:val="nil"/>
              <w:bottom w:val="nil"/>
              <w:right w:val="nil"/>
            </w:tcBorders>
            <w:vAlign w:val="center"/>
          </w:tcPr>
          <w:p w14:paraId="7C3BA948">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1" w:type="dxa"/>
            <w:tcBorders>
              <w:top w:val="nil"/>
              <w:left w:val="nil"/>
              <w:bottom w:val="nil"/>
              <w:right w:val="nil"/>
            </w:tcBorders>
            <w:vAlign w:val="center"/>
          </w:tcPr>
          <w:p w14:paraId="11A0807D">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1" w:type="dxa"/>
            <w:tcBorders>
              <w:top w:val="nil"/>
              <w:left w:val="nil"/>
              <w:bottom w:val="nil"/>
              <w:right w:val="nil"/>
            </w:tcBorders>
            <w:vAlign w:val="center"/>
          </w:tcPr>
          <w:p w14:paraId="378FB0FF">
            <w:pPr>
              <w:keepNext w:val="0"/>
              <w:keepLines w:val="0"/>
              <w:widowControl w:val="0"/>
              <w:kinsoku/>
              <w:wordWrap/>
              <w:overflowPunct/>
              <w:topLinePunct w:val="0"/>
              <w:autoSpaceDE/>
              <w:autoSpaceDN/>
              <w:bidi w:val="0"/>
              <w:adjustRightInd/>
              <w:snapToGrid/>
              <w:spacing w:line="480" w:lineRule="auto"/>
              <w:jc w:val="center"/>
              <w:textAlignment w:val="auto"/>
            </w:pPr>
          </w:p>
        </w:tc>
      </w:tr>
      <w:tr w14:paraId="17425F5E">
        <w:tc>
          <w:tcPr>
            <w:tcW w:w="3118" w:type="dxa"/>
            <w:tcBorders>
              <w:top w:val="nil"/>
              <w:left w:val="nil"/>
              <w:bottom w:val="nil"/>
              <w:right w:val="nil"/>
            </w:tcBorders>
            <w:vAlign w:val="center"/>
          </w:tcPr>
          <w:p w14:paraId="2935C55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Age, years</w:t>
            </w:r>
          </w:p>
        </w:tc>
        <w:tc>
          <w:tcPr>
            <w:tcW w:w="1701" w:type="dxa"/>
            <w:tcBorders>
              <w:top w:val="nil"/>
              <w:left w:val="nil"/>
              <w:bottom w:val="nil"/>
              <w:right w:val="nil"/>
            </w:tcBorders>
            <w:vAlign w:val="center"/>
          </w:tcPr>
          <w:p w14:paraId="7540D64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67 (56, 77)</w:t>
            </w:r>
          </w:p>
        </w:tc>
        <w:tc>
          <w:tcPr>
            <w:tcW w:w="1701" w:type="dxa"/>
            <w:tcBorders>
              <w:top w:val="nil"/>
              <w:left w:val="nil"/>
              <w:bottom w:val="nil"/>
              <w:right w:val="nil"/>
            </w:tcBorders>
            <w:vAlign w:val="center"/>
          </w:tcPr>
          <w:p w14:paraId="0C108E5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67 (56, 77)</w:t>
            </w:r>
          </w:p>
        </w:tc>
        <w:tc>
          <w:tcPr>
            <w:tcW w:w="1701" w:type="dxa"/>
            <w:tcBorders>
              <w:top w:val="nil"/>
              <w:left w:val="nil"/>
              <w:bottom w:val="nil"/>
              <w:right w:val="nil"/>
            </w:tcBorders>
            <w:vAlign w:val="center"/>
          </w:tcPr>
          <w:p w14:paraId="72377A0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68 (57, 77)</w:t>
            </w:r>
          </w:p>
        </w:tc>
      </w:tr>
      <w:tr w14:paraId="6C16D790">
        <w:tc>
          <w:tcPr>
            <w:tcW w:w="3118" w:type="dxa"/>
            <w:tcBorders>
              <w:top w:val="nil"/>
              <w:left w:val="nil"/>
              <w:bottom w:val="nil"/>
              <w:right w:val="nil"/>
            </w:tcBorders>
            <w:vAlign w:val="center"/>
          </w:tcPr>
          <w:p w14:paraId="11D1D14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Male sex, n (%)</w:t>
            </w:r>
          </w:p>
        </w:tc>
        <w:tc>
          <w:tcPr>
            <w:tcW w:w="1701" w:type="dxa"/>
            <w:tcBorders>
              <w:top w:val="nil"/>
              <w:left w:val="nil"/>
              <w:bottom w:val="nil"/>
              <w:right w:val="nil"/>
            </w:tcBorders>
            <w:vAlign w:val="center"/>
          </w:tcPr>
          <w:p w14:paraId="60FB799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3,933 (55.1)</w:t>
            </w:r>
          </w:p>
        </w:tc>
        <w:tc>
          <w:tcPr>
            <w:tcW w:w="1701" w:type="dxa"/>
            <w:tcBorders>
              <w:top w:val="nil"/>
              <w:left w:val="nil"/>
              <w:bottom w:val="nil"/>
              <w:right w:val="nil"/>
            </w:tcBorders>
            <w:vAlign w:val="center"/>
          </w:tcPr>
          <w:p w14:paraId="314A369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3,523 (55.4)</w:t>
            </w:r>
          </w:p>
        </w:tc>
        <w:tc>
          <w:tcPr>
            <w:tcW w:w="1701" w:type="dxa"/>
            <w:tcBorders>
              <w:top w:val="nil"/>
              <w:left w:val="nil"/>
              <w:bottom w:val="nil"/>
              <w:right w:val="nil"/>
            </w:tcBorders>
            <w:vAlign w:val="center"/>
          </w:tcPr>
          <w:p w14:paraId="7980374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410 (52.9)</w:t>
            </w:r>
          </w:p>
        </w:tc>
      </w:tr>
      <w:tr w14:paraId="535CF5DF">
        <w:tc>
          <w:tcPr>
            <w:tcW w:w="3118" w:type="dxa"/>
            <w:tcBorders>
              <w:top w:val="nil"/>
              <w:left w:val="nil"/>
              <w:bottom w:val="nil"/>
              <w:right w:val="nil"/>
            </w:tcBorders>
            <w:vAlign w:val="center"/>
          </w:tcPr>
          <w:p w14:paraId="65D038E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Weight, kg</w:t>
            </w:r>
          </w:p>
        </w:tc>
        <w:tc>
          <w:tcPr>
            <w:tcW w:w="1701" w:type="dxa"/>
            <w:tcBorders>
              <w:top w:val="nil"/>
              <w:left w:val="nil"/>
              <w:bottom w:val="nil"/>
              <w:right w:val="nil"/>
            </w:tcBorders>
            <w:vAlign w:val="center"/>
          </w:tcPr>
          <w:p w14:paraId="54B7E42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79.7 (66.0, 97.4)</w:t>
            </w:r>
          </w:p>
        </w:tc>
        <w:tc>
          <w:tcPr>
            <w:tcW w:w="1701" w:type="dxa"/>
            <w:tcBorders>
              <w:top w:val="nil"/>
              <w:left w:val="nil"/>
              <w:bottom w:val="nil"/>
              <w:right w:val="nil"/>
            </w:tcBorders>
            <w:vAlign w:val="center"/>
          </w:tcPr>
          <w:p w14:paraId="729C260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79.5 (66.0, 97.1)</w:t>
            </w:r>
          </w:p>
        </w:tc>
        <w:tc>
          <w:tcPr>
            <w:tcW w:w="1701" w:type="dxa"/>
            <w:tcBorders>
              <w:top w:val="nil"/>
              <w:left w:val="nil"/>
              <w:bottom w:val="nil"/>
              <w:right w:val="nil"/>
            </w:tcBorders>
            <w:vAlign w:val="center"/>
          </w:tcPr>
          <w:p w14:paraId="27EAD4E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81.8 (68.0, 99.2)</w:t>
            </w:r>
          </w:p>
        </w:tc>
      </w:tr>
      <w:tr w14:paraId="7C9781A1">
        <w:tc>
          <w:tcPr>
            <w:tcW w:w="3118" w:type="dxa"/>
            <w:tcBorders>
              <w:top w:val="nil"/>
              <w:left w:val="nil"/>
              <w:bottom w:val="nil"/>
              <w:right w:val="nil"/>
            </w:tcBorders>
            <w:vAlign w:val="center"/>
          </w:tcPr>
          <w:p w14:paraId="7D411A9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ICU and vasopressor context</w:t>
            </w:r>
          </w:p>
        </w:tc>
        <w:tc>
          <w:tcPr>
            <w:tcW w:w="1701" w:type="dxa"/>
            <w:tcBorders>
              <w:top w:val="nil"/>
              <w:left w:val="nil"/>
              <w:bottom w:val="nil"/>
              <w:right w:val="nil"/>
            </w:tcBorders>
            <w:vAlign w:val="center"/>
          </w:tcPr>
          <w:p w14:paraId="12BC8349">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1" w:type="dxa"/>
            <w:tcBorders>
              <w:top w:val="nil"/>
              <w:left w:val="nil"/>
              <w:bottom w:val="nil"/>
              <w:right w:val="nil"/>
            </w:tcBorders>
            <w:vAlign w:val="center"/>
          </w:tcPr>
          <w:p w14:paraId="6F8602AE">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1" w:type="dxa"/>
            <w:tcBorders>
              <w:top w:val="nil"/>
              <w:left w:val="nil"/>
              <w:bottom w:val="nil"/>
              <w:right w:val="nil"/>
            </w:tcBorders>
            <w:vAlign w:val="center"/>
          </w:tcPr>
          <w:p w14:paraId="7ADF788A">
            <w:pPr>
              <w:keepNext w:val="0"/>
              <w:keepLines w:val="0"/>
              <w:widowControl w:val="0"/>
              <w:kinsoku/>
              <w:wordWrap/>
              <w:overflowPunct/>
              <w:topLinePunct w:val="0"/>
              <w:autoSpaceDE/>
              <w:autoSpaceDN/>
              <w:bidi w:val="0"/>
              <w:adjustRightInd/>
              <w:snapToGrid/>
              <w:spacing w:line="480" w:lineRule="auto"/>
              <w:jc w:val="center"/>
              <w:textAlignment w:val="auto"/>
            </w:pPr>
          </w:p>
        </w:tc>
      </w:tr>
      <w:tr w14:paraId="482493D8">
        <w:tc>
          <w:tcPr>
            <w:tcW w:w="3118" w:type="dxa"/>
            <w:tcBorders>
              <w:top w:val="nil"/>
              <w:left w:val="nil"/>
              <w:bottom w:val="nil"/>
              <w:right w:val="nil"/>
            </w:tcBorders>
            <w:vAlign w:val="center"/>
          </w:tcPr>
          <w:p w14:paraId="0C3B09E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Hours since ICU admission</w:t>
            </w:r>
          </w:p>
        </w:tc>
        <w:tc>
          <w:tcPr>
            <w:tcW w:w="1701" w:type="dxa"/>
            <w:tcBorders>
              <w:top w:val="nil"/>
              <w:left w:val="nil"/>
              <w:bottom w:val="nil"/>
              <w:right w:val="nil"/>
            </w:tcBorders>
            <w:vAlign w:val="center"/>
          </w:tcPr>
          <w:p w14:paraId="0A1C643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20.6 (8.5, 43.7)</w:t>
            </w:r>
          </w:p>
        </w:tc>
        <w:tc>
          <w:tcPr>
            <w:tcW w:w="1701" w:type="dxa"/>
            <w:tcBorders>
              <w:top w:val="nil"/>
              <w:left w:val="nil"/>
              <w:bottom w:val="nil"/>
              <w:right w:val="nil"/>
            </w:tcBorders>
            <w:vAlign w:val="center"/>
          </w:tcPr>
          <w:p w14:paraId="08F3BA1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18.8 (7.9, 40.7)</w:t>
            </w:r>
          </w:p>
        </w:tc>
        <w:tc>
          <w:tcPr>
            <w:tcW w:w="1701" w:type="dxa"/>
            <w:tcBorders>
              <w:top w:val="nil"/>
              <w:left w:val="nil"/>
              <w:bottom w:val="nil"/>
              <w:right w:val="nil"/>
            </w:tcBorders>
            <w:vAlign w:val="center"/>
          </w:tcPr>
          <w:p w14:paraId="5B7B37C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37.8 (16.8, 68.1)</w:t>
            </w:r>
          </w:p>
        </w:tc>
      </w:tr>
      <w:tr w14:paraId="32BB9FAB">
        <w:tc>
          <w:tcPr>
            <w:tcW w:w="3118" w:type="dxa"/>
            <w:tcBorders>
              <w:top w:val="nil"/>
              <w:left w:val="nil"/>
              <w:bottom w:val="nil"/>
              <w:right w:val="nil"/>
            </w:tcBorders>
            <w:vAlign w:val="center"/>
          </w:tcPr>
          <w:p w14:paraId="5213E94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Hours since first norepinephrine</w:t>
            </w:r>
          </w:p>
        </w:tc>
        <w:tc>
          <w:tcPr>
            <w:tcW w:w="1701" w:type="dxa"/>
            <w:tcBorders>
              <w:top w:val="nil"/>
              <w:left w:val="nil"/>
              <w:bottom w:val="nil"/>
              <w:right w:val="nil"/>
            </w:tcBorders>
            <w:vAlign w:val="center"/>
          </w:tcPr>
          <w:p w14:paraId="463BB7E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12.4 (3.4, 31.5)</w:t>
            </w:r>
          </w:p>
        </w:tc>
        <w:tc>
          <w:tcPr>
            <w:tcW w:w="1701" w:type="dxa"/>
            <w:tcBorders>
              <w:top w:val="nil"/>
              <w:left w:val="nil"/>
              <w:bottom w:val="nil"/>
              <w:right w:val="nil"/>
            </w:tcBorders>
            <w:vAlign w:val="center"/>
          </w:tcPr>
          <w:p w14:paraId="58BF0D2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11.0 (3.0, 27.9)</w:t>
            </w:r>
          </w:p>
        </w:tc>
        <w:tc>
          <w:tcPr>
            <w:tcW w:w="1701" w:type="dxa"/>
            <w:tcBorders>
              <w:top w:val="nil"/>
              <w:left w:val="nil"/>
              <w:bottom w:val="nil"/>
              <w:right w:val="nil"/>
            </w:tcBorders>
            <w:vAlign w:val="center"/>
          </w:tcPr>
          <w:p w14:paraId="1210FEB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26.3 (10.4, 56.4)</w:t>
            </w:r>
          </w:p>
        </w:tc>
      </w:tr>
      <w:tr w14:paraId="1500EF6D">
        <w:tc>
          <w:tcPr>
            <w:tcW w:w="3118" w:type="dxa"/>
            <w:tcBorders>
              <w:top w:val="nil"/>
              <w:left w:val="nil"/>
              <w:bottom w:val="nil"/>
              <w:right w:val="nil"/>
            </w:tcBorders>
            <w:vAlign w:val="center"/>
          </w:tcPr>
          <w:p w14:paraId="58C39A3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Norepinephrine dose at index, μg/kg/min</w:t>
            </w:r>
          </w:p>
        </w:tc>
        <w:tc>
          <w:tcPr>
            <w:tcW w:w="1701" w:type="dxa"/>
            <w:tcBorders>
              <w:top w:val="nil"/>
              <w:left w:val="nil"/>
              <w:bottom w:val="nil"/>
              <w:right w:val="nil"/>
            </w:tcBorders>
            <w:vAlign w:val="center"/>
          </w:tcPr>
          <w:p w14:paraId="5C0C623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0.057 (0.026, 0.124)</w:t>
            </w:r>
          </w:p>
        </w:tc>
        <w:tc>
          <w:tcPr>
            <w:tcW w:w="1701" w:type="dxa"/>
            <w:tcBorders>
              <w:top w:val="nil"/>
              <w:left w:val="nil"/>
              <w:bottom w:val="nil"/>
              <w:right w:val="nil"/>
            </w:tcBorders>
            <w:vAlign w:val="center"/>
          </w:tcPr>
          <w:p w14:paraId="79E30E4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0.058 (0.027, 0.127)</w:t>
            </w:r>
          </w:p>
        </w:tc>
        <w:tc>
          <w:tcPr>
            <w:tcW w:w="1701" w:type="dxa"/>
            <w:tcBorders>
              <w:top w:val="nil"/>
              <w:left w:val="nil"/>
              <w:bottom w:val="nil"/>
              <w:right w:val="nil"/>
            </w:tcBorders>
            <w:vAlign w:val="center"/>
          </w:tcPr>
          <w:p w14:paraId="518A1A8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0.051 (0.023, 0.110)</w:t>
            </w:r>
          </w:p>
        </w:tc>
      </w:tr>
      <w:tr w14:paraId="76521D5D">
        <w:tc>
          <w:tcPr>
            <w:tcW w:w="3118" w:type="dxa"/>
            <w:tcBorders>
              <w:top w:val="nil"/>
              <w:left w:val="nil"/>
              <w:bottom w:val="nil"/>
              <w:right w:val="nil"/>
            </w:tcBorders>
            <w:vAlign w:val="center"/>
          </w:tcPr>
          <w:p w14:paraId="4CC44E7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Norepinephrine trajectory class, n (%)</w:t>
            </w:r>
          </w:p>
        </w:tc>
        <w:tc>
          <w:tcPr>
            <w:tcW w:w="1701" w:type="dxa"/>
            <w:tcBorders>
              <w:top w:val="nil"/>
              <w:left w:val="nil"/>
              <w:bottom w:val="nil"/>
              <w:right w:val="nil"/>
            </w:tcBorders>
            <w:vAlign w:val="center"/>
          </w:tcPr>
          <w:p w14:paraId="2F5D8674">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1" w:type="dxa"/>
            <w:tcBorders>
              <w:top w:val="nil"/>
              <w:left w:val="nil"/>
              <w:bottom w:val="nil"/>
              <w:right w:val="nil"/>
            </w:tcBorders>
            <w:vAlign w:val="center"/>
          </w:tcPr>
          <w:p w14:paraId="7DBE0125">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1" w:type="dxa"/>
            <w:tcBorders>
              <w:top w:val="nil"/>
              <w:left w:val="nil"/>
              <w:bottom w:val="nil"/>
              <w:right w:val="nil"/>
            </w:tcBorders>
            <w:vAlign w:val="center"/>
          </w:tcPr>
          <w:p w14:paraId="11B522BD">
            <w:pPr>
              <w:keepNext w:val="0"/>
              <w:keepLines w:val="0"/>
              <w:widowControl w:val="0"/>
              <w:kinsoku/>
              <w:wordWrap/>
              <w:overflowPunct/>
              <w:topLinePunct w:val="0"/>
              <w:autoSpaceDE/>
              <w:autoSpaceDN/>
              <w:bidi w:val="0"/>
              <w:adjustRightInd/>
              <w:snapToGrid/>
              <w:spacing w:line="480" w:lineRule="auto"/>
              <w:jc w:val="center"/>
              <w:textAlignment w:val="auto"/>
            </w:pPr>
          </w:p>
        </w:tc>
      </w:tr>
      <w:tr w14:paraId="2F311EFB">
        <w:tc>
          <w:tcPr>
            <w:tcW w:w="3118" w:type="dxa"/>
            <w:tcBorders>
              <w:top w:val="nil"/>
              <w:left w:val="nil"/>
              <w:bottom w:val="nil"/>
              <w:right w:val="nil"/>
            </w:tcBorders>
            <w:vAlign w:val="center"/>
          </w:tcPr>
          <w:p w14:paraId="44DE960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Unknown</w:t>
            </w:r>
          </w:p>
        </w:tc>
        <w:tc>
          <w:tcPr>
            <w:tcW w:w="1701" w:type="dxa"/>
            <w:tcBorders>
              <w:top w:val="nil"/>
              <w:left w:val="nil"/>
              <w:bottom w:val="nil"/>
              <w:right w:val="nil"/>
            </w:tcBorders>
            <w:vAlign w:val="center"/>
          </w:tcPr>
          <w:p w14:paraId="5970184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1,662 (23.3)</w:t>
            </w:r>
          </w:p>
        </w:tc>
        <w:tc>
          <w:tcPr>
            <w:tcW w:w="1701" w:type="dxa"/>
            <w:tcBorders>
              <w:top w:val="nil"/>
              <w:left w:val="nil"/>
              <w:bottom w:val="nil"/>
              <w:right w:val="nil"/>
            </w:tcBorders>
            <w:vAlign w:val="center"/>
          </w:tcPr>
          <w:p w14:paraId="759AB66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1,497 (23.5)</w:t>
            </w:r>
          </w:p>
        </w:tc>
        <w:tc>
          <w:tcPr>
            <w:tcW w:w="1701" w:type="dxa"/>
            <w:tcBorders>
              <w:top w:val="nil"/>
              <w:left w:val="nil"/>
              <w:bottom w:val="nil"/>
              <w:right w:val="nil"/>
            </w:tcBorders>
            <w:vAlign w:val="center"/>
          </w:tcPr>
          <w:p w14:paraId="5CD4AC9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165 (21.3)</w:t>
            </w:r>
          </w:p>
        </w:tc>
      </w:tr>
      <w:tr w14:paraId="3A75FCA6">
        <w:tc>
          <w:tcPr>
            <w:tcW w:w="3118" w:type="dxa"/>
            <w:tcBorders>
              <w:top w:val="nil"/>
              <w:left w:val="nil"/>
              <w:bottom w:val="nil"/>
              <w:right w:val="nil"/>
            </w:tcBorders>
            <w:vAlign w:val="center"/>
          </w:tcPr>
          <w:p w14:paraId="3AC7498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Rising</w:t>
            </w:r>
          </w:p>
        </w:tc>
        <w:tc>
          <w:tcPr>
            <w:tcW w:w="1701" w:type="dxa"/>
            <w:tcBorders>
              <w:top w:val="nil"/>
              <w:left w:val="nil"/>
              <w:bottom w:val="nil"/>
              <w:right w:val="nil"/>
            </w:tcBorders>
            <w:vAlign w:val="center"/>
          </w:tcPr>
          <w:p w14:paraId="46BE0F9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843 (11.8)</w:t>
            </w:r>
          </w:p>
        </w:tc>
        <w:tc>
          <w:tcPr>
            <w:tcW w:w="1701" w:type="dxa"/>
            <w:tcBorders>
              <w:top w:val="nil"/>
              <w:left w:val="nil"/>
              <w:bottom w:val="nil"/>
              <w:right w:val="nil"/>
            </w:tcBorders>
            <w:vAlign w:val="center"/>
          </w:tcPr>
          <w:p w14:paraId="5FF91D2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753 (11.8)</w:t>
            </w:r>
          </w:p>
        </w:tc>
        <w:tc>
          <w:tcPr>
            <w:tcW w:w="1701" w:type="dxa"/>
            <w:tcBorders>
              <w:top w:val="nil"/>
              <w:left w:val="nil"/>
              <w:bottom w:val="nil"/>
              <w:right w:val="nil"/>
            </w:tcBorders>
            <w:vAlign w:val="center"/>
          </w:tcPr>
          <w:p w14:paraId="3B2B0F1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90 (11.6)</w:t>
            </w:r>
          </w:p>
        </w:tc>
      </w:tr>
      <w:tr w14:paraId="0D541952">
        <w:tc>
          <w:tcPr>
            <w:tcW w:w="3118" w:type="dxa"/>
            <w:tcBorders>
              <w:top w:val="nil"/>
              <w:left w:val="nil"/>
              <w:bottom w:val="nil"/>
              <w:right w:val="nil"/>
            </w:tcBorders>
            <w:vAlign w:val="center"/>
          </w:tcPr>
          <w:p w14:paraId="78E3A9C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Stable</w:t>
            </w:r>
          </w:p>
        </w:tc>
        <w:tc>
          <w:tcPr>
            <w:tcW w:w="1701" w:type="dxa"/>
            <w:tcBorders>
              <w:top w:val="nil"/>
              <w:left w:val="nil"/>
              <w:bottom w:val="nil"/>
              <w:right w:val="nil"/>
            </w:tcBorders>
            <w:vAlign w:val="center"/>
          </w:tcPr>
          <w:p w14:paraId="74BB721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3,499 (49.0)</w:t>
            </w:r>
          </w:p>
        </w:tc>
        <w:tc>
          <w:tcPr>
            <w:tcW w:w="1701" w:type="dxa"/>
            <w:tcBorders>
              <w:top w:val="nil"/>
              <w:left w:val="nil"/>
              <w:bottom w:val="nil"/>
              <w:right w:val="nil"/>
            </w:tcBorders>
            <w:vAlign w:val="center"/>
          </w:tcPr>
          <w:p w14:paraId="34D88DD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3,104 (48.8)</w:t>
            </w:r>
          </w:p>
        </w:tc>
        <w:tc>
          <w:tcPr>
            <w:tcW w:w="1701" w:type="dxa"/>
            <w:tcBorders>
              <w:top w:val="nil"/>
              <w:left w:val="nil"/>
              <w:bottom w:val="nil"/>
              <w:right w:val="nil"/>
            </w:tcBorders>
            <w:vAlign w:val="center"/>
          </w:tcPr>
          <w:p w14:paraId="6BABF80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395 (51.0)</w:t>
            </w:r>
          </w:p>
        </w:tc>
      </w:tr>
      <w:tr w14:paraId="3EDA812F">
        <w:tc>
          <w:tcPr>
            <w:tcW w:w="3118" w:type="dxa"/>
            <w:tcBorders>
              <w:top w:val="nil"/>
              <w:left w:val="nil"/>
              <w:bottom w:val="nil"/>
              <w:right w:val="nil"/>
            </w:tcBorders>
            <w:vAlign w:val="center"/>
          </w:tcPr>
          <w:p w14:paraId="1F827B9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Falling</w:t>
            </w:r>
          </w:p>
        </w:tc>
        <w:tc>
          <w:tcPr>
            <w:tcW w:w="1701" w:type="dxa"/>
            <w:tcBorders>
              <w:top w:val="nil"/>
              <w:left w:val="nil"/>
              <w:bottom w:val="nil"/>
              <w:right w:val="nil"/>
            </w:tcBorders>
            <w:vAlign w:val="center"/>
          </w:tcPr>
          <w:p w14:paraId="79FE21C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1,133 (15.9)</w:t>
            </w:r>
          </w:p>
        </w:tc>
        <w:tc>
          <w:tcPr>
            <w:tcW w:w="1701" w:type="dxa"/>
            <w:tcBorders>
              <w:top w:val="nil"/>
              <w:left w:val="nil"/>
              <w:bottom w:val="nil"/>
              <w:right w:val="nil"/>
            </w:tcBorders>
            <w:vAlign w:val="center"/>
          </w:tcPr>
          <w:p w14:paraId="1B00A48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1,008 (15.8)</w:t>
            </w:r>
          </w:p>
        </w:tc>
        <w:tc>
          <w:tcPr>
            <w:tcW w:w="1701" w:type="dxa"/>
            <w:tcBorders>
              <w:top w:val="nil"/>
              <w:left w:val="nil"/>
              <w:bottom w:val="nil"/>
              <w:right w:val="nil"/>
            </w:tcBorders>
            <w:vAlign w:val="center"/>
          </w:tcPr>
          <w:p w14:paraId="77CD5D9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125 (16.1)</w:t>
            </w:r>
          </w:p>
        </w:tc>
      </w:tr>
      <w:tr w14:paraId="5181A424">
        <w:tc>
          <w:tcPr>
            <w:tcW w:w="3118" w:type="dxa"/>
            <w:tcBorders>
              <w:top w:val="nil"/>
              <w:left w:val="nil"/>
              <w:bottom w:val="nil"/>
              <w:right w:val="nil"/>
            </w:tcBorders>
            <w:vAlign w:val="center"/>
          </w:tcPr>
          <w:p w14:paraId="4961B98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Vasopressin co-administration, n (%)</w:t>
            </w:r>
          </w:p>
        </w:tc>
        <w:tc>
          <w:tcPr>
            <w:tcW w:w="1701" w:type="dxa"/>
            <w:tcBorders>
              <w:top w:val="nil"/>
              <w:left w:val="nil"/>
              <w:bottom w:val="nil"/>
              <w:right w:val="nil"/>
            </w:tcBorders>
            <w:vAlign w:val="center"/>
          </w:tcPr>
          <w:p w14:paraId="5472D50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981 (13.7)</w:t>
            </w:r>
          </w:p>
        </w:tc>
        <w:tc>
          <w:tcPr>
            <w:tcW w:w="1701" w:type="dxa"/>
            <w:tcBorders>
              <w:top w:val="nil"/>
              <w:left w:val="nil"/>
              <w:bottom w:val="nil"/>
              <w:right w:val="nil"/>
            </w:tcBorders>
            <w:vAlign w:val="center"/>
          </w:tcPr>
          <w:p w14:paraId="5743302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889 (14.0)</w:t>
            </w:r>
          </w:p>
        </w:tc>
        <w:tc>
          <w:tcPr>
            <w:tcW w:w="1701" w:type="dxa"/>
            <w:tcBorders>
              <w:top w:val="nil"/>
              <w:left w:val="nil"/>
              <w:bottom w:val="nil"/>
              <w:right w:val="nil"/>
            </w:tcBorders>
            <w:vAlign w:val="center"/>
          </w:tcPr>
          <w:p w14:paraId="6D940F1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92 (11.9)</w:t>
            </w:r>
          </w:p>
        </w:tc>
      </w:tr>
      <w:tr w14:paraId="6F9507D0">
        <w:tc>
          <w:tcPr>
            <w:tcW w:w="3118" w:type="dxa"/>
            <w:tcBorders>
              <w:top w:val="nil"/>
              <w:left w:val="nil"/>
              <w:bottom w:val="nil"/>
              <w:right w:val="nil"/>
            </w:tcBorders>
            <w:vAlign w:val="center"/>
          </w:tcPr>
          <w:p w14:paraId="45FFCC9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Invasive mechanical ventilation, n (%)</w:t>
            </w:r>
          </w:p>
        </w:tc>
        <w:tc>
          <w:tcPr>
            <w:tcW w:w="1701" w:type="dxa"/>
            <w:tcBorders>
              <w:top w:val="nil"/>
              <w:left w:val="nil"/>
              <w:bottom w:val="nil"/>
              <w:right w:val="nil"/>
            </w:tcBorders>
            <w:vAlign w:val="center"/>
          </w:tcPr>
          <w:p w14:paraId="4BD5BB7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2,035 (28.5)</w:t>
            </w:r>
          </w:p>
        </w:tc>
        <w:tc>
          <w:tcPr>
            <w:tcW w:w="1701" w:type="dxa"/>
            <w:tcBorders>
              <w:top w:val="nil"/>
              <w:left w:val="nil"/>
              <w:bottom w:val="nil"/>
              <w:right w:val="nil"/>
            </w:tcBorders>
            <w:vAlign w:val="center"/>
          </w:tcPr>
          <w:p w14:paraId="56CC28C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1,753 (27.6)</w:t>
            </w:r>
          </w:p>
        </w:tc>
        <w:tc>
          <w:tcPr>
            <w:tcW w:w="1701" w:type="dxa"/>
            <w:tcBorders>
              <w:top w:val="nil"/>
              <w:left w:val="nil"/>
              <w:bottom w:val="nil"/>
              <w:right w:val="nil"/>
            </w:tcBorders>
            <w:vAlign w:val="center"/>
          </w:tcPr>
          <w:p w14:paraId="15DE404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282 (36.4)</w:t>
            </w:r>
          </w:p>
        </w:tc>
      </w:tr>
      <w:tr w14:paraId="636D6837">
        <w:tc>
          <w:tcPr>
            <w:tcW w:w="3118" w:type="dxa"/>
            <w:tcBorders>
              <w:top w:val="nil"/>
              <w:left w:val="nil"/>
              <w:bottom w:val="nil"/>
              <w:right w:val="nil"/>
            </w:tcBorders>
            <w:vAlign w:val="center"/>
          </w:tcPr>
          <w:p w14:paraId="375E66B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Disease severity</w:t>
            </w:r>
          </w:p>
        </w:tc>
        <w:tc>
          <w:tcPr>
            <w:tcW w:w="1701" w:type="dxa"/>
            <w:tcBorders>
              <w:top w:val="nil"/>
              <w:left w:val="nil"/>
              <w:bottom w:val="nil"/>
              <w:right w:val="nil"/>
            </w:tcBorders>
            <w:vAlign w:val="center"/>
          </w:tcPr>
          <w:p w14:paraId="7A22255D">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1" w:type="dxa"/>
            <w:tcBorders>
              <w:top w:val="nil"/>
              <w:left w:val="nil"/>
              <w:bottom w:val="nil"/>
              <w:right w:val="nil"/>
            </w:tcBorders>
            <w:vAlign w:val="center"/>
          </w:tcPr>
          <w:p w14:paraId="5FDA8CF9">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1" w:type="dxa"/>
            <w:tcBorders>
              <w:top w:val="nil"/>
              <w:left w:val="nil"/>
              <w:bottom w:val="nil"/>
              <w:right w:val="nil"/>
            </w:tcBorders>
            <w:vAlign w:val="center"/>
          </w:tcPr>
          <w:p w14:paraId="3F50CE0E">
            <w:pPr>
              <w:keepNext w:val="0"/>
              <w:keepLines w:val="0"/>
              <w:widowControl w:val="0"/>
              <w:kinsoku/>
              <w:wordWrap/>
              <w:overflowPunct/>
              <w:topLinePunct w:val="0"/>
              <w:autoSpaceDE/>
              <w:autoSpaceDN/>
              <w:bidi w:val="0"/>
              <w:adjustRightInd/>
              <w:snapToGrid/>
              <w:spacing w:line="480" w:lineRule="auto"/>
              <w:jc w:val="center"/>
              <w:textAlignment w:val="auto"/>
            </w:pPr>
          </w:p>
        </w:tc>
      </w:tr>
      <w:tr w14:paraId="70E497A8">
        <w:tc>
          <w:tcPr>
            <w:tcW w:w="3118" w:type="dxa"/>
            <w:tcBorders>
              <w:top w:val="nil"/>
              <w:left w:val="nil"/>
              <w:bottom w:val="nil"/>
              <w:right w:val="nil"/>
            </w:tcBorders>
            <w:vAlign w:val="center"/>
          </w:tcPr>
          <w:p w14:paraId="2A84518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APACHE IV score</w:t>
            </w:r>
          </w:p>
        </w:tc>
        <w:tc>
          <w:tcPr>
            <w:tcW w:w="1701" w:type="dxa"/>
            <w:tcBorders>
              <w:top w:val="nil"/>
              <w:left w:val="nil"/>
              <w:bottom w:val="nil"/>
              <w:right w:val="nil"/>
            </w:tcBorders>
            <w:vAlign w:val="center"/>
          </w:tcPr>
          <w:p w14:paraId="033D19E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78 (60, 101)</w:t>
            </w:r>
          </w:p>
        </w:tc>
        <w:tc>
          <w:tcPr>
            <w:tcW w:w="1701" w:type="dxa"/>
            <w:tcBorders>
              <w:top w:val="nil"/>
              <w:left w:val="nil"/>
              <w:bottom w:val="nil"/>
              <w:right w:val="nil"/>
            </w:tcBorders>
            <w:vAlign w:val="center"/>
          </w:tcPr>
          <w:p w14:paraId="62EA378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78 (59, 101)</w:t>
            </w:r>
          </w:p>
        </w:tc>
        <w:tc>
          <w:tcPr>
            <w:tcW w:w="1701" w:type="dxa"/>
            <w:tcBorders>
              <w:top w:val="nil"/>
              <w:left w:val="nil"/>
              <w:bottom w:val="nil"/>
              <w:right w:val="nil"/>
            </w:tcBorders>
            <w:vAlign w:val="center"/>
          </w:tcPr>
          <w:p w14:paraId="5429DE2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82 (63, 103)</w:t>
            </w:r>
          </w:p>
        </w:tc>
      </w:tr>
      <w:tr w14:paraId="252F0F37">
        <w:tc>
          <w:tcPr>
            <w:tcW w:w="3118" w:type="dxa"/>
            <w:tcBorders>
              <w:top w:val="nil"/>
              <w:left w:val="nil"/>
              <w:bottom w:val="nil"/>
              <w:right w:val="nil"/>
            </w:tcBorders>
            <w:vAlign w:val="center"/>
          </w:tcPr>
          <w:p w14:paraId="0A9EB33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Congestive heart failure, n (%)</w:t>
            </w:r>
          </w:p>
        </w:tc>
        <w:tc>
          <w:tcPr>
            <w:tcW w:w="1701" w:type="dxa"/>
            <w:tcBorders>
              <w:top w:val="nil"/>
              <w:left w:val="nil"/>
              <w:bottom w:val="nil"/>
              <w:right w:val="nil"/>
            </w:tcBorders>
            <w:vAlign w:val="center"/>
          </w:tcPr>
          <w:p w14:paraId="2945E42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1,109 (15.5)</w:t>
            </w:r>
          </w:p>
        </w:tc>
        <w:tc>
          <w:tcPr>
            <w:tcW w:w="1701" w:type="dxa"/>
            <w:tcBorders>
              <w:top w:val="nil"/>
              <w:left w:val="nil"/>
              <w:bottom w:val="nil"/>
              <w:right w:val="nil"/>
            </w:tcBorders>
            <w:vAlign w:val="center"/>
          </w:tcPr>
          <w:p w14:paraId="5607129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955 (15.0)</w:t>
            </w:r>
          </w:p>
        </w:tc>
        <w:tc>
          <w:tcPr>
            <w:tcW w:w="1701" w:type="dxa"/>
            <w:tcBorders>
              <w:top w:val="nil"/>
              <w:left w:val="nil"/>
              <w:bottom w:val="nil"/>
              <w:right w:val="nil"/>
            </w:tcBorders>
            <w:vAlign w:val="center"/>
          </w:tcPr>
          <w:p w14:paraId="412835D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154 (19.9)</w:t>
            </w:r>
          </w:p>
        </w:tc>
      </w:tr>
      <w:tr w14:paraId="007DE560">
        <w:tc>
          <w:tcPr>
            <w:tcW w:w="3118" w:type="dxa"/>
            <w:tcBorders>
              <w:top w:val="nil"/>
              <w:left w:val="nil"/>
              <w:bottom w:val="nil"/>
              <w:right w:val="nil"/>
            </w:tcBorders>
            <w:vAlign w:val="center"/>
          </w:tcPr>
          <w:p w14:paraId="50997AB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Chronic kidney disease, n (%)</w:t>
            </w:r>
          </w:p>
        </w:tc>
        <w:tc>
          <w:tcPr>
            <w:tcW w:w="1701" w:type="dxa"/>
            <w:tcBorders>
              <w:top w:val="nil"/>
              <w:left w:val="nil"/>
              <w:bottom w:val="nil"/>
              <w:right w:val="nil"/>
            </w:tcBorders>
            <w:vAlign w:val="center"/>
          </w:tcPr>
          <w:p w14:paraId="545E2B6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94 (1.3)</w:t>
            </w:r>
          </w:p>
        </w:tc>
        <w:tc>
          <w:tcPr>
            <w:tcW w:w="1701" w:type="dxa"/>
            <w:tcBorders>
              <w:top w:val="nil"/>
              <w:left w:val="nil"/>
              <w:bottom w:val="nil"/>
              <w:right w:val="nil"/>
            </w:tcBorders>
            <w:vAlign w:val="center"/>
          </w:tcPr>
          <w:p w14:paraId="09FF324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83 (1.3)</w:t>
            </w:r>
          </w:p>
        </w:tc>
        <w:tc>
          <w:tcPr>
            <w:tcW w:w="1701" w:type="dxa"/>
            <w:tcBorders>
              <w:top w:val="nil"/>
              <w:left w:val="nil"/>
              <w:bottom w:val="nil"/>
              <w:right w:val="nil"/>
            </w:tcBorders>
            <w:vAlign w:val="center"/>
          </w:tcPr>
          <w:p w14:paraId="3034292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11 (1.4)</w:t>
            </w:r>
          </w:p>
        </w:tc>
      </w:tr>
      <w:tr w14:paraId="2494C4E8">
        <w:tc>
          <w:tcPr>
            <w:tcW w:w="3118" w:type="dxa"/>
            <w:tcBorders>
              <w:top w:val="nil"/>
              <w:left w:val="nil"/>
              <w:bottom w:val="nil"/>
              <w:right w:val="nil"/>
            </w:tcBorders>
            <w:vAlign w:val="center"/>
          </w:tcPr>
          <w:p w14:paraId="7CE57A8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Chronic pulmonary disease, n (%)</w:t>
            </w:r>
          </w:p>
        </w:tc>
        <w:tc>
          <w:tcPr>
            <w:tcW w:w="1701" w:type="dxa"/>
            <w:tcBorders>
              <w:top w:val="nil"/>
              <w:left w:val="nil"/>
              <w:bottom w:val="nil"/>
              <w:right w:val="nil"/>
            </w:tcBorders>
            <w:vAlign w:val="center"/>
          </w:tcPr>
          <w:p w14:paraId="3D0622C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1,135 (15.9)</w:t>
            </w:r>
          </w:p>
        </w:tc>
        <w:tc>
          <w:tcPr>
            <w:tcW w:w="1701" w:type="dxa"/>
            <w:tcBorders>
              <w:top w:val="nil"/>
              <w:left w:val="nil"/>
              <w:bottom w:val="nil"/>
              <w:right w:val="nil"/>
            </w:tcBorders>
            <w:vAlign w:val="center"/>
          </w:tcPr>
          <w:p w14:paraId="525AEB7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1,014 (15.9)</w:t>
            </w:r>
          </w:p>
        </w:tc>
        <w:tc>
          <w:tcPr>
            <w:tcW w:w="1701" w:type="dxa"/>
            <w:tcBorders>
              <w:top w:val="nil"/>
              <w:left w:val="nil"/>
              <w:bottom w:val="nil"/>
              <w:right w:val="nil"/>
            </w:tcBorders>
            <w:vAlign w:val="center"/>
          </w:tcPr>
          <w:p w14:paraId="3762080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121 (15.6)</w:t>
            </w:r>
          </w:p>
        </w:tc>
      </w:tr>
      <w:tr w14:paraId="546F1C45">
        <w:tc>
          <w:tcPr>
            <w:tcW w:w="3118" w:type="dxa"/>
            <w:tcBorders>
              <w:top w:val="nil"/>
              <w:left w:val="nil"/>
              <w:bottom w:val="nil"/>
              <w:right w:val="nil"/>
            </w:tcBorders>
            <w:vAlign w:val="center"/>
          </w:tcPr>
          <w:p w14:paraId="2129716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Hemodynamics and laboratory values</w:t>
            </w:r>
          </w:p>
        </w:tc>
        <w:tc>
          <w:tcPr>
            <w:tcW w:w="1701" w:type="dxa"/>
            <w:tcBorders>
              <w:top w:val="nil"/>
              <w:left w:val="nil"/>
              <w:bottom w:val="nil"/>
              <w:right w:val="nil"/>
            </w:tcBorders>
            <w:vAlign w:val="center"/>
          </w:tcPr>
          <w:p w14:paraId="2FF79306">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1" w:type="dxa"/>
            <w:tcBorders>
              <w:top w:val="nil"/>
              <w:left w:val="nil"/>
              <w:bottom w:val="nil"/>
              <w:right w:val="nil"/>
            </w:tcBorders>
            <w:vAlign w:val="center"/>
          </w:tcPr>
          <w:p w14:paraId="2FFFE046">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1" w:type="dxa"/>
            <w:tcBorders>
              <w:top w:val="nil"/>
              <w:left w:val="nil"/>
              <w:bottom w:val="nil"/>
              <w:right w:val="nil"/>
            </w:tcBorders>
            <w:vAlign w:val="center"/>
          </w:tcPr>
          <w:p w14:paraId="14D3BF6A">
            <w:pPr>
              <w:keepNext w:val="0"/>
              <w:keepLines w:val="0"/>
              <w:widowControl w:val="0"/>
              <w:kinsoku/>
              <w:wordWrap/>
              <w:overflowPunct/>
              <w:topLinePunct w:val="0"/>
              <w:autoSpaceDE/>
              <w:autoSpaceDN/>
              <w:bidi w:val="0"/>
              <w:adjustRightInd/>
              <w:snapToGrid/>
              <w:spacing w:line="480" w:lineRule="auto"/>
              <w:jc w:val="center"/>
              <w:textAlignment w:val="auto"/>
            </w:pPr>
          </w:p>
        </w:tc>
      </w:tr>
      <w:tr w14:paraId="4C8E49F9">
        <w:tc>
          <w:tcPr>
            <w:tcW w:w="3118" w:type="dxa"/>
            <w:tcBorders>
              <w:top w:val="nil"/>
              <w:left w:val="nil"/>
              <w:bottom w:val="nil"/>
              <w:right w:val="nil"/>
            </w:tcBorders>
            <w:vAlign w:val="center"/>
          </w:tcPr>
          <w:p w14:paraId="3345B79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Mean arterial pressure, mmHg</w:t>
            </w:r>
          </w:p>
        </w:tc>
        <w:tc>
          <w:tcPr>
            <w:tcW w:w="1701" w:type="dxa"/>
            <w:tcBorders>
              <w:top w:val="nil"/>
              <w:left w:val="nil"/>
              <w:bottom w:val="nil"/>
              <w:right w:val="nil"/>
            </w:tcBorders>
            <w:vAlign w:val="center"/>
          </w:tcPr>
          <w:p w14:paraId="4812F8F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72 (65, 80)</w:t>
            </w:r>
          </w:p>
        </w:tc>
        <w:tc>
          <w:tcPr>
            <w:tcW w:w="1701" w:type="dxa"/>
            <w:tcBorders>
              <w:top w:val="nil"/>
              <w:left w:val="nil"/>
              <w:bottom w:val="nil"/>
              <w:right w:val="nil"/>
            </w:tcBorders>
            <w:vAlign w:val="center"/>
          </w:tcPr>
          <w:p w14:paraId="121602D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72 (65, 80)</w:t>
            </w:r>
          </w:p>
        </w:tc>
        <w:tc>
          <w:tcPr>
            <w:tcW w:w="1701" w:type="dxa"/>
            <w:tcBorders>
              <w:top w:val="nil"/>
              <w:left w:val="nil"/>
              <w:bottom w:val="nil"/>
              <w:right w:val="nil"/>
            </w:tcBorders>
            <w:vAlign w:val="center"/>
          </w:tcPr>
          <w:p w14:paraId="1D85653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73 (66, 81)</w:t>
            </w:r>
          </w:p>
        </w:tc>
      </w:tr>
      <w:tr w14:paraId="1CF2D7BF">
        <w:tc>
          <w:tcPr>
            <w:tcW w:w="3118" w:type="dxa"/>
            <w:tcBorders>
              <w:top w:val="nil"/>
              <w:left w:val="nil"/>
              <w:bottom w:val="nil"/>
              <w:right w:val="nil"/>
            </w:tcBorders>
            <w:vAlign w:val="center"/>
          </w:tcPr>
          <w:p w14:paraId="714E6F9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Heart rate, beats/min</w:t>
            </w:r>
          </w:p>
        </w:tc>
        <w:tc>
          <w:tcPr>
            <w:tcW w:w="1701" w:type="dxa"/>
            <w:tcBorders>
              <w:top w:val="nil"/>
              <w:left w:val="nil"/>
              <w:bottom w:val="nil"/>
              <w:right w:val="nil"/>
            </w:tcBorders>
            <w:vAlign w:val="center"/>
          </w:tcPr>
          <w:p w14:paraId="78A2C56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88 (75, 102)</w:t>
            </w:r>
          </w:p>
        </w:tc>
        <w:tc>
          <w:tcPr>
            <w:tcW w:w="1701" w:type="dxa"/>
            <w:tcBorders>
              <w:top w:val="nil"/>
              <w:left w:val="nil"/>
              <w:bottom w:val="nil"/>
              <w:right w:val="nil"/>
            </w:tcBorders>
            <w:vAlign w:val="center"/>
          </w:tcPr>
          <w:p w14:paraId="7D8CDC9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88 (75, 102)</w:t>
            </w:r>
          </w:p>
        </w:tc>
        <w:tc>
          <w:tcPr>
            <w:tcW w:w="1701" w:type="dxa"/>
            <w:tcBorders>
              <w:top w:val="nil"/>
              <w:left w:val="nil"/>
              <w:bottom w:val="nil"/>
              <w:right w:val="nil"/>
            </w:tcBorders>
            <w:vAlign w:val="center"/>
          </w:tcPr>
          <w:p w14:paraId="4CFA8C7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91 (76, 104)</w:t>
            </w:r>
          </w:p>
        </w:tc>
      </w:tr>
      <w:tr w14:paraId="66129DE9">
        <w:tc>
          <w:tcPr>
            <w:tcW w:w="3118" w:type="dxa"/>
            <w:tcBorders>
              <w:top w:val="nil"/>
              <w:left w:val="nil"/>
              <w:bottom w:val="nil"/>
              <w:right w:val="nil"/>
            </w:tcBorders>
            <w:vAlign w:val="center"/>
          </w:tcPr>
          <w:p w14:paraId="1F5C127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Lactate, mmol/L</w:t>
            </w:r>
          </w:p>
        </w:tc>
        <w:tc>
          <w:tcPr>
            <w:tcW w:w="1701" w:type="dxa"/>
            <w:tcBorders>
              <w:top w:val="nil"/>
              <w:left w:val="nil"/>
              <w:bottom w:val="nil"/>
              <w:right w:val="nil"/>
            </w:tcBorders>
            <w:vAlign w:val="center"/>
          </w:tcPr>
          <w:p w14:paraId="3C2FE1A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2.10 (1.30, 3.70)</w:t>
            </w:r>
          </w:p>
        </w:tc>
        <w:tc>
          <w:tcPr>
            <w:tcW w:w="1701" w:type="dxa"/>
            <w:tcBorders>
              <w:top w:val="nil"/>
              <w:left w:val="nil"/>
              <w:bottom w:val="nil"/>
              <w:right w:val="nil"/>
            </w:tcBorders>
            <w:vAlign w:val="center"/>
          </w:tcPr>
          <w:p w14:paraId="5D07A72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2.10 (1.30, 3.70)</w:t>
            </w:r>
          </w:p>
        </w:tc>
        <w:tc>
          <w:tcPr>
            <w:tcW w:w="1701" w:type="dxa"/>
            <w:tcBorders>
              <w:top w:val="nil"/>
              <w:left w:val="nil"/>
              <w:bottom w:val="nil"/>
              <w:right w:val="nil"/>
            </w:tcBorders>
            <w:vAlign w:val="center"/>
          </w:tcPr>
          <w:p w14:paraId="536CC9C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2.00 (1.30, 3.42)</w:t>
            </w:r>
          </w:p>
        </w:tc>
      </w:tr>
      <w:tr w14:paraId="7476286E">
        <w:tc>
          <w:tcPr>
            <w:tcW w:w="3118" w:type="dxa"/>
            <w:tcBorders>
              <w:top w:val="nil"/>
              <w:left w:val="nil"/>
              <w:bottom w:val="nil"/>
              <w:right w:val="nil"/>
            </w:tcBorders>
            <w:vAlign w:val="center"/>
          </w:tcPr>
          <w:p w14:paraId="2FC730B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Creatinine, mg/dL</w:t>
            </w:r>
          </w:p>
        </w:tc>
        <w:tc>
          <w:tcPr>
            <w:tcW w:w="1701" w:type="dxa"/>
            <w:tcBorders>
              <w:top w:val="nil"/>
              <w:left w:val="nil"/>
              <w:bottom w:val="nil"/>
              <w:right w:val="nil"/>
            </w:tcBorders>
            <w:vAlign w:val="center"/>
          </w:tcPr>
          <w:p w14:paraId="26379A0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1.30 (0.85, 2.10)</w:t>
            </w:r>
          </w:p>
        </w:tc>
        <w:tc>
          <w:tcPr>
            <w:tcW w:w="1701" w:type="dxa"/>
            <w:tcBorders>
              <w:top w:val="nil"/>
              <w:left w:val="nil"/>
              <w:bottom w:val="nil"/>
              <w:right w:val="nil"/>
            </w:tcBorders>
            <w:vAlign w:val="center"/>
          </w:tcPr>
          <w:p w14:paraId="674522E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1.30 (0.87, 2.15)</w:t>
            </w:r>
          </w:p>
        </w:tc>
        <w:tc>
          <w:tcPr>
            <w:tcW w:w="1701" w:type="dxa"/>
            <w:tcBorders>
              <w:top w:val="nil"/>
              <w:left w:val="nil"/>
              <w:bottom w:val="nil"/>
              <w:right w:val="nil"/>
            </w:tcBorders>
            <w:vAlign w:val="center"/>
          </w:tcPr>
          <w:p w14:paraId="34AB579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1.20 (0.82, 1.90)</w:t>
            </w:r>
          </w:p>
        </w:tc>
      </w:tr>
      <w:tr w14:paraId="483EA23D">
        <w:tc>
          <w:tcPr>
            <w:tcW w:w="3118" w:type="dxa"/>
            <w:tcBorders>
              <w:top w:val="nil"/>
              <w:left w:val="nil"/>
              <w:bottom w:val="nil"/>
              <w:right w:val="nil"/>
            </w:tcBorders>
            <w:vAlign w:val="center"/>
          </w:tcPr>
          <w:p w14:paraId="1E62E62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BUN, mg/dL</w:t>
            </w:r>
          </w:p>
        </w:tc>
        <w:tc>
          <w:tcPr>
            <w:tcW w:w="1701" w:type="dxa"/>
            <w:tcBorders>
              <w:top w:val="nil"/>
              <w:left w:val="nil"/>
              <w:bottom w:val="nil"/>
              <w:right w:val="nil"/>
            </w:tcBorders>
            <w:vAlign w:val="center"/>
          </w:tcPr>
          <w:p w14:paraId="28B0510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26 (16, 43)</w:t>
            </w:r>
          </w:p>
        </w:tc>
        <w:tc>
          <w:tcPr>
            <w:tcW w:w="1701" w:type="dxa"/>
            <w:tcBorders>
              <w:top w:val="nil"/>
              <w:left w:val="nil"/>
              <w:bottom w:val="nil"/>
              <w:right w:val="nil"/>
            </w:tcBorders>
            <w:vAlign w:val="center"/>
          </w:tcPr>
          <w:p w14:paraId="0CE0562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26 (16, 43)</w:t>
            </w:r>
          </w:p>
        </w:tc>
        <w:tc>
          <w:tcPr>
            <w:tcW w:w="1701" w:type="dxa"/>
            <w:tcBorders>
              <w:top w:val="nil"/>
              <w:left w:val="nil"/>
              <w:bottom w:val="nil"/>
              <w:right w:val="nil"/>
            </w:tcBorders>
            <w:vAlign w:val="center"/>
          </w:tcPr>
          <w:p w14:paraId="7F9C752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25 (17, 43)</w:t>
            </w:r>
          </w:p>
        </w:tc>
      </w:tr>
      <w:tr w14:paraId="257B8AD9">
        <w:tc>
          <w:tcPr>
            <w:tcW w:w="3118" w:type="dxa"/>
            <w:tcBorders>
              <w:top w:val="nil"/>
              <w:left w:val="nil"/>
              <w:bottom w:val="nil"/>
              <w:right w:val="nil"/>
            </w:tcBorders>
            <w:vAlign w:val="center"/>
          </w:tcPr>
          <w:p w14:paraId="122F8E7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Albumin, g/dL</w:t>
            </w:r>
          </w:p>
        </w:tc>
        <w:tc>
          <w:tcPr>
            <w:tcW w:w="1701" w:type="dxa"/>
            <w:tcBorders>
              <w:top w:val="nil"/>
              <w:left w:val="nil"/>
              <w:bottom w:val="nil"/>
              <w:right w:val="nil"/>
            </w:tcBorders>
            <w:vAlign w:val="center"/>
          </w:tcPr>
          <w:p w14:paraId="55ECFE2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2.60 (2.10, 3.10)</w:t>
            </w:r>
          </w:p>
        </w:tc>
        <w:tc>
          <w:tcPr>
            <w:tcW w:w="1701" w:type="dxa"/>
            <w:tcBorders>
              <w:top w:val="nil"/>
              <w:left w:val="nil"/>
              <w:bottom w:val="nil"/>
              <w:right w:val="nil"/>
            </w:tcBorders>
            <w:vAlign w:val="center"/>
          </w:tcPr>
          <w:p w14:paraId="6B0BD49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2.60 (2.10, 3.10)</w:t>
            </w:r>
          </w:p>
        </w:tc>
        <w:tc>
          <w:tcPr>
            <w:tcW w:w="1701" w:type="dxa"/>
            <w:tcBorders>
              <w:top w:val="nil"/>
              <w:left w:val="nil"/>
              <w:bottom w:val="nil"/>
              <w:right w:val="nil"/>
            </w:tcBorders>
            <w:vAlign w:val="center"/>
          </w:tcPr>
          <w:p w14:paraId="2E124D1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2.40 (2.00, 2.90)</w:t>
            </w:r>
          </w:p>
        </w:tc>
      </w:tr>
      <w:tr w14:paraId="2E44C30D">
        <w:tc>
          <w:tcPr>
            <w:tcW w:w="3118" w:type="dxa"/>
            <w:tcBorders>
              <w:top w:val="nil"/>
              <w:left w:val="nil"/>
              <w:bottom w:val="nil"/>
              <w:right w:val="nil"/>
            </w:tcBorders>
            <w:vAlign w:val="center"/>
          </w:tcPr>
          <w:p w14:paraId="579BD4F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Outcomes (unmatched cohort)</w:t>
            </w:r>
          </w:p>
        </w:tc>
        <w:tc>
          <w:tcPr>
            <w:tcW w:w="1701" w:type="dxa"/>
            <w:tcBorders>
              <w:top w:val="nil"/>
              <w:left w:val="nil"/>
              <w:bottom w:val="nil"/>
              <w:right w:val="nil"/>
            </w:tcBorders>
            <w:vAlign w:val="center"/>
          </w:tcPr>
          <w:p w14:paraId="13718904">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1" w:type="dxa"/>
            <w:tcBorders>
              <w:top w:val="nil"/>
              <w:left w:val="nil"/>
              <w:bottom w:val="nil"/>
              <w:right w:val="nil"/>
            </w:tcBorders>
            <w:vAlign w:val="center"/>
          </w:tcPr>
          <w:p w14:paraId="48A7F61C">
            <w:pPr>
              <w:keepNext w:val="0"/>
              <w:keepLines w:val="0"/>
              <w:widowControl w:val="0"/>
              <w:kinsoku/>
              <w:wordWrap/>
              <w:overflowPunct/>
              <w:topLinePunct w:val="0"/>
              <w:autoSpaceDE/>
              <w:autoSpaceDN/>
              <w:bidi w:val="0"/>
              <w:adjustRightInd/>
              <w:snapToGrid/>
              <w:spacing w:line="480" w:lineRule="auto"/>
              <w:jc w:val="center"/>
              <w:textAlignment w:val="auto"/>
            </w:pPr>
          </w:p>
        </w:tc>
        <w:tc>
          <w:tcPr>
            <w:tcW w:w="1701" w:type="dxa"/>
            <w:tcBorders>
              <w:top w:val="nil"/>
              <w:left w:val="nil"/>
              <w:bottom w:val="nil"/>
              <w:right w:val="nil"/>
            </w:tcBorders>
            <w:vAlign w:val="center"/>
          </w:tcPr>
          <w:p w14:paraId="666CF321">
            <w:pPr>
              <w:keepNext w:val="0"/>
              <w:keepLines w:val="0"/>
              <w:widowControl w:val="0"/>
              <w:kinsoku/>
              <w:wordWrap/>
              <w:overflowPunct/>
              <w:topLinePunct w:val="0"/>
              <w:autoSpaceDE/>
              <w:autoSpaceDN/>
              <w:bidi w:val="0"/>
              <w:adjustRightInd/>
              <w:snapToGrid/>
              <w:spacing w:line="480" w:lineRule="auto"/>
              <w:jc w:val="center"/>
              <w:textAlignment w:val="auto"/>
            </w:pPr>
          </w:p>
        </w:tc>
      </w:tr>
      <w:tr w14:paraId="3A1E695B">
        <w:tc>
          <w:tcPr>
            <w:tcW w:w="3118" w:type="dxa"/>
            <w:tcBorders>
              <w:top w:val="nil"/>
              <w:left w:val="nil"/>
              <w:bottom w:val="nil"/>
              <w:right w:val="nil"/>
            </w:tcBorders>
            <w:vAlign w:val="center"/>
          </w:tcPr>
          <w:p w14:paraId="28B57AD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Primary composite (24 h), n (%)</w:t>
            </w:r>
          </w:p>
        </w:tc>
        <w:tc>
          <w:tcPr>
            <w:tcW w:w="1701" w:type="dxa"/>
            <w:tcBorders>
              <w:top w:val="nil"/>
              <w:left w:val="nil"/>
              <w:bottom w:val="nil"/>
              <w:right w:val="nil"/>
            </w:tcBorders>
            <w:vAlign w:val="center"/>
          </w:tcPr>
          <w:p w14:paraId="6912C5D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1,555 (21.8)</w:t>
            </w:r>
          </w:p>
        </w:tc>
        <w:tc>
          <w:tcPr>
            <w:tcW w:w="1701" w:type="dxa"/>
            <w:tcBorders>
              <w:top w:val="nil"/>
              <w:left w:val="nil"/>
              <w:bottom w:val="nil"/>
              <w:right w:val="nil"/>
            </w:tcBorders>
            <w:vAlign w:val="center"/>
          </w:tcPr>
          <w:p w14:paraId="34E245E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1,325 (20.8)</w:t>
            </w:r>
          </w:p>
        </w:tc>
        <w:tc>
          <w:tcPr>
            <w:tcW w:w="1701" w:type="dxa"/>
            <w:tcBorders>
              <w:top w:val="nil"/>
              <w:left w:val="nil"/>
              <w:bottom w:val="nil"/>
              <w:right w:val="nil"/>
            </w:tcBorders>
            <w:vAlign w:val="center"/>
          </w:tcPr>
          <w:p w14:paraId="5A3FA36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230 (29.7)</w:t>
            </w:r>
          </w:p>
        </w:tc>
      </w:tr>
      <w:tr w14:paraId="07C4C07C">
        <w:tc>
          <w:tcPr>
            <w:tcW w:w="3118" w:type="dxa"/>
            <w:tcBorders>
              <w:top w:val="nil"/>
              <w:left w:val="nil"/>
              <w:bottom w:val="nil"/>
              <w:right w:val="nil"/>
            </w:tcBorders>
            <w:vAlign w:val="center"/>
          </w:tcPr>
          <w:p w14:paraId="2C1A948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AKI progression (7 d), n (%)</w:t>
            </w:r>
          </w:p>
        </w:tc>
        <w:tc>
          <w:tcPr>
            <w:tcW w:w="1701" w:type="dxa"/>
            <w:tcBorders>
              <w:top w:val="nil"/>
              <w:left w:val="nil"/>
              <w:bottom w:val="nil"/>
              <w:right w:val="nil"/>
            </w:tcBorders>
            <w:vAlign w:val="center"/>
          </w:tcPr>
          <w:p w14:paraId="52F9F00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1,547 (21.7)</w:t>
            </w:r>
          </w:p>
        </w:tc>
        <w:tc>
          <w:tcPr>
            <w:tcW w:w="1701" w:type="dxa"/>
            <w:tcBorders>
              <w:top w:val="nil"/>
              <w:left w:val="nil"/>
              <w:bottom w:val="nil"/>
              <w:right w:val="nil"/>
            </w:tcBorders>
            <w:vAlign w:val="center"/>
          </w:tcPr>
          <w:p w14:paraId="070AE00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1,290 (20.3)</w:t>
            </w:r>
          </w:p>
        </w:tc>
        <w:tc>
          <w:tcPr>
            <w:tcW w:w="1701" w:type="dxa"/>
            <w:tcBorders>
              <w:top w:val="nil"/>
              <w:left w:val="nil"/>
              <w:bottom w:val="nil"/>
              <w:right w:val="nil"/>
            </w:tcBorders>
            <w:vAlign w:val="center"/>
          </w:tcPr>
          <w:p w14:paraId="36682A9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257 (33.2)</w:t>
            </w:r>
          </w:p>
        </w:tc>
      </w:tr>
      <w:tr w14:paraId="24F6F71F">
        <w:tc>
          <w:tcPr>
            <w:tcW w:w="3118" w:type="dxa"/>
            <w:tcBorders>
              <w:top w:val="nil"/>
              <w:left w:val="nil"/>
              <w:bottom w:val="single" w:color="000000" w:sz="12" w:space="0"/>
              <w:right w:val="nil"/>
            </w:tcBorders>
            <w:vAlign w:val="center"/>
          </w:tcPr>
          <w:p w14:paraId="550B08C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In-hospital mortality, n (%)</w:t>
            </w:r>
          </w:p>
        </w:tc>
        <w:tc>
          <w:tcPr>
            <w:tcW w:w="1701" w:type="dxa"/>
            <w:tcBorders>
              <w:top w:val="nil"/>
              <w:left w:val="nil"/>
              <w:bottom w:val="single" w:color="000000" w:sz="12" w:space="0"/>
              <w:right w:val="nil"/>
            </w:tcBorders>
            <w:vAlign w:val="center"/>
          </w:tcPr>
          <w:p w14:paraId="22A0235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2,072 (29.0)</w:t>
            </w:r>
          </w:p>
        </w:tc>
        <w:tc>
          <w:tcPr>
            <w:tcW w:w="1701" w:type="dxa"/>
            <w:tcBorders>
              <w:top w:val="nil"/>
              <w:left w:val="nil"/>
              <w:bottom w:val="single" w:color="000000" w:sz="12" w:space="0"/>
              <w:right w:val="nil"/>
            </w:tcBorders>
            <w:vAlign w:val="center"/>
          </w:tcPr>
          <w:p w14:paraId="7A03F70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1,812 (28.5)</w:t>
            </w:r>
          </w:p>
        </w:tc>
        <w:tc>
          <w:tcPr>
            <w:tcW w:w="1701" w:type="dxa"/>
            <w:tcBorders>
              <w:top w:val="nil"/>
              <w:left w:val="nil"/>
              <w:bottom w:val="single" w:color="000000" w:sz="12" w:space="0"/>
              <w:right w:val="nil"/>
            </w:tcBorders>
            <w:vAlign w:val="center"/>
          </w:tcPr>
          <w:p w14:paraId="66D7398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260 (33.5)</w:t>
            </w:r>
          </w:p>
        </w:tc>
      </w:tr>
    </w:tbl>
    <w:p w14:paraId="5BDB633F">
      <w:pPr>
        <w:keepNext w:val="0"/>
        <w:keepLines w:val="0"/>
        <w:widowControl w:val="0"/>
        <w:kinsoku/>
        <w:wordWrap/>
        <w:overflowPunct/>
        <w:topLinePunct w:val="0"/>
        <w:autoSpaceDE/>
        <w:autoSpaceDN/>
        <w:bidi w:val="0"/>
        <w:adjustRightInd/>
        <w:snapToGrid/>
        <w:spacing w:before="60" w:after="120" w:line="480" w:lineRule="auto"/>
        <w:textAlignment w:val="auto"/>
      </w:pPr>
      <w:r>
        <w:rPr>
          <w:rFonts w:ascii="Times New Roman" w:hAnsi="Times New Roman" w:eastAsia="Times New Roman" w:cs="Times New Roman"/>
          <w:i/>
          <w:iCs/>
          <w:sz w:val="20"/>
          <w:szCs w:val="20"/>
        </w:rPr>
        <w:t>Continuous variables are reported as median (Q1, Q3); categorical variables as n (%). Descriptive statistics are computed on observed values prior to imputation. Note that the chronic kidney disease and liver disease prevalences in eICU pastHistory are markedly lower than the corresponding MIMIC-IV comorbidity prevalences (Supplementary Table S2), reflecting differences in chronic-condition coding completeness between the structured pastHistory text-pattern field of eICU and the ICD-coded comorbidities of MIMIC-IV; missing-indicator coding combined with median imputation in the propensity score model accommodates these structural differences. The post-matching cohort is balanced on all 42 evaluated covariates (Supplementary Table S7).</w:t>
      </w:r>
    </w:p>
    <w:p w14:paraId="17D77960">
      <w:pPr>
        <w:keepNext w:val="0"/>
        <w:keepLines w:val="0"/>
        <w:widowControl w:val="0"/>
        <w:kinsoku/>
        <w:wordWrap/>
        <w:overflowPunct/>
        <w:topLinePunct w:val="0"/>
        <w:autoSpaceDE/>
        <w:autoSpaceDN/>
        <w:bidi w:val="0"/>
        <w:adjustRightInd/>
        <w:snapToGrid/>
        <w:spacing w:line="480" w:lineRule="auto"/>
        <w:textAlignment w:val="auto"/>
      </w:pPr>
    </w:p>
    <w:p w14:paraId="2A6FCCA4">
      <w:pPr>
        <w:keepNext w:val="0"/>
        <w:keepLines w:val="0"/>
        <w:widowControl w:val="0"/>
        <w:kinsoku/>
        <w:wordWrap/>
        <w:overflowPunct/>
        <w:topLinePunct w:val="0"/>
        <w:autoSpaceDE/>
        <w:autoSpaceDN/>
        <w:bidi w:val="0"/>
        <w:adjustRightInd/>
        <w:snapToGrid/>
        <w:spacing w:line="480" w:lineRule="auto"/>
        <w:textAlignment w:val="auto"/>
        <w:rPr>
          <w:rFonts w:hint="default" w:ascii="Times New Roman Bold" w:hAnsi="Times New Roman Bold" w:cs="Times New Roman Bold"/>
          <w:b/>
          <w:bCs/>
          <w:sz w:val="24"/>
          <w:szCs w:val="24"/>
        </w:rPr>
      </w:pPr>
      <w:r>
        <w:rPr>
          <w:rFonts w:hint="default" w:ascii="Times New Roman Bold" w:hAnsi="Times New Roman Bold" w:cs="Times New Roman Bold"/>
          <w:b/>
          <w:bCs/>
          <w:sz w:val="24"/>
          <w:szCs w:val="24"/>
        </w:rPr>
        <w:t>Supplementary Table S7. Absolute standardized mean differences (SMDs) for all baseline covariates before and after propensity score matching, eICU-CRD validation cohort.</w:t>
      </w:r>
    </w:p>
    <w:tbl>
      <w:tblPr>
        <w:tblStyle w:val="11"/>
        <w:tblW w:w="822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4819"/>
        <w:gridCol w:w="1701"/>
        <w:gridCol w:w="1701"/>
      </w:tblGrid>
      <w:tr w14:paraId="5C3D0386">
        <w:tc>
          <w:tcPr>
            <w:tcW w:w="4819" w:type="dxa"/>
            <w:tcBorders>
              <w:top w:val="single" w:color="000000" w:sz="12" w:space="0"/>
              <w:left w:val="nil"/>
              <w:bottom w:val="single" w:color="000000" w:sz="6" w:space="0"/>
              <w:right w:val="nil"/>
            </w:tcBorders>
            <w:vAlign w:val="center"/>
          </w:tcPr>
          <w:p w14:paraId="4136201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sz w:val="20"/>
                <w:szCs w:val="20"/>
              </w:rPr>
              <w:t>Covariate</w:t>
            </w:r>
          </w:p>
        </w:tc>
        <w:tc>
          <w:tcPr>
            <w:tcW w:w="1701" w:type="dxa"/>
            <w:tcBorders>
              <w:top w:val="single" w:color="000000" w:sz="12" w:space="0"/>
              <w:left w:val="nil"/>
              <w:bottom w:val="single" w:color="000000" w:sz="6" w:space="0"/>
              <w:right w:val="nil"/>
            </w:tcBorders>
            <w:vAlign w:val="center"/>
          </w:tcPr>
          <w:p w14:paraId="6F5D8AD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sz w:val="20"/>
                <w:szCs w:val="20"/>
              </w:rPr>
              <w:t>SMD unmatched</w:t>
            </w:r>
          </w:p>
        </w:tc>
        <w:tc>
          <w:tcPr>
            <w:tcW w:w="1701" w:type="dxa"/>
            <w:tcBorders>
              <w:top w:val="single" w:color="000000" w:sz="12" w:space="0"/>
              <w:left w:val="nil"/>
              <w:bottom w:val="single" w:color="000000" w:sz="6" w:space="0"/>
              <w:right w:val="nil"/>
            </w:tcBorders>
            <w:vAlign w:val="center"/>
          </w:tcPr>
          <w:p w14:paraId="6A19D79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b/>
                <w:bCs/>
                <w:sz w:val="20"/>
                <w:szCs w:val="20"/>
              </w:rPr>
              <w:t>SMD matched</w:t>
            </w:r>
          </w:p>
        </w:tc>
      </w:tr>
      <w:tr w14:paraId="58328380">
        <w:tc>
          <w:tcPr>
            <w:tcW w:w="4819" w:type="dxa"/>
            <w:tcBorders>
              <w:top w:val="nil"/>
              <w:left w:val="nil"/>
              <w:bottom w:val="nil"/>
              <w:right w:val="nil"/>
            </w:tcBorders>
            <w:vAlign w:val="center"/>
          </w:tcPr>
          <w:p w14:paraId="3968511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Propensity score (distance)</w:t>
            </w:r>
          </w:p>
        </w:tc>
        <w:tc>
          <w:tcPr>
            <w:tcW w:w="1701" w:type="dxa"/>
            <w:tcBorders>
              <w:top w:val="nil"/>
              <w:left w:val="nil"/>
              <w:bottom w:val="nil"/>
              <w:right w:val="nil"/>
            </w:tcBorders>
            <w:vAlign w:val="center"/>
          </w:tcPr>
          <w:p w14:paraId="47C596D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0.614</w:t>
            </w:r>
          </w:p>
        </w:tc>
        <w:tc>
          <w:tcPr>
            <w:tcW w:w="1701" w:type="dxa"/>
            <w:tcBorders>
              <w:top w:val="nil"/>
              <w:left w:val="nil"/>
              <w:bottom w:val="nil"/>
              <w:right w:val="nil"/>
            </w:tcBorders>
            <w:vAlign w:val="center"/>
          </w:tcPr>
          <w:p w14:paraId="37A8729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0.003</w:t>
            </w:r>
          </w:p>
        </w:tc>
      </w:tr>
      <w:tr w14:paraId="478BC7F6">
        <w:tc>
          <w:tcPr>
            <w:tcW w:w="4819" w:type="dxa"/>
            <w:tcBorders>
              <w:top w:val="nil"/>
              <w:left w:val="nil"/>
              <w:bottom w:val="nil"/>
              <w:right w:val="nil"/>
            </w:tcBorders>
            <w:vAlign w:val="center"/>
          </w:tcPr>
          <w:p w14:paraId="1BD40EB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Age at ICU admission</w:t>
            </w:r>
          </w:p>
        </w:tc>
        <w:tc>
          <w:tcPr>
            <w:tcW w:w="1701" w:type="dxa"/>
            <w:tcBorders>
              <w:top w:val="nil"/>
              <w:left w:val="nil"/>
              <w:bottom w:val="nil"/>
              <w:right w:val="nil"/>
            </w:tcBorders>
            <w:vAlign w:val="center"/>
          </w:tcPr>
          <w:p w14:paraId="59D81B0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0.048</w:t>
            </w:r>
          </w:p>
        </w:tc>
        <w:tc>
          <w:tcPr>
            <w:tcW w:w="1701" w:type="dxa"/>
            <w:tcBorders>
              <w:top w:val="nil"/>
              <w:left w:val="nil"/>
              <w:bottom w:val="nil"/>
              <w:right w:val="nil"/>
            </w:tcBorders>
            <w:vAlign w:val="center"/>
          </w:tcPr>
          <w:p w14:paraId="070AC52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0.031</w:t>
            </w:r>
          </w:p>
        </w:tc>
      </w:tr>
      <w:tr w14:paraId="5E3FCB57">
        <w:tc>
          <w:tcPr>
            <w:tcW w:w="4819" w:type="dxa"/>
            <w:tcBorders>
              <w:top w:val="nil"/>
              <w:left w:val="nil"/>
              <w:bottom w:val="nil"/>
              <w:right w:val="nil"/>
            </w:tcBorders>
            <w:vAlign w:val="center"/>
          </w:tcPr>
          <w:p w14:paraId="3AAB3E3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Male sex</w:t>
            </w:r>
          </w:p>
        </w:tc>
        <w:tc>
          <w:tcPr>
            <w:tcW w:w="1701" w:type="dxa"/>
            <w:tcBorders>
              <w:top w:val="nil"/>
              <w:left w:val="nil"/>
              <w:bottom w:val="nil"/>
              <w:right w:val="nil"/>
            </w:tcBorders>
            <w:vAlign w:val="center"/>
          </w:tcPr>
          <w:p w14:paraId="5F239A9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0.025</w:t>
            </w:r>
          </w:p>
        </w:tc>
        <w:tc>
          <w:tcPr>
            <w:tcW w:w="1701" w:type="dxa"/>
            <w:tcBorders>
              <w:top w:val="nil"/>
              <w:left w:val="nil"/>
              <w:bottom w:val="nil"/>
              <w:right w:val="nil"/>
            </w:tcBorders>
            <w:vAlign w:val="center"/>
          </w:tcPr>
          <w:p w14:paraId="7308226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0.007</w:t>
            </w:r>
          </w:p>
        </w:tc>
      </w:tr>
      <w:tr w14:paraId="16D2DF79">
        <w:tc>
          <w:tcPr>
            <w:tcW w:w="4819" w:type="dxa"/>
            <w:tcBorders>
              <w:top w:val="nil"/>
              <w:left w:val="nil"/>
              <w:bottom w:val="nil"/>
              <w:right w:val="nil"/>
            </w:tcBorders>
            <w:vAlign w:val="center"/>
          </w:tcPr>
          <w:p w14:paraId="0CF8F60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Weight, kg</w:t>
            </w:r>
          </w:p>
        </w:tc>
        <w:tc>
          <w:tcPr>
            <w:tcW w:w="1701" w:type="dxa"/>
            <w:tcBorders>
              <w:top w:val="nil"/>
              <w:left w:val="nil"/>
              <w:bottom w:val="nil"/>
              <w:right w:val="nil"/>
            </w:tcBorders>
            <w:vAlign w:val="center"/>
          </w:tcPr>
          <w:p w14:paraId="3395E87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0.063</w:t>
            </w:r>
          </w:p>
        </w:tc>
        <w:tc>
          <w:tcPr>
            <w:tcW w:w="1701" w:type="dxa"/>
            <w:tcBorders>
              <w:top w:val="nil"/>
              <w:left w:val="nil"/>
              <w:bottom w:val="nil"/>
              <w:right w:val="nil"/>
            </w:tcBorders>
            <w:vAlign w:val="center"/>
          </w:tcPr>
          <w:p w14:paraId="621E340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0.002</w:t>
            </w:r>
          </w:p>
        </w:tc>
      </w:tr>
      <w:tr w14:paraId="391F7BEF">
        <w:tc>
          <w:tcPr>
            <w:tcW w:w="4819" w:type="dxa"/>
            <w:tcBorders>
              <w:top w:val="nil"/>
              <w:left w:val="nil"/>
              <w:bottom w:val="nil"/>
              <w:right w:val="nil"/>
            </w:tcBorders>
            <w:vAlign w:val="center"/>
          </w:tcPr>
          <w:p w14:paraId="01F81D9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Hours since first norepinephrine</w:t>
            </w:r>
          </w:p>
        </w:tc>
        <w:tc>
          <w:tcPr>
            <w:tcW w:w="1701" w:type="dxa"/>
            <w:tcBorders>
              <w:top w:val="nil"/>
              <w:left w:val="nil"/>
              <w:bottom w:val="nil"/>
              <w:right w:val="nil"/>
            </w:tcBorders>
            <w:vAlign w:val="center"/>
          </w:tcPr>
          <w:p w14:paraId="49DC319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0.315</w:t>
            </w:r>
          </w:p>
        </w:tc>
        <w:tc>
          <w:tcPr>
            <w:tcW w:w="1701" w:type="dxa"/>
            <w:tcBorders>
              <w:top w:val="nil"/>
              <w:left w:val="nil"/>
              <w:bottom w:val="nil"/>
              <w:right w:val="nil"/>
            </w:tcBorders>
            <w:vAlign w:val="center"/>
          </w:tcPr>
          <w:p w14:paraId="2543844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0.054</w:t>
            </w:r>
          </w:p>
        </w:tc>
      </w:tr>
      <w:tr w14:paraId="5D8EC9F2">
        <w:tc>
          <w:tcPr>
            <w:tcW w:w="4819" w:type="dxa"/>
            <w:tcBorders>
              <w:top w:val="nil"/>
              <w:left w:val="nil"/>
              <w:bottom w:val="nil"/>
              <w:right w:val="nil"/>
            </w:tcBorders>
            <w:vAlign w:val="center"/>
          </w:tcPr>
          <w:p w14:paraId="2E3C0DC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Hours since ICU admission</w:t>
            </w:r>
          </w:p>
        </w:tc>
        <w:tc>
          <w:tcPr>
            <w:tcW w:w="1701" w:type="dxa"/>
            <w:tcBorders>
              <w:top w:val="nil"/>
              <w:left w:val="nil"/>
              <w:bottom w:val="nil"/>
              <w:right w:val="nil"/>
            </w:tcBorders>
            <w:vAlign w:val="center"/>
          </w:tcPr>
          <w:p w14:paraId="2668088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0.264</w:t>
            </w:r>
          </w:p>
        </w:tc>
        <w:tc>
          <w:tcPr>
            <w:tcW w:w="1701" w:type="dxa"/>
            <w:tcBorders>
              <w:top w:val="nil"/>
              <w:left w:val="nil"/>
              <w:bottom w:val="nil"/>
              <w:right w:val="nil"/>
            </w:tcBorders>
            <w:vAlign w:val="center"/>
          </w:tcPr>
          <w:p w14:paraId="5FD08A7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0.033</w:t>
            </w:r>
          </w:p>
        </w:tc>
      </w:tr>
      <w:tr w14:paraId="03697B0E">
        <w:tc>
          <w:tcPr>
            <w:tcW w:w="4819" w:type="dxa"/>
            <w:tcBorders>
              <w:top w:val="nil"/>
              <w:left w:val="nil"/>
              <w:bottom w:val="nil"/>
              <w:right w:val="nil"/>
            </w:tcBorders>
            <w:vAlign w:val="center"/>
          </w:tcPr>
          <w:p w14:paraId="7C2216B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Norepinephrine dose at index</w:t>
            </w:r>
          </w:p>
        </w:tc>
        <w:tc>
          <w:tcPr>
            <w:tcW w:w="1701" w:type="dxa"/>
            <w:tcBorders>
              <w:top w:val="nil"/>
              <w:left w:val="nil"/>
              <w:bottom w:val="nil"/>
              <w:right w:val="nil"/>
            </w:tcBorders>
            <w:vAlign w:val="center"/>
          </w:tcPr>
          <w:p w14:paraId="2BD52B3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0.023</w:t>
            </w:r>
          </w:p>
        </w:tc>
        <w:tc>
          <w:tcPr>
            <w:tcW w:w="1701" w:type="dxa"/>
            <w:tcBorders>
              <w:top w:val="nil"/>
              <w:left w:val="nil"/>
              <w:bottom w:val="nil"/>
              <w:right w:val="nil"/>
            </w:tcBorders>
            <w:vAlign w:val="center"/>
          </w:tcPr>
          <w:p w14:paraId="1AC9A71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0.010</w:t>
            </w:r>
          </w:p>
        </w:tc>
      </w:tr>
      <w:tr w14:paraId="0B42187F">
        <w:tc>
          <w:tcPr>
            <w:tcW w:w="4819" w:type="dxa"/>
            <w:tcBorders>
              <w:top w:val="nil"/>
              <w:left w:val="nil"/>
              <w:bottom w:val="nil"/>
              <w:right w:val="nil"/>
            </w:tcBorders>
            <w:vAlign w:val="center"/>
          </w:tcPr>
          <w:p w14:paraId="47DB36A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Norepinephrine dose 3 h prior</w:t>
            </w:r>
          </w:p>
        </w:tc>
        <w:tc>
          <w:tcPr>
            <w:tcW w:w="1701" w:type="dxa"/>
            <w:tcBorders>
              <w:top w:val="nil"/>
              <w:left w:val="nil"/>
              <w:bottom w:val="nil"/>
              <w:right w:val="nil"/>
            </w:tcBorders>
            <w:vAlign w:val="center"/>
          </w:tcPr>
          <w:p w14:paraId="4CCCC6C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0.029</w:t>
            </w:r>
          </w:p>
        </w:tc>
        <w:tc>
          <w:tcPr>
            <w:tcW w:w="1701" w:type="dxa"/>
            <w:tcBorders>
              <w:top w:val="nil"/>
              <w:left w:val="nil"/>
              <w:bottom w:val="nil"/>
              <w:right w:val="nil"/>
            </w:tcBorders>
            <w:vAlign w:val="center"/>
          </w:tcPr>
          <w:p w14:paraId="7EBCF5D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0.017</w:t>
            </w:r>
          </w:p>
        </w:tc>
      </w:tr>
      <w:tr w14:paraId="2610D505">
        <w:tc>
          <w:tcPr>
            <w:tcW w:w="4819" w:type="dxa"/>
            <w:tcBorders>
              <w:top w:val="nil"/>
              <w:left w:val="nil"/>
              <w:bottom w:val="nil"/>
              <w:right w:val="nil"/>
            </w:tcBorders>
            <w:vAlign w:val="center"/>
          </w:tcPr>
          <w:p w14:paraId="2116908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Norepinephrine dose 6 h prior</w:t>
            </w:r>
          </w:p>
        </w:tc>
        <w:tc>
          <w:tcPr>
            <w:tcW w:w="1701" w:type="dxa"/>
            <w:tcBorders>
              <w:top w:val="nil"/>
              <w:left w:val="nil"/>
              <w:bottom w:val="nil"/>
              <w:right w:val="nil"/>
            </w:tcBorders>
            <w:vAlign w:val="center"/>
          </w:tcPr>
          <w:p w14:paraId="6B779F0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0.037</w:t>
            </w:r>
          </w:p>
        </w:tc>
        <w:tc>
          <w:tcPr>
            <w:tcW w:w="1701" w:type="dxa"/>
            <w:tcBorders>
              <w:top w:val="nil"/>
              <w:left w:val="nil"/>
              <w:bottom w:val="nil"/>
              <w:right w:val="nil"/>
            </w:tcBorders>
            <w:vAlign w:val="center"/>
          </w:tcPr>
          <w:p w14:paraId="2A153F8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0.001</w:t>
            </w:r>
          </w:p>
        </w:tc>
      </w:tr>
      <w:tr w14:paraId="29F3C8DC">
        <w:tc>
          <w:tcPr>
            <w:tcW w:w="4819" w:type="dxa"/>
            <w:tcBorders>
              <w:top w:val="nil"/>
              <w:left w:val="nil"/>
              <w:bottom w:val="nil"/>
              <w:right w:val="nil"/>
            </w:tcBorders>
            <w:vAlign w:val="center"/>
          </w:tcPr>
          <w:p w14:paraId="2BFBCB2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Norepinephrine peak (prior 6 h)</w:t>
            </w:r>
          </w:p>
        </w:tc>
        <w:tc>
          <w:tcPr>
            <w:tcW w:w="1701" w:type="dxa"/>
            <w:tcBorders>
              <w:top w:val="nil"/>
              <w:left w:val="nil"/>
              <w:bottom w:val="nil"/>
              <w:right w:val="nil"/>
            </w:tcBorders>
            <w:vAlign w:val="center"/>
          </w:tcPr>
          <w:p w14:paraId="47976D2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0.048</w:t>
            </w:r>
          </w:p>
        </w:tc>
        <w:tc>
          <w:tcPr>
            <w:tcW w:w="1701" w:type="dxa"/>
            <w:tcBorders>
              <w:top w:val="nil"/>
              <w:left w:val="nil"/>
              <w:bottom w:val="nil"/>
              <w:right w:val="nil"/>
            </w:tcBorders>
            <w:vAlign w:val="center"/>
          </w:tcPr>
          <w:p w14:paraId="156F761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0.002</w:t>
            </w:r>
          </w:p>
        </w:tc>
      </w:tr>
      <w:tr w14:paraId="1CDD5215">
        <w:tc>
          <w:tcPr>
            <w:tcW w:w="4819" w:type="dxa"/>
            <w:tcBorders>
              <w:top w:val="nil"/>
              <w:left w:val="nil"/>
              <w:bottom w:val="nil"/>
              <w:right w:val="nil"/>
            </w:tcBorders>
            <w:vAlign w:val="center"/>
          </w:tcPr>
          <w:p w14:paraId="7141929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Trajectory: rising</w:t>
            </w:r>
          </w:p>
        </w:tc>
        <w:tc>
          <w:tcPr>
            <w:tcW w:w="1701" w:type="dxa"/>
            <w:tcBorders>
              <w:top w:val="nil"/>
              <w:left w:val="nil"/>
              <w:bottom w:val="nil"/>
              <w:right w:val="nil"/>
            </w:tcBorders>
            <w:vAlign w:val="center"/>
          </w:tcPr>
          <w:p w14:paraId="370E188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0.002</w:t>
            </w:r>
          </w:p>
        </w:tc>
        <w:tc>
          <w:tcPr>
            <w:tcW w:w="1701" w:type="dxa"/>
            <w:tcBorders>
              <w:top w:val="nil"/>
              <w:left w:val="nil"/>
              <w:bottom w:val="nil"/>
              <w:right w:val="nil"/>
            </w:tcBorders>
            <w:vAlign w:val="center"/>
          </w:tcPr>
          <w:p w14:paraId="3698905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0.005</w:t>
            </w:r>
          </w:p>
        </w:tc>
      </w:tr>
      <w:tr w14:paraId="71C45750">
        <w:tc>
          <w:tcPr>
            <w:tcW w:w="4819" w:type="dxa"/>
            <w:tcBorders>
              <w:top w:val="nil"/>
              <w:left w:val="nil"/>
              <w:bottom w:val="nil"/>
              <w:right w:val="nil"/>
            </w:tcBorders>
            <w:vAlign w:val="center"/>
          </w:tcPr>
          <w:p w14:paraId="66510A1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Trajectory: stable</w:t>
            </w:r>
          </w:p>
        </w:tc>
        <w:tc>
          <w:tcPr>
            <w:tcW w:w="1701" w:type="dxa"/>
            <w:tcBorders>
              <w:top w:val="nil"/>
              <w:left w:val="nil"/>
              <w:bottom w:val="nil"/>
              <w:right w:val="nil"/>
            </w:tcBorders>
            <w:vAlign w:val="center"/>
          </w:tcPr>
          <w:p w14:paraId="716C936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0.022</w:t>
            </w:r>
          </w:p>
        </w:tc>
        <w:tc>
          <w:tcPr>
            <w:tcW w:w="1701" w:type="dxa"/>
            <w:tcBorders>
              <w:top w:val="nil"/>
              <w:left w:val="nil"/>
              <w:bottom w:val="nil"/>
              <w:right w:val="nil"/>
            </w:tcBorders>
            <w:vAlign w:val="center"/>
          </w:tcPr>
          <w:p w14:paraId="10A59C8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0.013</w:t>
            </w:r>
          </w:p>
        </w:tc>
      </w:tr>
      <w:tr w14:paraId="7162AED6">
        <w:tc>
          <w:tcPr>
            <w:tcW w:w="4819" w:type="dxa"/>
            <w:tcBorders>
              <w:top w:val="nil"/>
              <w:left w:val="nil"/>
              <w:bottom w:val="nil"/>
              <w:right w:val="nil"/>
            </w:tcBorders>
            <w:vAlign w:val="center"/>
          </w:tcPr>
          <w:p w14:paraId="1A2703C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Trajectory: falling</w:t>
            </w:r>
          </w:p>
        </w:tc>
        <w:tc>
          <w:tcPr>
            <w:tcW w:w="1701" w:type="dxa"/>
            <w:tcBorders>
              <w:top w:val="nil"/>
              <w:left w:val="nil"/>
              <w:bottom w:val="nil"/>
              <w:right w:val="nil"/>
            </w:tcBorders>
            <w:vAlign w:val="center"/>
          </w:tcPr>
          <w:p w14:paraId="7052E93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0.003</w:t>
            </w:r>
          </w:p>
        </w:tc>
        <w:tc>
          <w:tcPr>
            <w:tcW w:w="1701" w:type="dxa"/>
            <w:tcBorders>
              <w:top w:val="nil"/>
              <w:left w:val="nil"/>
              <w:bottom w:val="nil"/>
              <w:right w:val="nil"/>
            </w:tcBorders>
            <w:vAlign w:val="center"/>
          </w:tcPr>
          <w:p w14:paraId="59D5309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0.004</w:t>
            </w:r>
          </w:p>
        </w:tc>
      </w:tr>
      <w:tr w14:paraId="57D0821A">
        <w:tc>
          <w:tcPr>
            <w:tcW w:w="4819" w:type="dxa"/>
            <w:tcBorders>
              <w:top w:val="nil"/>
              <w:left w:val="nil"/>
              <w:bottom w:val="nil"/>
              <w:right w:val="nil"/>
            </w:tcBorders>
            <w:vAlign w:val="center"/>
          </w:tcPr>
          <w:p w14:paraId="6CCAD5D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On vasopressin</w:t>
            </w:r>
          </w:p>
        </w:tc>
        <w:tc>
          <w:tcPr>
            <w:tcW w:w="1701" w:type="dxa"/>
            <w:tcBorders>
              <w:top w:val="nil"/>
              <w:left w:val="nil"/>
              <w:bottom w:val="nil"/>
              <w:right w:val="nil"/>
            </w:tcBorders>
            <w:vAlign w:val="center"/>
          </w:tcPr>
          <w:p w14:paraId="29867AD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0.021</w:t>
            </w:r>
          </w:p>
        </w:tc>
        <w:tc>
          <w:tcPr>
            <w:tcW w:w="1701" w:type="dxa"/>
            <w:tcBorders>
              <w:top w:val="nil"/>
              <w:left w:val="nil"/>
              <w:bottom w:val="nil"/>
              <w:right w:val="nil"/>
            </w:tcBorders>
            <w:vAlign w:val="center"/>
          </w:tcPr>
          <w:p w14:paraId="552430B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0.009</w:t>
            </w:r>
          </w:p>
        </w:tc>
      </w:tr>
      <w:tr w14:paraId="79B3C3F7">
        <w:tc>
          <w:tcPr>
            <w:tcW w:w="4819" w:type="dxa"/>
            <w:tcBorders>
              <w:top w:val="nil"/>
              <w:left w:val="nil"/>
              <w:bottom w:val="nil"/>
              <w:right w:val="nil"/>
            </w:tcBorders>
            <w:vAlign w:val="center"/>
          </w:tcPr>
          <w:p w14:paraId="4F3C3FC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On epinephrine</w:t>
            </w:r>
          </w:p>
        </w:tc>
        <w:tc>
          <w:tcPr>
            <w:tcW w:w="1701" w:type="dxa"/>
            <w:tcBorders>
              <w:top w:val="nil"/>
              <w:left w:val="nil"/>
              <w:bottom w:val="nil"/>
              <w:right w:val="nil"/>
            </w:tcBorders>
            <w:vAlign w:val="center"/>
          </w:tcPr>
          <w:p w14:paraId="25FCB3A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0.010</w:t>
            </w:r>
          </w:p>
        </w:tc>
        <w:tc>
          <w:tcPr>
            <w:tcW w:w="1701" w:type="dxa"/>
            <w:tcBorders>
              <w:top w:val="nil"/>
              <w:left w:val="nil"/>
              <w:bottom w:val="nil"/>
              <w:right w:val="nil"/>
            </w:tcBorders>
            <w:vAlign w:val="center"/>
          </w:tcPr>
          <w:p w14:paraId="65BA7BC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0.003</w:t>
            </w:r>
          </w:p>
        </w:tc>
      </w:tr>
      <w:tr w14:paraId="0F266F7B">
        <w:tc>
          <w:tcPr>
            <w:tcW w:w="4819" w:type="dxa"/>
            <w:tcBorders>
              <w:top w:val="nil"/>
              <w:left w:val="nil"/>
              <w:bottom w:val="nil"/>
              <w:right w:val="nil"/>
            </w:tcBorders>
            <w:vAlign w:val="center"/>
          </w:tcPr>
          <w:p w14:paraId="5AD36D6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On phenylephrine</w:t>
            </w:r>
          </w:p>
        </w:tc>
        <w:tc>
          <w:tcPr>
            <w:tcW w:w="1701" w:type="dxa"/>
            <w:tcBorders>
              <w:top w:val="nil"/>
              <w:left w:val="nil"/>
              <w:bottom w:val="nil"/>
              <w:right w:val="nil"/>
            </w:tcBorders>
            <w:vAlign w:val="center"/>
          </w:tcPr>
          <w:p w14:paraId="32DA188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0.018</w:t>
            </w:r>
          </w:p>
        </w:tc>
        <w:tc>
          <w:tcPr>
            <w:tcW w:w="1701" w:type="dxa"/>
            <w:tcBorders>
              <w:top w:val="nil"/>
              <w:left w:val="nil"/>
              <w:bottom w:val="nil"/>
              <w:right w:val="nil"/>
            </w:tcBorders>
            <w:vAlign w:val="center"/>
          </w:tcPr>
          <w:p w14:paraId="08FFC32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0.005</w:t>
            </w:r>
          </w:p>
        </w:tc>
      </w:tr>
      <w:tr w14:paraId="2EDAAD2D">
        <w:tc>
          <w:tcPr>
            <w:tcW w:w="4819" w:type="dxa"/>
            <w:tcBorders>
              <w:top w:val="nil"/>
              <w:left w:val="nil"/>
              <w:bottom w:val="nil"/>
              <w:right w:val="nil"/>
            </w:tcBorders>
            <w:vAlign w:val="center"/>
          </w:tcPr>
          <w:p w14:paraId="6AE7716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On dopamine</w:t>
            </w:r>
          </w:p>
        </w:tc>
        <w:tc>
          <w:tcPr>
            <w:tcW w:w="1701" w:type="dxa"/>
            <w:tcBorders>
              <w:top w:val="nil"/>
              <w:left w:val="nil"/>
              <w:bottom w:val="nil"/>
              <w:right w:val="nil"/>
            </w:tcBorders>
            <w:vAlign w:val="center"/>
          </w:tcPr>
          <w:p w14:paraId="23AA9DF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0.018</w:t>
            </w:r>
          </w:p>
        </w:tc>
        <w:tc>
          <w:tcPr>
            <w:tcW w:w="1701" w:type="dxa"/>
            <w:tcBorders>
              <w:top w:val="nil"/>
              <w:left w:val="nil"/>
              <w:bottom w:val="nil"/>
              <w:right w:val="nil"/>
            </w:tcBorders>
            <w:vAlign w:val="center"/>
          </w:tcPr>
          <w:p w14:paraId="58837E9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0.004</w:t>
            </w:r>
          </w:p>
        </w:tc>
      </w:tr>
      <w:tr w14:paraId="77E22BFE">
        <w:tc>
          <w:tcPr>
            <w:tcW w:w="4819" w:type="dxa"/>
            <w:tcBorders>
              <w:top w:val="nil"/>
              <w:left w:val="nil"/>
              <w:bottom w:val="nil"/>
              <w:right w:val="nil"/>
            </w:tcBorders>
            <w:vAlign w:val="center"/>
          </w:tcPr>
          <w:p w14:paraId="29A8EDC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On dobutamine</w:t>
            </w:r>
          </w:p>
        </w:tc>
        <w:tc>
          <w:tcPr>
            <w:tcW w:w="1701" w:type="dxa"/>
            <w:tcBorders>
              <w:top w:val="nil"/>
              <w:left w:val="nil"/>
              <w:bottom w:val="nil"/>
              <w:right w:val="nil"/>
            </w:tcBorders>
            <w:vAlign w:val="center"/>
          </w:tcPr>
          <w:p w14:paraId="27231EB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0.018</w:t>
            </w:r>
          </w:p>
        </w:tc>
        <w:tc>
          <w:tcPr>
            <w:tcW w:w="1701" w:type="dxa"/>
            <w:tcBorders>
              <w:top w:val="nil"/>
              <w:left w:val="nil"/>
              <w:bottom w:val="nil"/>
              <w:right w:val="nil"/>
            </w:tcBorders>
            <w:vAlign w:val="center"/>
          </w:tcPr>
          <w:p w14:paraId="32DF567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0.001</w:t>
            </w:r>
          </w:p>
        </w:tc>
      </w:tr>
      <w:tr w14:paraId="74A9C073">
        <w:tc>
          <w:tcPr>
            <w:tcW w:w="4819" w:type="dxa"/>
            <w:tcBorders>
              <w:top w:val="nil"/>
              <w:left w:val="nil"/>
              <w:bottom w:val="nil"/>
              <w:right w:val="nil"/>
            </w:tcBorders>
            <w:vAlign w:val="center"/>
          </w:tcPr>
          <w:p w14:paraId="34615EE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Mean arterial pressure</w:t>
            </w:r>
          </w:p>
        </w:tc>
        <w:tc>
          <w:tcPr>
            <w:tcW w:w="1701" w:type="dxa"/>
            <w:tcBorders>
              <w:top w:val="nil"/>
              <w:left w:val="nil"/>
              <w:bottom w:val="nil"/>
              <w:right w:val="nil"/>
            </w:tcBorders>
            <w:vAlign w:val="center"/>
          </w:tcPr>
          <w:p w14:paraId="1C71EC2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0.053</w:t>
            </w:r>
          </w:p>
        </w:tc>
        <w:tc>
          <w:tcPr>
            <w:tcW w:w="1701" w:type="dxa"/>
            <w:tcBorders>
              <w:top w:val="nil"/>
              <w:left w:val="nil"/>
              <w:bottom w:val="nil"/>
              <w:right w:val="nil"/>
            </w:tcBorders>
            <w:vAlign w:val="center"/>
          </w:tcPr>
          <w:p w14:paraId="3E0D2F2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0.013</w:t>
            </w:r>
          </w:p>
        </w:tc>
      </w:tr>
      <w:tr w14:paraId="793B7F04">
        <w:tc>
          <w:tcPr>
            <w:tcW w:w="4819" w:type="dxa"/>
            <w:tcBorders>
              <w:top w:val="nil"/>
              <w:left w:val="nil"/>
              <w:bottom w:val="nil"/>
              <w:right w:val="nil"/>
            </w:tcBorders>
            <w:vAlign w:val="center"/>
          </w:tcPr>
          <w:p w14:paraId="78F88C2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Heart rate</w:t>
            </w:r>
          </w:p>
        </w:tc>
        <w:tc>
          <w:tcPr>
            <w:tcW w:w="1701" w:type="dxa"/>
            <w:tcBorders>
              <w:top w:val="nil"/>
              <w:left w:val="nil"/>
              <w:bottom w:val="nil"/>
              <w:right w:val="nil"/>
            </w:tcBorders>
            <w:vAlign w:val="center"/>
          </w:tcPr>
          <w:p w14:paraId="08B3D4D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0.081</w:t>
            </w:r>
          </w:p>
        </w:tc>
        <w:tc>
          <w:tcPr>
            <w:tcW w:w="1701" w:type="dxa"/>
            <w:tcBorders>
              <w:top w:val="nil"/>
              <w:left w:val="nil"/>
              <w:bottom w:val="nil"/>
              <w:right w:val="nil"/>
            </w:tcBorders>
            <w:vAlign w:val="center"/>
          </w:tcPr>
          <w:p w14:paraId="51021BD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0.046</w:t>
            </w:r>
          </w:p>
        </w:tc>
      </w:tr>
      <w:tr w14:paraId="706B9E9A">
        <w:tc>
          <w:tcPr>
            <w:tcW w:w="4819" w:type="dxa"/>
            <w:tcBorders>
              <w:top w:val="nil"/>
              <w:left w:val="nil"/>
              <w:bottom w:val="nil"/>
              <w:right w:val="nil"/>
            </w:tcBorders>
            <w:vAlign w:val="center"/>
          </w:tcPr>
          <w:p w14:paraId="0E026DE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Peripheral oxygen saturation</w:t>
            </w:r>
          </w:p>
        </w:tc>
        <w:tc>
          <w:tcPr>
            <w:tcW w:w="1701" w:type="dxa"/>
            <w:tcBorders>
              <w:top w:val="nil"/>
              <w:left w:val="nil"/>
              <w:bottom w:val="nil"/>
              <w:right w:val="nil"/>
            </w:tcBorders>
            <w:vAlign w:val="center"/>
          </w:tcPr>
          <w:p w14:paraId="6C21EA3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0.121</w:t>
            </w:r>
          </w:p>
        </w:tc>
        <w:tc>
          <w:tcPr>
            <w:tcW w:w="1701" w:type="dxa"/>
            <w:tcBorders>
              <w:top w:val="nil"/>
              <w:left w:val="nil"/>
              <w:bottom w:val="nil"/>
              <w:right w:val="nil"/>
            </w:tcBorders>
            <w:vAlign w:val="center"/>
          </w:tcPr>
          <w:p w14:paraId="6D31ABD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0.007</w:t>
            </w:r>
          </w:p>
        </w:tc>
      </w:tr>
      <w:tr w14:paraId="43DFB944">
        <w:tc>
          <w:tcPr>
            <w:tcW w:w="4819" w:type="dxa"/>
            <w:tcBorders>
              <w:top w:val="nil"/>
              <w:left w:val="nil"/>
              <w:bottom w:val="nil"/>
              <w:right w:val="nil"/>
            </w:tcBorders>
            <w:vAlign w:val="center"/>
          </w:tcPr>
          <w:p w14:paraId="25046F1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Creatinine</w:t>
            </w:r>
          </w:p>
        </w:tc>
        <w:tc>
          <w:tcPr>
            <w:tcW w:w="1701" w:type="dxa"/>
            <w:tcBorders>
              <w:top w:val="nil"/>
              <w:left w:val="nil"/>
              <w:bottom w:val="nil"/>
              <w:right w:val="nil"/>
            </w:tcBorders>
            <w:vAlign w:val="center"/>
          </w:tcPr>
          <w:p w14:paraId="05558E96">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0.192</w:t>
            </w:r>
          </w:p>
        </w:tc>
        <w:tc>
          <w:tcPr>
            <w:tcW w:w="1701" w:type="dxa"/>
            <w:tcBorders>
              <w:top w:val="nil"/>
              <w:left w:val="nil"/>
              <w:bottom w:val="nil"/>
              <w:right w:val="nil"/>
            </w:tcBorders>
            <w:vAlign w:val="center"/>
          </w:tcPr>
          <w:p w14:paraId="0CBA72B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0.013</w:t>
            </w:r>
          </w:p>
        </w:tc>
      </w:tr>
      <w:tr w14:paraId="038832F7">
        <w:tc>
          <w:tcPr>
            <w:tcW w:w="4819" w:type="dxa"/>
            <w:tcBorders>
              <w:top w:val="nil"/>
              <w:left w:val="nil"/>
              <w:bottom w:val="nil"/>
              <w:right w:val="nil"/>
            </w:tcBorders>
            <w:vAlign w:val="center"/>
          </w:tcPr>
          <w:p w14:paraId="1557730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Blood urea nitrogen</w:t>
            </w:r>
          </w:p>
        </w:tc>
        <w:tc>
          <w:tcPr>
            <w:tcW w:w="1701" w:type="dxa"/>
            <w:tcBorders>
              <w:top w:val="nil"/>
              <w:left w:val="nil"/>
              <w:bottom w:val="nil"/>
              <w:right w:val="nil"/>
            </w:tcBorders>
            <w:vAlign w:val="center"/>
          </w:tcPr>
          <w:p w14:paraId="0315851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0.010</w:t>
            </w:r>
          </w:p>
        </w:tc>
        <w:tc>
          <w:tcPr>
            <w:tcW w:w="1701" w:type="dxa"/>
            <w:tcBorders>
              <w:top w:val="nil"/>
              <w:left w:val="nil"/>
              <w:bottom w:val="nil"/>
              <w:right w:val="nil"/>
            </w:tcBorders>
            <w:vAlign w:val="center"/>
          </w:tcPr>
          <w:p w14:paraId="3F15E5D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0.021</w:t>
            </w:r>
          </w:p>
        </w:tc>
      </w:tr>
      <w:tr w14:paraId="2D012226">
        <w:tc>
          <w:tcPr>
            <w:tcW w:w="4819" w:type="dxa"/>
            <w:tcBorders>
              <w:top w:val="nil"/>
              <w:left w:val="nil"/>
              <w:bottom w:val="nil"/>
              <w:right w:val="nil"/>
            </w:tcBorders>
            <w:vAlign w:val="center"/>
          </w:tcPr>
          <w:p w14:paraId="1215540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Lactate</w:t>
            </w:r>
          </w:p>
        </w:tc>
        <w:tc>
          <w:tcPr>
            <w:tcW w:w="1701" w:type="dxa"/>
            <w:tcBorders>
              <w:top w:val="nil"/>
              <w:left w:val="nil"/>
              <w:bottom w:val="nil"/>
              <w:right w:val="nil"/>
            </w:tcBorders>
            <w:vAlign w:val="center"/>
          </w:tcPr>
          <w:p w14:paraId="2E76F72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0.108</w:t>
            </w:r>
          </w:p>
        </w:tc>
        <w:tc>
          <w:tcPr>
            <w:tcW w:w="1701" w:type="dxa"/>
            <w:tcBorders>
              <w:top w:val="nil"/>
              <w:left w:val="nil"/>
              <w:bottom w:val="nil"/>
              <w:right w:val="nil"/>
            </w:tcBorders>
            <w:vAlign w:val="center"/>
          </w:tcPr>
          <w:p w14:paraId="0219AC8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0.005</w:t>
            </w:r>
          </w:p>
        </w:tc>
      </w:tr>
      <w:tr w14:paraId="3DE31757">
        <w:tc>
          <w:tcPr>
            <w:tcW w:w="4819" w:type="dxa"/>
            <w:tcBorders>
              <w:top w:val="nil"/>
              <w:left w:val="nil"/>
              <w:bottom w:val="nil"/>
              <w:right w:val="nil"/>
            </w:tcBorders>
            <w:vAlign w:val="center"/>
          </w:tcPr>
          <w:p w14:paraId="1ED5E13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Albumin</w:t>
            </w:r>
          </w:p>
        </w:tc>
        <w:tc>
          <w:tcPr>
            <w:tcW w:w="1701" w:type="dxa"/>
            <w:tcBorders>
              <w:top w:val="nil"/>
              <w:left w:val="nil"/>
              <w:bottom w:val="nil"/>
              <w:right w:val="nil"/>
            </w:tcBorders>
            <w:vAlign w:val="center"/>
          </w:tcPr>
          <w:p w14:paraId="676C4C9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0.139</w:t>
            </w:r>
          </w:p>
        </w:tc>
        <w:tc>
          <w:tcPr>
            <w:tcW w:w="1701" w:type="dxa"/>
            <w:tcBorders>
              <w:top w:val="nil"/>
              <w:left w:val="nil"/>
              <w:bottom w:val="nil"/>
              <w:right w:val="nil"/>
            </w:tcBorders>
            <w:vAlign w:val="center"/>
          </w:tcPr>
          <w:p w14:paraId="64B5224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0.061</w:t>
            </w:r>
          </w:p>
        </w:tc>
      </w:tr>
      <w:tr w14:paraId="3D8D3CD0">
        <w:tc>
          <w:tcPr>
            <w:tcW w:w="4819" w:type="dxa"/>
            <w:tcBorders>
              <w:top w:val="nil"/>
              <w:left w:val="nil"/>
              <w:bottom w:val="nil"/>
              <w:right w:val="nil"/>
            </w:tcBorders>
            <w:vAlign w:val="center"/>
          </w:tcPr>
          <w:p w14:paraId="64128A2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Chloride</w:t>
            </w:r>
          </w:p>
        </w:tc>
        <w:tc>
          <w:tcPr>
            <w:tcW w:w="1701" w:type="dxa"/>
            <w:tcBorders>
              <w:top w:val="nil"/>
              <w:left w:val="nil"/>
              <w:bottom w:val="nil"/>
              <w:right w:val="nil"/>
            </w:tcBorders>
            <w:vAlign w:val="center"/>
          </w:tcPr>
          <w:p w14:paraId="005F633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0.114</w:t>
            </w:r>
          </w:p>
        </w:tc>
        <w:tc>
          <w:tcPr>
            <w:tcW w:w="1701" w:type="dxa"/>
            <w:tcBorders>
              <w:top w:val="nil"/>
              <w:left w:val="nil"/>
              <w:bottom w:val="nil"/>
              <w:right w:val="nil"/>
            </w:tcBorders>
            <w:vAlign w:val="center"/>
          </w:tcPr>
          <w:p w14:paraId="330C4A8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0.006</w:t>
            </w:r>
          </w:p>
        </w:tc>
      </w:tr>
      <w:tr w14:paraId="2DC4F63F">
        <w:tc>
          <w:tcPr>
            <w:tcW w:w="4819" w:type="dxa"/>
            <w:tcBorders>
              <w:top w:val="nil"/>
              <w:left w:val="nil"/>
              <w:bottom w:val="nil"/>
              <w:right w:val="nil"/>
            </w:tcBorders>
            <w:vAlign w:val="center"/>
          </w:tcPr>
          <w:p w14:paraId="5706F59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Bicarbonate</w:t>
            </w:r>
          </w:p>
        </w:tc>
        <w:tc>
          <w:tcPr>
            <w:tcW w:w="1701" w:type="dxa"/>
            <w:tcBorders>
              <w:top w:val="nil"/>
              <w:left w:val="nil"/>
              <w:bottom w:val="nil"/>
              <w:right w:val="nil"/>
            </w:tcBorders>
            <w:vAlign w:val="center"/>
          </w:tcPr>
          <w:p w14:paraId="1E3CB40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0.066</w:t>
            </w:r>
          </w:p>
        </w:tc>
        <w:tc>
          <w:tcPr>
            <w:tcW w:w="1701" w:type="dxa"/>
            <w:tcBorders>
              <w:top w:val="nil"/>
              <w:left w:val="nil"/>
              <w:bottom w:val="nil"/>
              <w:right w:val="nil"/>
            </w:tcBorders>
            <w:vAlign w:val="center"/>
          </w:tcPr>
          <w:p w14:paraId="3533A90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0.004</w:t>
            </w:r>
          </w:p>
        </w:tc>
      </w:tr>
      <w:tr w14:paraId="14AA24FB">
        <w:tc>
          <w:tcPr>
            <w:tcW w:w="4819" w:type="dxa"/>
            <w:tcBorders>
              <w:top w:val="nil"/>
              <w:left w:val="nil"/>
              <w:bottom w:val="nil"/>
              <w:right w:val="nil"/>
            </w:tcBorders>
            <w:vAlign w:val="center"/>
          </w:tcPr>
          <w:p w14:paraId="5949C24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Potassium</w:t>
            </w:r>
          </w:p>
        </w:tc>
        <w:tc>
          <w:tcPr>
            <w:tcW w:w="1701" w:type="dxa"/>
            <w:tcBorders>
              <w:top w:val="nil"/>
              <w:left w:val="nil"/>
              <w:bottom w:val="nil"/>
              <w:right w:val="nil"/>
            </w:tcBorders>
            <w:vAlign w:val="center"/>
          </w:tcPr>
          <w:p w14:paraId="121813A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0.004</w:t>
            </w:r>
          </w:p>
        </w:tc>
        <w:tc>
          <w:tcPr>
            <w:tcW w:w="1701" w:type="dxa"/>
            <w:tcBorders>
              <w:top w:val="nil"/>
              <w:left w:val="nil"/>
              <w:bottom w:val="nil"/>
              <w:right w:val="nil"/>
            </w:tcBorders>
            <w:vAlign w:val="center"/>
          </w:tcPr>
          <w:p w14:paraId="1F6C3D4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0.037</w:t>
            </w:r>
          </w:p>
        </w:tc>
      </w:tr>
      <w:tr w14:paraId="2A127C73">
        <w:tc>
          <w:tcPr>
            <w:tcW w:w="4819" w:type="dxa"/>
            <w:tcBorders>
              <w:top w:val="nil"/>
              <w:left w:val="nil"/>
              <w:bottom w:val="nil"/>
              <w:right w:val="nil"/>
            </w:tcBorders>
            <w:vAlign w:val="center"/>
          </w:tcPr>
          <w:p w14:paraId="6887C80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Arterial pH</w:t>
            </w:r>
          </w:p>
        </w:tc>
        <w:tc>
          <w:tcPr>
            <w:tcW w:w="1701" w:type="dxa"/>
            <w:tcBorders>
              <w:top w:val="nil"/>
              <w:left w:val="nil"/>
              <w:bottom w:val="nil"/>
              <w:right w:val="nil"/>
            </w:tcBorders>
            <w:vAlign w:val="center"/>
          </w:tcPr>
          <w:p w14:paraId="3D6B3B2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0.108</w:t>
            </w:r>
          </w:p>
        </w:tc>
        <w:tc>
          <w:tcPr>
            <w:tcW w:w="1701" w:type="dxa"/>
            <w:tcBorders>
              <w:top w:val="nil"/>
              <w:left w:val="nil"/>
              <w:bottom w:val="nil"/>
              <w:right w:val="nil"/>
            </w:tcBorders>
            <w:vAlign w:val="center"/>
          </w:tcPr>
          <w:p w14:paraId="1A17E377">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0.033</w:t>
            </w:r>
          </w:p>
        </w:tc>
      </w:tr>
      <w:tr w14:paraId="2B96199F">
        <w:tc>
          <w:tcPr>
            <w:tcW w:w="4819" w:type="dxa"/>
            <w:tcBorders>
              <w:top w:val="nil"/>
              <w:left w:val="nil"/>
              <w:bottom w:val="nil"/>
              <w:right w:val="nil"/>
            </w:tcBorders>
            <w:vAlign w:val="center"/>
          </w:tcPr>
          <w:p w14:paraId="13AC87A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APACHE IV score</w:t>
            </w:r>
          </w:p>
        </w:tc>
        <w:tc>
          <w:tcPr>
            <w:tcW w:w="1701" w:type="dxa"/>
            <w:tcBorders>
              <w:top w:val="nil"/>
              <w:left w:val="nil"/>
              <w:bottom w:val="nil"/>
              <w:right w:val="nil"/>
            </w:tcBorders>
            <w:vAlign w:val="center"/>
          </w:tcPr>
          <w:p w14:paraId="17BA638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0.076</w:t>
            </w:r>
          </w:p>
        </w:tc>
        <w:tc>
          <w:tcPr>
            <w:tcW w:w="1701" w:type="dxa"/>
            <w:tcBorders>
              <w:top w:val="nil"/>
              <w:left w:val="nil"/>
              <w:bottom w:val="nil"/>
              <w:right w:val="nil"/>
            </w:tcBorders>
            <w:vAlign w:val="center"/>
          </w:tcPr>
          <w:p w14:paraId="5716B26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0.040</w:t>
            </w:r>
          </w:p>
        </w:tc>
      </w:tr>
      <w:tr w14:paraId="7E214AB5">
        <w:tc>
          <w:tcPr>
            <w:tcW w:w="4819" w:type="dxa"/>
            <w:tcBorders>
              <w:top w:val="nil"/>
              <w:left w:val="nil"/>
              <w:bottom w:val="nil"/>
              <w:right w:val="nil"/>
            </w:tcBorders>
            <w:vAlign w:val="center"/>
          </w:tcPr>
          <w:p w14:paraId="2558A2A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Congestive heart failure</w:t>
            </w:r>
          </w:p>
        </w:tc>
        <w:tc>
          <w:tcPr>
            <w:tcW w:w="1701" w:type="dxa"/>
            <w:tcBorders>
              <w:top w:val="nil"/>
              <w:left w:val="nil"/>
              <w:bottom w:val="nil"/>
              <w:right w:val="nil"/>
            </w:tcBorders>
            <w:vAlign w:val="center"/>
          </w:tcPr>
          <w:p w14:paraId="0C4C6C6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0.049</w:t>
            </w:r>
          </w:p>
        </w:tc>
        <w:tc>
          <w:tcPr>
            <w:tcW w:w="1701" w:type="dxa"/>
            <w:tcBorders>
              <w:top w:val="nil"/>
              <w:left w:val="nil"/>
              <w:bottom w:val="nil"/>
              <w:right w:val="nil"/>
            </w:tcBorders>
            <w:vAlign w:val="center"/>
          </w:tcPr>
          <w:p w14:paraId="4DDD8F5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0.003</w:t>
            </w:r>
          </w:p>
        </w:tc>
      </w:tr>
      <w:tr w14:paraId="5199E1E6">
        <w:tc>
          <w:tcPr>
            <w:tcW w:w="4819" w:type="dxa"/>
            <w:tcBorders>
              <w:top w:val="nil"/>
              <w:left w:val="nil"/>
              <w:bottom w:val="nil"/>
              <w:right w:val="nil"/>
            </w:tcBorders>
            <w:vAlign w:val="center"/>
          </w:tcPr>
          <w:p w14:paraId="1EEF4C9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Chronic kidney disease</w:t>
            </w:r>
          </w:p>
        </w:tc>
        <w:tc>
          <w:tcPr>
            <w:tcW w:w="1701" w:type="dxa"/>
            <w:tcBorders>
              <w:top w:val="nil"/>
              <w:left w:val="nil"/>
              <w:bottom w:val="nil"/>
              <w:right w:val="nil"/>
            </w:tcBorders>
            <w:vAlign w:val="center"/>
          </w:tcPr>
          <w:p w14:paraId="300313F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0.001</w:t>
            </w:r>
          </w:p>
        </w:tc>
        <w:tc>
          <w:tcPr>
            <w:tcW w:w="1701" w:type="dxa"/>
            <w:tcBorders>
              <w:top w:val="nil"/>
              <w:left w:val="nil"/>
              <w:bottom w:val="nil"/>
              <w:right w:val="nil"/>
            </w:tcBorders>
            <w:vAlign w:val="center"/>
          </w:tcPr>
          <w:p w14:paraId="4858F0F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0.000</w:t>
            </w:r>
          </w:p>
        </w:tc>
      </w:tr>
      <w:tr w14:paraId="3E30A8C0">
        <w:tc>
          <w:tcPr>
            <w:tcW w:w="4819" w:type="dxa"/>
            <w:tcBorders>
              <w:top w:val="nil"/>
              <w:left w:val="nil"/>
              <w:bottom w:val="nil"/>
              <w:right w:val="nil"/>
            </w:tcBorders>
            <w:vAlign w:val="center"/>
          </w:tcPr>
          <w:p w14:paraId="6D3E157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Chronic pulmonary disease</w:t>
            </w:r>
          </w:p>
        </w:tc>
        <w:tc>
          <w:tcPr>
            <w:tcW w:w="1701" w:type="dxa"/>
            <w:tcBorders>
              <w:top w:val="nil"/>
              <w:left w:val="nil"/>
              <w:bottom w:val="nil"/>
              <w:right w:val="nil"/>
            </w:tcBorders>
            <w:vAlign w:val="center"/>
          </w:tcPr>
          <w:p w14:paraId="45121A0E">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0.003</w:t>
            </w:r>
          </w:p>
        </w:tc>
        <w:tc>
          <w:tcPr>
            <w:tcW w:w="1701" w:type="dxa"/>
            <w:tcBorders>
              <w:top w:val="nil"/>
              <w:left w:val="nil"/>
              <w:bottom w:val="nil"/>
              <w:right w:val="nil"/>
            </w:tcBorders>
            <w:vAlign w:val="center"/>
          </w:tcPr>
          <w:p w14:paraId="425720B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0.013</w:t>
            </w:r>
          </w:p>
        </w:tc>
      </w:tr>
      <w:tr w14:paraId="5A2FC65D">
        <w:tc>
          <w:tcPr>
            <w:tcW w:w="4819" w:type="dxa"/>
            <w:tcBorders>
              <w:top w:val="nil"/>
              <w:left w:val="nil"/>
              <w:bottom w:val="nil"/>
              <w:right w:val="nil"/>
            </w:tcBorders>
            <w:vAlign w:val="center"/>
          </w:tcPr>
          <w:p w14:paraId="2B62049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Liver disease</w:t>
            </w:r>
          </w:p>
        </w:tc>
        <w:tc>
          <w:tcPr>
            <w:tcW w:w="1701" w:type="dxa"/>
            <w:tcBorders>
              <w:top w:val="nil"/>
              <w:left w:val="nil"/>
              <w:bottom w:val="nil"/>
              <w:right w:val="nil"/>
            </w:tcBorders>
            <w:vAlign w:val="center"/>
          </w:tcPr>
          <w:p w14:paraId="4E8805D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0.000</w:t>
            </w:r>
          </w:p>
        </w:tc>
        <w:tc>
          <w:tcPr>
            <w:tcW w:w="1701" w:type="dxa"/>
            <w:tcBorders>
              <w:top w:val="nil"/>
              <w:left w:val="nil"/>
              <w:bottom w:val="nil"/>
              <w:right w:val="nil"/>
            </w:tcBorders>
            <w:vAlign w:val="center"/>
          </w:tcPr>
          <w:p w14:paraId="25AB07B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0.000</w:t>
            </w:r>
          </w:p>
        </w:tc>
      </w:tr>
      <w:tr w14:paraId="3390726C">
        <w:tc>
          <w:tcPr>
            <w:tcW w:w="4819" w:type="dxa"/>
            <w:tcBorders>
              <w:top w:val="nil"/>
              <w:left w:val="nil"/>
              <w:bottom w:val="nil"/>
              <w:right w:val="nil"/>
            </w:tcBorders>
            <w:vAlign w:val="center"/>
          </w:tcPr>
          <w:p w14:paraId="3FC4D87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On mechanical ventilation</w:t>
            </w:r>
          </w:p>
        </w:tc>
        <w:tc>
          <w:tcPr>
            <w:tcW w:w="1701" w:type="dxa"/>
            <w:tcBorders>
              <w:top w:val="nil"/>
              <w:left w:val="nil"/>
              <w:bottom w:val="nil"/>
              <w:right w:val="nil"/>
            </w:tcBorders>
            <w:vAlign w:val="center"/>
          </w:tcPr>
          <w:p w14:paraId="7F2C7814">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0.088</w:t>
            </w:r>
          </w:p>
        </w:tc>
        <w:tc>
          <w:tcPr>
            <w:tcW w:w="1701" w:type="dxa"/>
            <w:tcBorders>
              <w:top w:val="nil"/>
              <w:left w:val="nil"/>
              <w:bottom w:val="nil"/>
              <w:right w:val="nil"/>
            </w:tcBorders>
            <w:vAlign w:val="center"/>
          </w:tcPr>
          <w:p w14:paraId="00B0679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0.010</w:t>
            </w:r>
          </w:p>
        </w:tc>
      </w:tr>
      <w:tr w14:paraId="5325BC3E">
        <w:tc>
          <w:tcPr>
            <w:tcW w:w="4819" w:type="dxa"/>
            <w:tcBorders>
              <w:top w:val="nil"/>
              <w:left w:val="nil"/>
              <w:bottom w:val="nil"/>
              <w:right w:val="nil"/>
            </w:tcBorders>
            <w:vAlign w:val="center"/>
          </w:tcPr>
          <w:p w14:paraId="40F049B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Norepinephrine dose 3 h prior — missing indicator</w:t>
            </w:r>
          </w:p>
        </w:tc>
        <w:tc>
          <w:tcPr>
            <w:tcW w:w="1701" w:type="dxa"/>
            <w:tcBorders>
              <w:top w:val="nil"/>
              <w:left w:val="nil"/>
              <w:bottom w:val="nil"/>
              <w:right w:val="nil"/>
            </w:tcBorders>
            <w:vAlign w:val="center"/>
          </w:tcPr>
          <w:p w14:paraId="73995EC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0.102</w:t>
            </w:r>
          </w:p>
        </w:tc>
        <w:tc>
          <w:tcPr>
            <w:tcW w:w="1701" w:type="dxa"/>
            <w:tcBorders>
              <w:top w:val="nil"/>
              <w:left w:val="nil"/>
              <w:bottom w:val="nil"/>
              <w:right w:val="nil"/>
            </w:tcBorders>
            <w:vAlign w:val="center"/>
          </w:tcPr>
          <w:p w14:paraId="5903225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0.006</w:t>
            </w:r>
          </w:p>
        </w:tc>
      </w:tr>
      <w:tr w14:paraId="6BF7CA85">
        <w:tc>
          <w:tcPr>
            <w:tcW w:w="4819" w:type="dxa"/>
            <w:tcBorders>
              <w:top w:val="nil"/>
              <w:left w:val="nil"/>
              <w:bottom w:val="nil"/>
              <w:right w:val="nil"/>
            </w:tcBorders>
            <w:vAlign w:val="center"/>
          </w:tcPr>
          <w:p w14:paraId="3A4B97C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Norepinephrine dose 6 h prior — missing indicator</w:t>
            </w:r>
          </w:p>
        </w:tc>
        <w:tc>
          <w:tcPr>
            <w:tcW w:w="1701" w:type="dxa"/>
            <w:tcBorders>
              <w:top w:val="nil"/>
              <w:left w:val="nil"/>
              <w:bottom w:val="nil"/>
              <w:right w:val="nil"/>
            </w:tcBorders>
            <w:vAlign w:val="center"/>
          </w:tcPr>
          <w:p w14:paraId="702EF078">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0.160</w:t>
            </w:r>
          </w:p>
        </w:tc>
        <w:tc>
          <w:tcPr>
            <w:tcW w:w="1701" w:type="dxa"/>
            <w:tcBorders>
              <w:top w:val="nil"/>
              <w:left w:val="nil"/>
              <w:bottom w:val="nil"/>
              <w:right w:val="nil"/>
            </w:tcBorders>
            <w:vAlign w:val="center"/>
          </w:tcPr>
          <w:p w14:paraId="5D35D919">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0.005</w:t>
            </w:r>
          </w:p>
        </w:tc>
      </w:tr>
      <w:tr w14:paraId="4E10AF31">
        <w:tc>
          <w:tcPr>
            <w:tcW w:w="4819" w:type="dxa"/>
            <w:tcBorders>
              <w:top w:val="nil"/>
              <w:left w:val="nil"/>
              <w:bottom w:val="nil"/>
              <w:right w:val="nil"/>
            </w:tcBorders>
            <w:vAlign w:val="center"/>
          </w:tcPr>
          <w:p w14:paraId="38AD9DC2">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Norepinephrine slope (6 h) — missing indicator</w:t>
            </w:r>
          </w:p>
        </w:tc>
        <w:tc>
          <w:tcPr>
            <w:tcW w:w="1701" w:type="dxa"/>
            <w:tcBorders>
              <w:top w:val="nil"/>
              <w:left w:val="nil"/>
              <w:bottom w:val="nil"/>
              <w:right w:val="nil"/>
            </w:tcBorders>
            <w:vAlign w:val="center"/>
          </w:tcPr>
          <w:p w14:paraId="03322CC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0.128</w:t>
            </w:r>
          </w:p>
        </w:tc>
        <w:tc>
          <w:tcPr>
            <w:tcW w:w="1701" w:type="dxa"/>
            <w:tcBorders>
              <w:top w:val="nil"/>
              <w:left w:val="nil"/>
              <w:bottom w:val="nil"/>
              <w:right w:val="nil"/>
            </w:tcBorders>
            <w:vAlign w:val="center"/>
          </w:tcPr>
          <w:p w14:paraId="17BB94CB">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0.003</w:t>
            </w:r>
          </w:p>
        </w:tc>
      </w:tr>
      <w:tr w14:paraId="6251C1D3">
        <w:tc>
          <w:tcPr>
            <w:tcW w:w="4819" w:type="dxa"/>
            <w:tcBorders>
              <w:top w:val="nil"/>
              <w:left w:val="nil"/>
              <w:bottom w:val="nil"/>
              <w:right w:val="nil"/>
            </w:tcBorders>
            <w:vAlign w:val="center"/>
          </w:tcPr>
          <w:p w14:paraId="6CF6811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Mean arterial pressure — missing indicator</w:t>
            </w:r>
          </w:p>
        </w:tc>
        <w:tc>
          <w:tcPr>
            <w:tcW w:w="1701" w:type="dxa"/>
            <w:tcBorders>
              <w:top w:val="nil"/>
              <w:left w:val="nil"/>
              <w:bottom w:val="nil"/>
              <w:right w:val="nil"/>
            </w:tcBorders>
            <w:vAlign w:val="center"/>
          </w:tcPr>
          <w:p w14:paraId="7F0AAEF3">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0.093</w:t>
            </w:r>
          </w:p>
        </w:tc>
        <w:tc>
          <w:tcPr>
            <w:tcW w:w="1701" w:type="dxa"/>
            <w:tcBorders>
              <w:top w:val="nil"/>
              <w:left w:val="nil"/>
              <w:bottom w:val="nil"/>
              <w:right w:val="nil"/>
            </w:tcBorders>
            <w:vAlign w:val="center"/>
          </w:tcPr>
          <w:p w14:paraId="0FEE900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0.003</w:t>
            </w:r>
          </w:p>
        </w:tc>
      </w:tr>
      <w:tr w14:paraId="54B387AE">
        <w:tc>
          <w:tcPr>
            <w:tcW w:w="4819" w:type="dxa"/>
            <w:tcBorders>
              <w:top w:val="nil"/>
              <w:left w:val="nil"/>
              <w:bottom w:val="nil"/>
              <w:right w:val="nil"/>
            </w:tcBorders>
            <w:vAlign w:val="center"/>
          </w:tcPr>
          <w:p w14:paraId="553E666F">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Lactate — missing indicator</w:t>
            </w:r>
          </w:p>
        </w:tc>
        <w:tc>
          <w:tcPr>
            <w:tcW w:w="1701" w:type="dxa"/>
            <w:tcBorders>
              <w:top w:val="nil"/>
              <w:left w:val="nil"/>
              <w:bottom w:val="nil"/>
              <w:right w:val="nil"/>
            </w:tcBorders>
            <w:vAlign w:val="center"/>
          </w:tcPr>
          <w:p w14:paraId="6AF9F8D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0.109</w:t>
            </w:r>
          </w:p>
        </w:tc>
        <w:tc>
          <w:tcPr>
            <w:tcW w:w="1701" w:type="dxa"/>
            <w:tcBorders>
              <w:top w:val="nil"/>
              <w:left w:val="nil"/>
              <w:bottom w:val="nil"/>
              <w:right w:val="nil"/>
            </w:tcBorders>
            <w:vAlign w:val="center"/>
          </w:tcPr>
          <w:p w14:paraId="5CCF8215">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0.009</w:t>
            </w:r>
          </w:p>
        </w:tc>
      </w:tr>
      <w:tr w14:paraId="66B1D1BC">
        <w:tc>
          <w:tcPr>
            <w:tcW w:w="4819" w:type="dxa"/>
            <w:tcBorders>
              <w:top w:val="nil"/>
              <w:left w:val="nil"/>
              <w:bottom w:val="nil"/>
              <w:right w:val="nil"/>
            </w:tcBorders>
            <w:vAlign w:val="center"/>
          </w:tcPr>
          <w:p w14:paraId="42AFEC4C">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Albumin — missing indicator</w:t>
            </w:r>
          </w:p>
        </w:tc>
        <w:tc>
          <w:tcPr>
            <w:tcW w:w="1701" w:type="dxa"/>
            <w:tcBorders>
              <w:top w:val="nil"/>
              <w:left w:val="nil"/>
              <w:bottom w:val="nil"/>
              <w:right w:val="nil"/>
            </w:tcBorders>
            <w:vAlign w:val="center"/>
          </w:tcPr>
          <w:p w14:paraId="7590305A">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0.023</w:t>
            </w:r>
          </w:p>
        </w:tc>
        <w:tc>
          <w:tcPr>
            <w:tcW w:w="1701" w:type="dxa"/>
            <w:tcBorders>
              <w:top w:val="nil"/>
              <w:left w:val="nil"/>
              <w:bottom w:val="nil"/>
              <w:right w:val="nil"/>
            </w:tcBorders>
            <w:vAlign w:val="center"/>
          </w:tcPr>
          <w:p w14:paraId="503B100D">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0.005</w:t>
            </w:r>
          </w:p>
        </w:tc>
      </w:tr>
      <w:tr w14:paraId="3E81EFE3">
        <w:tc>
          <w:tcPr>
            <w:tcW w:w="4819" w:type="dxa"/>
            <w:tcBorders>
              <w:top w:val="nil"/>
              <w:left w:val="nil"/>
              <w:bottom w:val="single" w:color="000000" w:sz="12" w:space="0"/>
              <w:right w:val="nil"/>
            </w:tcBorders>
            <w:vAlign w:val="center"/>
          </w:tcPr>
          <w:p w14:paraId="7669B21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Arterial pH — missing indicator</w:t>
            </w:r>
          </w:p>
        </w:tc>
        <w:tc>
          <w:tcPr>
            <w:tcW w:w="1701" w:type="dxa"/>
            <w:tcBorders>
              <w:top w:val="nil"/>
              <w:left w:val="nil"/>
              <w:bottom w:val="single" w:color="000000" w:sz="12" w:space="0"/>
              <w:right w:val="nil"/>
            </w:tcBorders>
            <w:vAlign w:val="center"/>
          </w:tcPr>
          <w:p w14:paraId="2A8D44A0">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0.069</w:t>
            </w:r>
          </w:p>
        </w:tc>
        <w:tc>
          <w:tcPr>
            <w:tcW w:w="1701" w:type="dxa"/>
            <w:tcBorders>
              <w:top w:val="nil"/>
              <w:left w:val="nil"/>
              <w:bottom w:val="single" w:color="000000" w:sz="12" w:space="0"/>
              <w:right w:val="nil"/>
            </w:tcBorders>
            <w:vAlign w:val="center"/>
          </w:tcPr>
          <w:p w14:paraId="21EDCE91">
            <w:pPr>
              <w:keepNext w:val="0"/>
              <w:keepLines w:val="0"/>
              <w:widowControl w:val="0"/>
              <w:kinsoku/>
              <w:wordWrap/>
              <w:overflowPunct/>
              <w:topLinePunct w:val="0"/>
              <w:autoSpaceDE/>
              <w:autoSpaceDN/>
              <w:bidi w:val="0"/>
              <w:adjustRightInd/>
              <w:snapToGrid/>
              <w:spacing w:line="480" w:lineRule="auto"/>
              <w:jc w:val="center"/>
              <w:textAlignment w:val="auto"/>
            </w:pPr>
            <w:r>
              <w:rPr>
                <w:rFonts w:ascii="Times New Roman" w:hAnsi="Times New Roman" w:eastAsia="Times New Roman" w:cs="Times New Roman"/>
                <w:sz w:val="20"/>
                <w:szCs w:val="20"/>
              </w:rPr>
              <w:t>0.006</w:t>
            </w:r>
          </w:p>
        </w:tc>
      </w:tr>
    </w:tbl>
    <w:p w14:paraId="6DC254E2">
      <w:pPr>
        <w:keepNext w:val="0"/>
        <w:keepLines w:val="0"/>
        <w:widowControl w:val="0"/>
        <w:kinsoku/>
        <w:wordWrap/>
        <w:overflowPunct/>
        <w:topLinePunct w:val="0"/>
        <w:autoSpaceDE/>
        <w:autoSpaceDN/>
        <w:bidi w:val="0"/>
        <w:adjustRightInd/>
        <w:snapToGrid/>
        <w:spacing w:before="60" w:after="120" w:line="480" w:lineRule="auto"/>
        <w:textAlignment w:val="auto"/>
      </w:pPr>
      <w:r>
        <w:rPr>
          <w:rFonts w:ascii="Times New Roman" w:hAnsi="Times New Roman" w:eastAsia="Times New Roman" w:cs="Times New Roman"/>
          <w:i/>
          <w:iCs/>
          <w:sz w:val="20"/>
          <w:szCs w:val="20"/>
        </w:rPr>
        <w:t>SMDs are absolute values. After propensity score matching (1:2 nearest-neighbor on logit propensity, caliper 0.2 SD), all 42 of 42 evaluated covariates achieved SMD below 0.10. Variables ending in ‘missing indicator’ are binary indicators for missingness of the corresponding continuous variable, included alongside median-imputed continuous values in the propensity score model.</w:t>
      </w:r>
    </w:p>
    <w:p w14:paraId="4F30D620">
      <w:pPr>
        <w:keepNext w:val="0"/>
        <w:keepLines w:val="0"/>
        <w:widowControl w:val="0"/>
        <w:kinsoku/>
        <w:wordWrap/>
        <w:overflowPunct/>
        <w:topLinePunct w:val="0"/>
        <w:autoSpaceDE/>
        <w:autoSpaceDN/>
        <w:bidi w:val="0"/>
        <w:adjustRightInd/>
        <w:snapToGrid/>
        <w:spacing w:line="480" w:lineRule="auto"/>
        <w:textAlignment w:val="auto"/>
      </w:pPr>
    </w:p>
    <w:p w14:paraId="0603A269">
      <w:pPr>
        <w:keepNext w:val="0"/>
        <w:keepLines w:val="0"/>
        <w:widowControl w:val="0"/>
        <w:kinsoku/>
        <w:wordWrap/>
        <w:overflowPunct/>
        <w:topLinePunct w:val="0"/>
        <w:autoSpaceDE/>
        <w:autoSpaceDN/>
        <w:bidi w:val="0"/>
        <w:adjustRightInd/>
        <w:snapToGrid/>
        <w:spacing w:before="360" w:after="180" w:line="480" w:lineRule="auto"/>
        <w:textAlignment w:val="auto"/>
      </w:pPr>
      <w:r>
        <w:rPr>
          <w:rFonts w:ascii="Times New Roman" w:hAnsi="Times New Roman" w:eastAsia="Times New Roman" w:cs="Times New Roman"/>
          <w:b/>
          <w:bCs/>
          <w:sz w:val="28"/>
          <w:szCs w:val="28"/>
        </w:rPr>
        <w:t>Supplementary Figure legends</w:t>
      </w:r>
    </w:p>
    <w:p w14:paraId="27FB73B8">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Italic" w:hAnsi="Times New Roman Italic" w:cs="Times New Roman Italic"/>
          <w:i/>
          <w:iCs/>
          <w:sz w:val="22"/>
          <w:szCs w:val="22"/>
        </w:rPr>
      </w:pPr>
      <w:r>
        <w:rPr>
          <w:rFonts w:hint="default" w:ascii="Times New Roman Italic" w:hAnsi="Times New Roman Italic" w:cs="Times New Roman Italic"/>
          <w:i/>
          <w:iCs/>
          <w:sz w:val="22"/>
          <w:szCs w:val="22"/>
        </w:rPr>
        <w:t xml:space="preserve">Supplementary </w:t>
      </w:r>
      <w:r>
        <w:rPr>
          <w:rFonts w:hint="default" w:ascii="Times New Roman Italic" w:hAnsi="Times New Roman Italic" w:cs="Times New Roman Italic"/>
          <w:i/>
          <w:iCs/>
          <w:sz w:val="22"/>
          <w:szCs w:val="22"/>
          <w:lang w:eastAsia="zh-CN"/>
        </w:rPr>
        <w:t>Fig.</w:t>
      </w:r>
      <w:r>
        <w:rPr>
          <w:rFonts w:hint="default" w:ascii="Times New Roman Italic" w:hAnsi="Times New Roman Italic" w:cs="Times New Roman Italic"/>
          <w:i/>
          <w:iCs/>
          <w:sz w:val="22"/>
          <w:szCs w:val="22"/>
        </w:rPr>
        <w:t xml:space="preserve"> S1. Absolute standardized mean differences (SMDs) for all baseline covariates before and after propensity score matching (up to 1:2 ratio, average 1:1.52 after caliper truncation).</w:t>
      </w:r>
    </w:p>
    <w:p w14:paraId="7E8EAA5D">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Italic" w:hAnsi="Times New Roman Italic" w:cs="Times New Roman Italic"/>
          <w:i/>
          <w:iCs/>
          <w:sz w:val="22"/>
          <w:szCs w:val="22"/>
        </w:rPr>
      </w:pPr>
      <w:r>
        <w:rPr>
          <w:rFonts w:hint="default" w:ascii="Times New Roman Italic" w:hAnsi="Times New Roman Italic" w:cs="Times New Roman Italic"/>
          <w:i/>
          <w:iCs/>
          <w:sz w:val="22"/>
          <w:szCs w:val="22"/>
        </w:rPr>
        <w:t xml:space="preserve"> Each row represents a covariate; red points show the unmatched cohort, blue points show the matched cohort. The dashed vertical line at SMD = 0.10 represents the threshold for acceptable post-matching balance. Variables ending in '_missing' are binary missing indicators included alongside the median-imputed continuous variable.</w:t>
      </w:r>
    </w:p>
    <w:p w14:paraId="6CA07F02">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Italic" w:hAnsi="Times New Roman Italic" w:cs="Times New Roman Italic"/>
          <w:i/>
          <w:iCs/>
          <w:sz w:val="22"/>
          <w:szCs w:val="22"/>
        </w:rPr>
      </w:pPr>
    </w:p>
    <w:p w14:paraId="716380FB">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Italic" w:hAnsi="Times New Roman Italic" w:cs="Times New Roman Italic"/>
          <w:i/>
          <w:iCs/>
          <w:sz w:val="22"/>
          <w:szCs w:val="22"/>
        </w:rPr>
      </w:pPr>
      <w:r>
        <w:rPr>
          <w:rFonts w:hint="default" w:ascii="Times New Roman Italic" w:hAnsi="Times New Roman Italic" w:cs="Times New Roman Italic"/>
          <w:i/>
          <w:iCs/>
          <w:sz w:val="22"/>
          <w:szCs w:val="22"/>
        </w:rPr>
        <w:t xml:space="preserve">Supplementary </w:t>
      </w:r>
      <w:r>
        <w:rPr>
          <w:rFonts w:hint="default" w:ascii="Times New Roman Italic" w:hAnsi="Times New Roman Italic" w:cs="Times New Roman Italic"/>
          <w:i/>
          <w:iCs/>
          <w:sz w:val="22"/>
          <w:szCs w:val="22"/>
          <w:lang w:eastAsia="zh-CN"/>
        </w:rPr>
        <w:t>Fig.</w:t>
      </w:r>
      <w:r>
        <w:rPr>
          <w:rFonts w:hint="default" w:ascii="Times New Roman Italic" w:hAnsi="Times New Roman Italic" w:cs="Times New Roman Italic"/>
          <w:i/>
          <w:iCs/>
          <w:sz w:val="22"/>
          <w:szCs w:val="22"/>
        </w:rPr>
        <w:t xml:space="preserve"> S2. Distribution of estimated propensity scores by treatment group, fitted using all baseline covariates. The control distribution (grey) is concentrated at lower propensity values; the diuretic distribution (red) is shifted toward higher values with a long upper tail. The overlap region supports propensity score matching for the central mass of the data; matched analyses exclude treated patients without sufficiently similar controls (caliper truncation) and unmatched controls in the lower propensity tail.</w:t>
      </w:r>
    </w:p>
    <w:p w14:paraId="2D5C9C0F">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Italic" w:hAnsi="Times New Roman Italic" w:cs="Times New Roman Italic"/>
          <w:i/>
          <w:iCs/>
          <w:sz w:val="22"/>
          <w:szCs w:val="22"/>
        </w:rPr>
      </w:pPr>
    </w:p>
    <w:p w14:paraId="07D18CDB">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Italic" w:hAnsi="Times New Roman Italic" w:cs="Times New Roman Italic"/>
          <w:i/>
          <w:iCs/>
          <w:sz w:val="22"/>
          <w:szCs w:val="22"/>
        </w:rPr>
      </w:pPr>
      <w:r>
        <w:rPr>
          <w:rFonts w:hint="default" w:ascii="Times New Roman Italic" w:hAnsi="Times New Roman Italic" w:cs="Times New Roman Italic"/>
          <w:i/>
          <w:iCs/>
          <w:sz w:val="22"/>
          <w:szCs w:val="22"/>
        </w:rPr>
        <w:t xml:space="preserve">Supplementary </w:t>
      </w:r>
      <w:r>
        <w:rPr>
          <w:rFonts w:hint="default" w:ascii="Times New Roman Italic" w:hAnsi="Times New Roman Italic" w:cs="Times New Roman Italic"/>
          <w:i/>
          <w:iCs/>
          <w:sz w:val="22"/>
          <w:szCs w:val="22"/>
          <w:lang w:eastAsia="zh-CN"/>
        </w:rPr>
        <w:t>Fig.</w:t>
      </w:r>
      <w:r>
        <w:rPr>
          <w:rFonts w:hint="default" w:ascii="Times New Roman Italic" w:hAnsi="Times New Roman Italic" w:cs="Times New Roman Italic"/>
          <w:i/>
          <w:iCs/>
          <w:sz w:val="22"/>
          <w:szCs w:val="22"/>
        </w:rPr>
        <w:t xml:space="preserve"> S3. Depth-2 policy tree derived from doubly robust scores in the causal forest, using a prespecified set of six clinically relevant covariates as candidate splitters (current and prior norepinephrine dose, three indices of the time-course of vasopressor dependence, and blood urea nitrogen; see Supplementary Methods S6). Each leaf node displays a neutral cost-ordering label ('lower' or 'higher predicted hemodynamic cost'). Because all patient-level CATE estimates were positive — that is, all four leaves show furosemide-attributable absolute risk differences in the same direction, favoring no furosemide — the 'lower predicted cost' label identifies leaves in which furosemide-attributable harm is estimated to be smallest rather than leaves of predicted benefit; correspondingly, 'higher predicted cost' identifies leaves with the largest estimated harm. The tree is presented as a hypothesis-generating relative-risk-ordering tool; numeric thresholds at each split node represent the algorithmic optimum within this cohort and are not recommended clinical reference values.</w:t>
      </w:r>
    </w:p>
    <w:sectPr>
      <w:footerReference r:id="rId3" w:type="default"/>
      <w:pgSz w:w="12240" w:h="15840"/>
      <w:pgMar w:top="1440" w:right="1440" w:bottom="1440" w:left="1440" w:header="708" w:footer="708" w:gutter="0"/>
      <w:lnNumType w:countBy="1" w:restart="continuou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ongti SC">
    <w:panose1 w:val="02010800040101010101"/>
    <w:charset w:val="86"/>
    <w:family w:val="auto"/>
    <w:pitch w:val="default"/>
    <w:sig w:usb0="00000001" w:usb1="080F0000" w:usb2="00000000" w:usb3="00000000" w:csb0="00040000" w:csb1="00000000"/>
  </w:font>
  <w:font w:name="Times New Roman Bold">
    <w:panose1 w:val="02020603050405020304"/>
    <w:charset w:val="00"/>
    <w:family w:val="auto"/>
    <w:pitch w:val="default"/>
    <w:sig w:usb0="E0002AEF" w:usb1="C0007841" w:usb2="00000009" w:usb3="00000000" w:csb0="400001FF" w:csb1="FFFF0000"/>
  </w:font>
  <w:font w:name="Times New Roman Italic">
    <w:panose1 w:val="02020603050405020304"/>
    <w:charset w:val="00"/>
    <w:family w:val="auto"/>
    <w:pitch w:val="default"/>
    <w:sig w:usb0="E0002AEF" w:usb1="C0007841" w:usb2="00000009" w:usb3="00000000" w:csb0="400001FF" w:csb1="FFFF0000"/>
  </w:font>
  <w:font w:name="宋体-简">
    <w:panose1 w:val="02010800040101010101"/>
    <w:charset w:val="86"/>
    <w:family w:val="auto"/>
    <w:pitch w:val="default"/>
    <w:sig w:usb0="00000001" w:usb1="080F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EA2F2">
    <w:pPr>
      <w:jc w:val="cente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847CF5">
                          <w:pPr>
                            <w:jc w:val="center"/>
                          </w:pPr>
                          <w:r>
                            <w:rPr>
                              <w:rFonts w:ascii="Times New Roman" w:hAnsi="Times New Roman" w:eastAsia="Times New Roman" w:cs="Times New Roman"/>
                              <w:sz w:val="20"/>
                              <w:szCs w:val="20"/>
                            </w:rPr>
                            <w:fldChar w:fldCharType="begin"/>
                          </w:r>
                          <w:r>
                            <w:rPr>
                              <w:rFonts w:ascii="Times New Roman" w:hAnsi="Times New Roman" w:eastAsia="Times New Roman" w:cs="Times New Roman"/>
                              <w:sz w:val="20"/>
                              <w:szCs w:val="20"/>
                            </w:rPr>
                            <w:instrText xml:space="preserve">PAGE</w:instrText>
                          </w:r>
                          <w:r>
                            <w:rPr>
                              <w:rFonts w:ascii="Times New Roman" w:hAnsi="Times New Roman" w:eastAsia="Times New Roman" w:cs="Times New Roman"/>
                              <w:sz w:val="20"/>
                              <w:szCs w:val="20"/>
                            </w:rPr>
                            <w:fldChar w:fldCharType="separate"/>
                          </w:r>
                          <w:r>
                            <w:rPr>
                              <w:rFonts w:ascii="Times New Roman" w:hAnsi="Times New Roman" w:eastAsia="Times New Roman" w:cs="Times New Roman"/>
                              <w:sz w:val="20"/>
                              <w:szCs w:val="2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5847CF5">
                    <w:pPr>
                      <w:jc w:val="center"/>
                    </w:pPr>
                    <w:r>
                      <w:rPr>
                        <w:rFonts w:ascii="Times New Roman" w:hAnsi="Times New Roman" w:eastAsia="Times New Roman" w:cs="Times New Roman"/>
                        <w:sz w:val="20"/>
                        <w:szCs w:val="20"/>
                      </w:rPr>
                      <w:fldChar w:fldCharType="begin"/>
                    </w:r>
                    <w:r>
                      <w:rPr>
                        <w:rFonts w:ascii="Times New Roman" w:hAnsi="Times New Roman" w:eastAsia="Times New Roman" w:cs="Times New Roman"/>
                        <w:sz w:val="20"/>
                        <w:szCs w:val="20"/>
                      </w:rPr>
                      <w:instrText xml:space="preserve">PAGE</w:instrText>
                    </w:r>
                    <w:r>
                      <w:rPr>
                        <w:rFonts w:ascii="Times New Roman" w:hAnsi="Times New Roman" w:eastAsia="Times New Roman" w:cs="Times New Roman"/>
                        <w:sz w:val="20"/>
                        <w:szCs w:val="20"/>
                      </w:rPr>
                      <w:fldChar w:fldCharType="separate"/>
                    </w:r>
                    <w:r>
                      <w:rPr>
                        <w:rFonts w:ascii="Times New Roman" w:hAnsi="Times New Roman" w:eastAsia="Times New Roman" w:cs="Times New Roman"/>
                        <w:sz w:val="20"/>
                        <w:szCs w:val="2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displayBackgroundShape w:val="1"/>
  <w:documentProtection w:enforcement="0"/>
  <w:compat>
    <w:useFELayout/>
    <w:compatSetting w:name="compatibilityMode" w:uri="http://schemas.microsoft.com/office/word" w:val="15"/>
  </w:compat>
  <w:rsids>
    <w:rsidRoot w:val="00000000"/>
    <w:rsid w:val="53FFCADC"/>
    <w:rsid w:val="5FF3E8FC"/>
    <w:rsid w:val="7FBFAC4E"/>
    <w:rsid w:val="7FC6DA2F"/>
    <w:rsid w:val="7FFDED51"/>
    <w:rsid w:val="7FFEBD3F"/>
    <w:rsid w:val="B7FA93A6"/>
    <w:rsid w:val="BDEF95A1"/>
    <w:rsid w:val="BFBB5DC7"/>
    <w:rsid w:val="CE5FB41F"/>
    <w:rsid w:val="D9FD1C56"/>
    <w:rsid w:val="DAF5F308"/>
    <w:rsid w:val="DDEBF3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imes New Roman" w:cs="Times New Roman"/>
      <w:sz w:val="24"/>
      <w:szCs w:val="24"/>
    </w:rPr>
  </w:style>
  <w:style w:type="paragraph" w:styleId="2">
    <w:name w:val="heading 1"/>
    <w:next w:val="1"/>
    <w:qFormat/>
    <w:uiPriority w:val="0"/>
    <w:rPr>
      <w:rFonts w:ascii="Times New Roman" w:hAnsi="Times New Roman" w:eastAsia="Times New Roman" w:cs="Times New Roman"/>
      <w:color w:val="2E74B5"/>
      <w:sz w:val="32"/>
      <w:szCs w:val="32"/>
    </w:rPr>
  </w:style>
  <w:style w:type="paragraph" w:styleId="3">
    <w:name w:val="heading 2"/>
    <w:next w:val="1"/>
    <w:qFormat/>
    <w:uiPriority w:val="0"/>
    <w:rPr>
      <w:rFonts w:ascii="Times New Roman" w:hAnsi="Times New Roman" w:eastAsia="Times New Roman" w:cs="Times New Roman"/>
      <w:color w:val="2E74B5"/>
      <w:sz w:val="26"/>
      <w:szCs w:val="26"/>
    </w:rPr>
  </w:style>
  <w:style w:type="paragraph" w:styleId="4">
    <w:name w:val="heading 3"/>
    <w:next w:val="1"/>
    <w:qFormat/>
    <w:uiPriority w:val="0"/>
    <w:rPr>
      <w:rFonts w:ascii="Times New Roman" w:hAnsi="Times New Roman" w:eastAsia="Times New Roman" w:cs="Times New Roman"/>
      <w:color w:val="1F4D78"/>
      <w:sz w:val="24"/>
      <w:szCs w:val="24"/>
    </w:rPr>
  </w:style>
  <w:style w:type="paragraph" w:styleId="5">
    <w:name w:val="heading 4"/>
    <w:next w:val="1"/>
    <w:qFormat/>
    <w:uiPriority w:val="0"/>
    <w:rPr>
      <w:rFonts w:ascii="Times New Roman" w:hAnsi="Times New Roman" w:eastAsia="Times New Roman" w:cs="Times New Roman"/>
      <w:i/>
      <w:iCs/>
      <w:color w:val="2E74B5"/>
      <w:sz w:val="24"/>
      <w:szCs w:val="24"/>
    </w:rPr>
  </w:style>
  <w:style w:type="paragraph" w:styleId="6">
    <w:name w:val="heading 5"/>
    <w:next w:val="1"/>
    <w:qFormat/>
    <w:uiPriority w:val="0"/>
    <w:rPr>
      <w:rFonts w:ascii="Times New Roman" w:hAnsi="Times New Roman" w:eastAsia="Times New Roman" w:cs="Times New Roman"/>
      <w:color w:val="2E74B5"/>
      <w:sz w:val="24"/>
      <w:szCs w:val="24"/>
    </w:rPr>
  </w:style>
  <w:style w:type="paragraph" w:styleId="7">
    <w:name w:val="heading 6"/>
    <w:next w:val="1"/>
    <w:qFormat/>
    <w:uiPriority w:val="0"/>
    <w:rPr>
      <w:rFonts w:ascii="Times New Roman" w:hAnsi="Times New Roman" w:eastAsia="Times New Roman" w:cs="Times New Roman"/>
      <w:color w:val="1F4D78"/>
      <w:sz w:val="24"/>
      <w:szCs w:val="24"/>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8">
    <w:name w:val="endnote text"/>
    <w:link w:val="18"/>
    <w:semiHidden/>
    <w:unhideWhenUsed/>
    <w:uiPriority w:val="99"/>
    <w:pPr>
      <w:spacing w:after="0" w:line="240" w:lineRule="auto"/>
    </w:pPr>
    <w:rPr>
      <w:rFonts w:ascii="Times New Roman" w:hAnsi="Times New Roman" w:eastAsia="Times New Roman" w:cs="Times New Roman"/>
      <w:sz w:val="20"/>
      <w:szCs w:val="20"/>
    </w:rPr>
  </w:style>
  <w:style w:type="paragraph" w:styleId="9">
    <w:name w:val="footnote text"/>
    <w:link w:val="17"/>
    <w:semiHidden/>
    <w:unhideWhenUsed/>
    <w:uiPriority w:val="99"/>
    <w:pPr>
      <w:spacing w:after="0" w:line="240" w:lineRule="auto"/>
    </w:pPr>
    <w:rPr>
      <w:rFonts w:ascii="Times New Roman" w:hAnsi="Times New Roman" w:eastAsia="Times New Roman" w:cs="Times New Roman"/>
      <w:sz w:val="20"/>
      <w:szCs w:val="20"/>
    </w:rPr>
  </w:style>
  <w:style w:type="paragraph" w:styleId="10">
    <w:name w:val="Title"/>
    <w:qFormat/>
    <w:uiPriority w:val="0"/>
    <w:rPr>
      <w:rFonts w:ascii="Times New Roman" w:hAnsi="Times New Roman" w:eastAsia="Times New Roman" w:cs="Times New Roman"/>
      <w:sz w:val="56"/>
      <w:szCs w:val="56"/>
    </w:rPr>
  </w:style>
  <w:style w:type="character" w:styleId="13">
    <w:name w:val="endnote reference"/>
    <w:semiHidden/>
    <w:unhideWhenUsed/>
    <w:uiPriority w:val="99"/>
    <w:rPr>
      <w:vertAlign w:val="superscript"/>
    </w:rPr>
  </w:style>
  <w:style w:type="character" w:styleId="14">
    <w:name w:val="Hyperlink"/>
    <w:unhideWhenUsed/>
    <w:uiPriority w:val="99"/>
    <w:rPr>
      <w:color w:val="0563C1"/>
      <w:u w:val="single"/>
    </w:rPr>
  </w:style>
  <w:style w:type="character" w:styleId="15">
    <w:name w:val="footnote reference"/>
    <w:semiHidden/>
    <w:unhideWhenUsed/>
    <w:uiPriority w:val="99"/>
    <w:rPr>
      <w:vertAlign w:val="superscript"/>
    </w:rPr>
  </w:style>
  <w:style w:type="paragraph" w:styleId="16">
    <w:name w:val="List Paragraph"/>
    <w:qFormat/>
    <w:uiPriority w:val="0"/>
    <w:rPr>
      <w:rFonts w:ascii="Times New Roman" w:hAnsi="Times New Roman" w:eastAsia="Times New Roman" w:cs="Times New Roman"/>
      <w:sz w:val="24"/>
      <w:szCs w:val="24"/>
    </w:rPr>
  </w:style>
  <w:style w:type="character" w:customStyle="1" w:styleId="17">
    <w:name w:val="Footnote Text Char"/>
    <w:link w:val="9"/>
    <w:semiHidden/>
    <w:unhideWhenUsed/>
    <w:uiPriority w:val="99"/>
    <w:rPr>
      <w:sz w:val="20"/>
      <w:szCs w:val="20"/>
    </w:rPr>
  </w:style>
  <w:style w:type="character" w:customStyle="1" w:styleId="18">
    <w:name w:val="Endnote Text Char"/>
    <w:link w:val="8"/>
    <w:semiHidden/>
    <w:unhideWhenUsed/>
    <w:uiPriority w:val="99"/>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31</Pages>
  <TotalTime>16</TotalTime>
  <ScaleCrop>false</ScaleCrop>
  <LinksUpToDate>false</LinksUpToDate>
  <Application>WPS Office_7.3.1.8967_F1E327BC-269C-435d-A152-05C5408002CA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2026-05-28T14:45:00Z</dcterms:created>
  <dc:creator>Un-named</dc:creator>
  <cp:lastModifiedBy>邵录军</cp:lastModifiedBy>
  <dcterms:modified xsi:type="dcterms:W3CDTF">2026-05-28T20:35:44Z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6CB0283A9B51472B314D146A67DE7DC9_42</vt:lpwstr>
  </property>
</Properties>
</file>