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80EC0">
      <w:pPr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1"/>
          <w:szCs w:val="21"/>
          <w:u w:val="none"/>
        </w:rPr>
      </w:pPr>
      <w:r>
        <w:rPr>
          <w:rFonts w:hint="default" w:ascii="Times New Roman" w:hAnsi="Times New Roman" w:eastAsia="等线" w:cs="Times New Roman"/>
          <w:b/>
          <w:bCs w:val="0"/>
          <w:color w:val="000000"/>
          <w:kern w:val="2"/>
          <w:sz w:val="24"/>
          <w:szCs w:val="24"/>
          <w:woUserID w:val="1"/>
        </w:rPr>
        <w:t>Supplementary Appendix</w:t>
      </w:r>
    </w:p>
    <w:p w14:paraId="1B94BCF6">
      <w:pP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1"/>
          <w:szCs w:val="21"/>
          <w:u w:val="none"/>
        </w:rPr>
      </w:pPr>
    </w:p>
    <w:p w14:paraId="65133439">
      <w:pPr>
        <w:rPr>
          <w:rFonts w:hint="default" w:ascii="Times New Roman" w:hAnsi="Times New Roman" w:eastAsia="宋体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1"/>
          <w:szCs w:val="21"/>
          <w:u w:val="none"/>
        </w:rPr>
        <w:t>Table S1 Associations between different stages of CKM syndrome with the risk of all-cause mortality and CVD mortality after excluding patients who died within 2 years of follow-up</w:t>
      </w:r>
    </w:p>
    <w:tbl>
      <w:tblPr>
        <w:tblStyle w:val="5"/>
        <w:tblW w:w="125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1660"/>
        <w:gridCol w:w="2000"/>
        <w:gridCol w:w="1180"/>
        <w:gridCol w:w="1720"/>
        <w:gridCol w:w="1230"/>
        <w:gridCol w:w="1690"/>
        <w:gridCol w:w="990"/>
      </w:tblGrid>
      <w:tr w14:paraId="043D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17C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4BF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Events/Total</w:t>
            </w:r>
          </w:p>
        </w:tc>
        <w:tc>
          <w:tcPr>
            <w:tcW w:w="31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11EEB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1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C77AF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2</w:t>
            </w:r>
          </w:p>
        </w:tc>
        <w:tc>
          <w:tcPr>
            <w:tcW w:w="26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1C0C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3</w:t>
            </w:r>
          </w:p>
        </w:tc>
      </w:tr>
      <w:tr w14:paraId="6BB0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FC86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1AA84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3B59C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FBA70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C180A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4354E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F6D14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AE033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 w14:paraId="2F374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E3E5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2A7D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1806/20705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289D5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3C948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C0D9E5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68C169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A174C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5B972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87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AD1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FB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93/3362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9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6DD3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2D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02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93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ED0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878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706E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6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725/8684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A1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3.21 (2.59, 3.99)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26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E5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1.88 (1.5, 2.35)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1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 (1.45, 2.29)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1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6B3FE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6D4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7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988/8659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4C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 (3.35, 5.12)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8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BF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 (1.79, 2.8)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04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2F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2.22 (1.77, 2.78)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B7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2E24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71F3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8CA7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83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6B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835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8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D4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FF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43DB4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A8F0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BE5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559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943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D00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ED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6A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BD1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E16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5DD5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5330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683/20705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4E807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84982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A192C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C0641F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CAAC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3CB20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43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CDB63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E9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28/3362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1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BC72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F7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0A78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39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F394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BD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F9C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C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256/8684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F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3.77 (2.55, 5.56)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73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9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 (1.43, 3.21)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3C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F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2.05 (1.37, 3.08)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B7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7FF2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1D6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8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399/8659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B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5.55 (3.78, 8.14)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97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0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2.88 (1.93, 4.28)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F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2.80 (1.87, 4.18)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00097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403D7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6F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CA63C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E99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6FD0B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30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B44DC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643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DF6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11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88F269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145DE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BBB26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5E6D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0C88D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7C9C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6D1B4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3687F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382F800">
      <w:pP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 xml:space="preserve">Model 1: Unadjusted. </w:t>
      </w:r>
    </w:p>
    <w:p w14:paraId="56B0588D">
      <w:pP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>Model 2: Adjusted for gender and age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 xml:space="preserve"> </w:t>
      </w:r>
    </w:p>
    <w:p w14:paraId="15515F6E"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>Model 3: Adjusted for gender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lang w:eastAsia="zh-CN"/>
        </w:rPr>
        <w:t>age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smoking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drinking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ALT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AST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TSH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WBC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Hb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PLT, a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"/>
        </w:rPr>
        <w:t>ntidiabetic therapy, antihypertensive therapy.</w:t>
      </w:r>
    </w:p>
    <w:p w14:paraId="5B4BA574"/>
    <w:p w14:paraId="54529D2F"/>
    <w:tbl>
      <w:tblPr>
        <w:tblStyle w:val="5"/>
        <w:tblW w:w="1511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2"/>
        <w:gridCol w:w="2126"/>
        <w:gridCol w:w="2370"/>
        <w:gridCol w:w="1448"/>
        <w:gridCol w:w="6411"/>
      </w:tblGrid>
      <w:tr w14:paraId="1C54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8CA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797DA7C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Table S2 Associations between different stages of CKM syndrome with the risk of all-cause mortality and CVD mortality after excluding patients with less than 2 years of follow-up</w:t>
            </w:r>
          </w:p>
          <w:tbl>
            <w:tblPr>
              <w:tblStyle w:val="5"/>
              <w:tblW w:w="12580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10"/>
              <w:gridCol w:w="1660"/>
              <w:gridCol w:w="2000"/>
              <w:gridCol w:w="1180"/>
              <w:gridCol w:w="1720"/>
              <w:gridCol w:w="1230"/>
              <w:gridCol w:w="1690"/>
              <w:gridCol w:w="990"/>
            </w:tblGrid>
            <w:tr w14:paraId="635CEDC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2110" w:type="dxa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DA3BC9D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60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7F4B10D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Events/Total</w:t>
                  </w:r>
                </w:p>
              </w:tc>
              <w:tc>
                <w:tcPr>
                  <w:tcW w:w="3180" w:type="dxa"/>
                  <w:gridSpan w:val="2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962346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Model 1</w:t>
                  </w:r>
                </w:p>
              </w:tc>
              <w:tc>
                <w:tcPr>
                  <w:tcW w:w="2950" w:type="dxa"/>
                  <w:gridSpan w:val="2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7AEADC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Model 2</w:t>
                  </w:r>
                </w:p>
              </w:tc>
              <w:tc>
                <w:tcPr>
                  <w:tcW w:w="2680" w:type="dxa"/>
                  <w:gridSpan w:val="2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55A76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Model 3</w:t>
                  </w:r>
                </w:p>
              </w:tc>
            </w:tr>
            <w:tr w14:paraId="16015C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FEB9B1D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60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6DF0C559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60F73D2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HR (95%CI)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C620CB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 value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D3E925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HR (95%CI)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1C85514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 value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655F195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HR (95%CI)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A01659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 value</w:t>
                  </w:r>
                </w:p>
              </w:tc>
            </w:tr>
            <w:tr w14:paraId="36272D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1F8DD9A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All-cause mortality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2DE7F67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1806/16083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6CA3691A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411E5BA4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2450F500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674D9513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065780F9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3542C97B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71FD554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0CD8604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2689E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93/2549 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54B6A8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F11509E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81F0F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9D0435">
                  <w:pPr>
                    <w:jc w:val="left"/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eastAsia="zh"/>
                      <w:woUserID w:val="3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eastAsia="zh"/>
                      <w:woUserID w:val="3"/>
                    </w:rPr>
                    <w:t xml:space="preserve"> 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920F10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0323BB9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302D36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7877B02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4FF29D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725/6697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8B918A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3.21 (2.59, 3.99)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71681C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68748F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1.88 (1.50, 2.35)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3B3890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F744D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1.82 (1.45, 2.29)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343556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&lt;0.001 </w:t>
                  </w:r>
                </w:p>
              </w:tc>
            </w:tr>
            <w:tr w14:paraId="397121C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A22C4D3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049E19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988/6837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552A5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4.14 (3.35, 5.12)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86748F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D6EAD9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2.24 (1.79, 2.80)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B12F1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AFC68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2.22 (1.77, 2.78)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5E4E2E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&lt;0.001 </w:t>
                  </w:r>
                </w:p>
              </w:tc>
            </w:tr>
            <w:tr w14:paraId="418D14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211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638EBCE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 for trend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F3A5496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0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A1AA281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5FF4C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AF4098D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5E81E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077301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9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3FACDF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&lt;0.001 </w:t>
                  </w:r>
                </w:p>
              </w:tc>
            </w:tr>
            <w:tr w14:paraId="4ADE76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" w:hRule="atLeast"/>
              </w:trPr>
              <w:tc>
                <w:tcPr>
                  <w:tcW w:w="211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622B0D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897DC41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00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E49286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C816088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4E4E5F6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F200C7C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9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A0E9F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90" w:type="dxa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06006D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6E7560B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18FFABD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CVD mortality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60B636F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683/16083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3B127C3C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7360B4AE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0AC10BBF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1936E1A8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28ED959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vAlign w:val="center"/>
                </w:tcPr>
                <w:p w14:paraId="14B92DA2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7B94DF8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44CF48E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DF84E5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28/2549 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B931FA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FFBBD9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7D858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A2A1796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7D25A8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1.00 (ref)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09CD79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09863E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055241C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1EF200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256/6697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26037F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3.77 (2.55, 5.56)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92D27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55580A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2.14 (1.43, 3.21)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F5CBE0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AF4FEC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2.05 (1.37, 3.08)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E545D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&lt;0.001 </w:t>
                  </w:r>
                </w:p>
              </w:tc>
            </w:tr>
            <w:tr w14:paraId="62D2A3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0" w:hRule="atLeast"/>
              </w:trPr>
              <w:tc>
                <w:tcPr>
                  <w:tcW w:w="2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A44094B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2B0747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399/6837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93F96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5.55 (3.78, 8.14) 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AB1EA2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76EBE6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2.88 (1.93, 4.28)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9C2D53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296A1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2.80 (1.87, 4.18)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4D1AB9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&lt;0.001 </w:t>
                  </w:r>
                </w:p>
              </w:tc>
            </w:tr>
            <w:tr w14:paraId="5352B39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211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A159B16">
                  <w:pPr>
                    <w:keepNext w:val="0"/>
                    <w:keepLines w:val="0"/>
                    <w:widowControl/>
                    <w:suppressLineNumbers w:val="0"/>
                    <w:ind w:firstLineChars="10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P for trend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28983F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00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49898AC4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392D78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72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4474222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69E0BA0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  <w:tc>
                <w:tcPr>
                  <w:tcW w:w="169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5CE626C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990" w:type="dxa"/>
                  <w:vMerge w:val="restart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45D7ACE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&lt;0.001</w:t>
                  </w:r>
                </w:p>
              </w:tc>
            </w:tr>
            <w:tr w14:paraId="5F836AF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" w:hRule="atLeast"/>
              </w:trPr>
              <w:tc>
                <w:tcPr>
                  <w:tcW w:w="211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DA48545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84E741A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00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3A0CC8F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18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4E6A2F8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72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4FD0BB34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3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732435EF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9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9AD9A0A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990" w:type="dxa"/>
                  <w:vMerge w:val="continue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595142E8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6731CD85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  <w:t xml:space="preserve">Model 1: Unadjusted. </w:t>
            </w:r>
          </w:p>
          <w:p w14:paraId="0E4948DC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  <w:t>Model 2: Adjusted for gender and age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  <w:t xml:space="preserve"> </w:t>
            </w:r>
          </w:p>
          <w:p w14:paraId="68548B7C"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  <w:t>Model 3: Adjusted for gender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lang w:eastAsia="zh-CN"/>
              </w:rPr>
              <w:t>age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smoking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drinking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ALT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AST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TSH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WBC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Hb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PLT, a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u w:val="none"/>
                <w:lang w:val="en-US" w:eastAsia="zh-CN" w:bidi="ar"/>
              </w:rPr>
              <w:t>ntidiabetic therapy, antihypertensive therapy.</w:t>
            </w:r>
          </w:p>
          <w:p w14:paraId="0DA24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E7524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9A42B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tbl>
            <w:tblPr>
              <w:tblStyle w:val="5"/>
              <w:tblW w:w="11800" w:type="dxa"/>
              <w:tblInd w:w="-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16"/>
              <w:gridCol w:w="1950"/>
              <w:gridCol w:w="2220"/>
              <w:gridCol w:w="1570"/>
              <w:gridCol w:w="2392"/>
              <w:gridCol w:w="1452"/>
            </w:tblGrid>
            <w:tr w14:paraId="37AEFE5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1180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351A301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</w:p>
                <w:p w14:paraId="631B3BE0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Table </w:t>
                  </w: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S3 </w:t>
                  </w: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E-value and its upper limit of 95% CI for the effect of CKM_stage on mortality in fully-adjusted Cox Model</w:t>
                  </w:r>
                </w:p>
              </w:tc>
            </w:tr>
            <w:tr w14:paraId="18D9D8D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2216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FFF9C6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Outcome</w:t>
                  </w:r>
                </w:p>
              </w:tc>
              <w:tc>
                <w:tcPr>
                  <w:tcW w:w="1950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87C683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Variable</w:t>
                  </w:r>
                </w:p>
              </w:tc>
              <w:tc>
                <w:tcPr>
                  <w:tcW w:w="2220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vAlign w:val="center"/>
                </w:tcPr>
                <w:p w14:paraId="7973F11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AHR (95% CI)</w:t>
                  </w:r>
                </w:p>
              </w:tc>
              <w:tc>
                <w:tcPr>
                  <w:tcW w:w="1570" w:type="dxa"/>
                  <w:vMerge w:val="restart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2CA7D4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E-value</w:t>
                  </w:r>
                </w:p>
              </w:tc>
              <w:tc>
                <w:tcPr>
                  <w:tcW w:w="2392" w:type="dxa"/>
                  <w:tcBorders>
                    <w:top w:val="single" w:color="000000" w:sz="4" w:space="0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418149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 xml:space="preserve">E-value at the lower 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D01718C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158C56C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2216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9A4CAD9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480AB606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220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vAlign w:val="center"/>
                </w:tcPr>
                <w:p w14:paraId="2F91E95E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570" w:type="dxa"/>
                  <w:vMerge w:val="continue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7F44239E">
                  <w:pPr>
                    <w:jc w:val="left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3FAB765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limit of the 95% CI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F43C2BE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14C30F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30A9FDC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All-cause mortality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46D8FD9A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top"/>
                </w:tcPr>
                <w:p w14:paraId="70484798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top"/>
                </w:tcPr>
                <w:p w14:paraId="0756BF33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top"/>
                </w:tcPr>
                <w:p w14:paraId="23E43F03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9CF237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208D3FB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5D8313CC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329E37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DBA450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Ref.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6CCC081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744790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6E88877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080D5F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33E561B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3FE4F4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1768B8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1.61 (1.36, 1.90)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CC2D7A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60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0C3D24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2.0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7E755D6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415287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0ED1307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C3C62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8AA089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1.93 (1.64, 2.28)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5EFBC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3.2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4E0F31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2.6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547E50">
                  <w:pPr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05468D6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515467C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CVD mortality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5E92900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4F93AAA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7EC384D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/>
                  <w:noWrap/>
                  <w:vAlign w:val="center"/>
                </w:tcPr>
                <w:p w14:paraId="1E7E3C84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E92D50C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4FACB18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86B62E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7F9939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2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3BA674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Ref.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214C9C8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center"/>
                </w:tcPr>
                <w:p w14:paraId="1FBDDFB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30336D2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5076272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588914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21CDC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3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6404CF3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1.79 (1.32, 2.42)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DF5586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2.97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BB64A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 w:eastAsia="zh-CN"/>
                    </w:rPr>
                    <w:t>1.97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B97E2E5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  <w:tr w14:paraId="4CE5BB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0" w:hRule="atLeast"/>
              </w:trPr>
              <w:tc>
                <w:tcPr>
                  <w:tcW w:w="2216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AF640F3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134BA3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CKM Stage 4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121B994C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2.72 (2.02, 3.67)</w:t>
                  </w:r>
                </w:p>
              </w:tc>
              <w:tc>
                <w:tcPr>
                  <w:tcW w:w="1570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00EBBFE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4.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89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color="000000" w:sz="4" w:space="0"/>
                    <w:right w:val="nil"/>
                  </w:tcBorders>
                  <w:shd w:val="clear" w:color="auto" w:fill="auto"/>
                  <w:vAlign w:val="center"/>
                </w:tcPr>
                <w:p w14:paraId="3CE7F1B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sz w:val="21"/>
                      <w:szCs w:val="21"/>
                      <w:u w:val="none"/>
                      <w:lang w:val="en-US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3.</w:t>
                  </w:r>
                  <w:r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45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588ECEB">
                  <w:pP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0E936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  <w:t>HR were adjusted for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  <w:t>gender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  <w:t>age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smoking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drinking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ALT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AST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TSH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WBC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Hb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PLT, 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u w:val="none"/>
                <w:lang w:val="en-US" w:eastAsia="zh-CN" w:bidi="ar"/>
              </w:rPr>
              <w:t>ntidiabetic therapy, antihypertensive therapy.</w:t>
            </w:r>
          </w:p>
          <w:p w14:paraId="2365D8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2E956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32B71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F0AD1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8C08A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0CD7D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F109C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81249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6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E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1BFC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S4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Associations between different stages of CKM syndrome with the risk of all-cause mortality </w:t>
            </w:r>
          </w:p>
          <w:p w14:paraId="21D9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 CVD mortality after overlap weighting</w:t>
            </w:r>
          </w:p>
        </w:tc>
      </w:tr>
      <w:tr w14:paraId="0173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460" w:hRule="atLeast"/>
        </w:trPr>
        <w:tc>
          <w:tcPr>
            <w:tcW w:w="27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37F78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E217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Events/Total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B45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4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AC7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 w14:paraId="0715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22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E6EC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8E3D8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9A4E9F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C3339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0F6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40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B598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0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176/3445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47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FF4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0B4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38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F718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47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1232/9191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 (1.43, 2.06)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C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419E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40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9A02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E9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1611/9282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06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 (1.71, 2.46)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DB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5D42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28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CEA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23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E1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FD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078F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22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6392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05F36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15C54B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</w:tcPr>
          <w:p w14:paraId="3E33F9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04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38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6454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29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51/3445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42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F4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EA6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40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037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4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424/9191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4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 (1.37, 2.66)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8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2E3F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360" w:hRule="atLeast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44D32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55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713/9282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B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3.04 (2.20, 4.20)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6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5ADE1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11" w:type="dxa"/>
          <w:trHeight w:val="280" w:hRule="atLeast"/>
        </w:trPr>
        <w:tc>
          <w:tcPr>
            <w:tcW w:w="27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E6E84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ACA4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ABCF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855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</w:tbl>
    <w:p w14:paraId="354C01A3"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HR were adjusted for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gender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age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smoking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drinking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ALT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AST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TSH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WBC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Hb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PLT,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"/>
        </w:rPr>
        <w:t>ntidiabetic therapy, antihypertensive therapy.</w:t>
      </w:r>
    </w:p>
    <w:p w14:paraId="49B5B01A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B33ADEF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A66347D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20F9B45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EE1DE42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4FED72AD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9EB8DE5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6DBCDED4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0E152D2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046681E3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5"/>
        <w:tblW w:w="110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2840"/>
        <w:gridCol w:w="2830"/>
        <w:gridCol w:w="1770"/>
        <w:gridCol w:w="1280"/>
      </w:tblGrid>
      <w:tr w14:paraId="74F4D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5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Comparison before and after missing data imputation</w:t>
            </w:r>
          </w:p>
        </w:tc>
      </w:tr>
      <w:tr w14:paraId="78EA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EEB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28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AD9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Before Multiple Imputation</w:t>
            </w:r>
          </w:p>
        </w:tc>
        <w:tc>
          <w:tcPr>
            <w:tcW w:w="28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DBA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After Multiple Imputation</w:t>
            </w: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4DE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ADE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SMD</w:t>
            </w:r>
          </w:p>
        </w:tc>
      </w:tr>
      <w:tr w14:paraId="253C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ALT, IU/L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9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(15.00, 32.00)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9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(15.00, 32.00)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D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B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</w:tr>
      <w:tr w14:paraId="622C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A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AST, IU/L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3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(16.00, 28.00)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5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(16.00, 29.00)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C7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F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</w:t>
            </w:r>
          </w:p>
        </w:tc>
      </w:tr>
      <w:tr w14:paraId="7F77C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4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WBC, ×10^9/L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80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6.87 (5.66, 8.50)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6.87 (5.65, 8.50)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7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90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 w14:paraId="6763E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5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PLT, ×10^9/L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1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207.00 (168.00, 251.00)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42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207.00 (168.00, 251.00)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A9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</w:tr>
      <w:tr w14:paraId="4F9A4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E6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HB, g/L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F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130.00 (117.00, 141.00)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4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130.00 (117.00, 142.00)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A0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4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</w:tr>
      <w:tr w14:paraId="05ED9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5FA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TSH, μIU/ml</w:t>
            </w:r>
          </w:p>
        </w:tc>
        <w:tc>
          <w:tcPr>
            <w:tcW w:w="28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311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 (1.03, 2.40)</w:t>
            </w:r>
          </w:p>
        </w:tc>
        <w:tc>
          <w:tcPr>
            <w:tcW w:w="28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495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 (1.12, 2.23)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A5A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0.810 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413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0.063</w:t>
            </w:r>
          </w:p>
        </w:tc>
      </w:tr>
    </w:tbl>
    <w:p w14:paraId="6030B347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A4B36E7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8BFD778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DEA4936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0AA5C591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01F25B7E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B909FBF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457C9BF9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26A68E7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38EADF3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4131C511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0226837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B2A70DB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82D165E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580EDB2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5"/>
        <w:tblW w:w="1202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643"/>
        <w:gridCol w:w="1799"/>
        <w:gridCol w:w="1043"/>
        <w:gridCol w:w="1721"/>
        <w:gridCol w:w="974"/>
        <w:gridCol w:w="1866"/>
        <w:gridCol w:w="928"/>
      </w:tblGrid>
      <w:tr w14:paraId="25AC7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8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DF8D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Associations between different stages of CKM syndrome with the risk of CVD mortality (Fine-Gray model)</w:t>
            </w:r>
          </w:p>
        </w:tc>
      </w:tr>
      <w:tr w14:paraId="18B22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21E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B6E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Events/Total</w:t>
            </w:r>
          </w:p>
        </w:tc>
        <w:tc>
          <w:tcPr>
            <w:tcW w:w="28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AF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1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CBF69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2</w:t>
            </w:r>
          </w:p>
        </w:tc>
        <w:tc>
          <w:tcPr>
            <w:tcW w:w="27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07CD6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3</w:t>
            </w:r>
          </w:p>
        </w:tc>
      </w:tr>
      <w:tr w14:paraId="2AB1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CF71C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26126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8E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58C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007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867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220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F30CEF">
            <w:pPr>
              <w:keepNext w:val="0"/>
              <w:keepLines w:val="0"/>
              <w:widowControl/>
              <w:suppressLineNumbers w:val="0"/>
              <w:ind w:left="221" w:hanging="210" w:hanging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 w14:paraId="00CB9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47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C9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1188/21918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61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C468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ABC5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7279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5D8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68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60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336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E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51/3445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D2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2669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3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FF2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6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 (ref)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B8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6E6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27C9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424/9191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68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3.16 (2.36, 4.23)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2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5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 (1.35, 2.46)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2B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61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 (1.30, 2.38)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CD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6CC1D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C8F8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CKM Stage 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5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713/9282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FC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5.13 (3.86, 6.82)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84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E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 (2.04, 3.67)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3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4F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 (2.00, 3.64)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2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&lt;0.001 </w:t>
            </w:r>
          </w:p>
        </w:tc>
      </w:tr>
      <w:tr w14:paraId="033B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C9A87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6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D5BD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3BFB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5E9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88B7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563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E9026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FDD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 w14:paraId="4461047A">
      <w:pP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 xml:space="preserve">Model 1: Unadjusted. </w:t>
      </w:r>
    </w:p>
    <w:p w14:paraId="0E3EBC5B">
      <w:pP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Model 2: Adjusted for gender and age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 xml:space="preserve"> </w:t>
      </w:r>
    </w:p>
    <w:p w14:paraId="58B28B21"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Model 3: Adjusted for gender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age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smoking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drinking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ALT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AST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TSH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WBC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Hb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PLT, a</w:t>
      </w:r>
      <w:r>
        <w:rPr>
          <w:rFonts w:hint="eastAsia" w:ascii="Times New Roman" w:hAnsi="Times New Roman" w:cs="Times New Roman" w:eastAsiaTheme="minorEastAsia"/>
          <w:b w:val="0"/>
          <w:bCs w:val="0"/>
          <w:i w:val="0"/>
          <w:iCs w:val="0"/>
          <w:kern w:val="2"/>
          <w:sz w:val="21"/>
          <w:szCs w:val="21"/>
          <w:u w:val="none"/>
          <w:lang w:val="en-US" w:eastAsia="zh-CN" w:bidi="ar"/>
        </w:rPr>
        <w:t>ntidiabetic therapy, antihypertensive therapy.</w:t>
      </w:r>
    </w:p>
    <w:p w14:paraId="4860E512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55AAC7D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</w:p>
    <w:p w14:paraId="0F75FF4E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4858683C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42C8051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442CBB4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3C5BE9B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1E39A66F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422242A8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6986FD5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A76269B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919D9E1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854CB33">
      <w:pP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</w:p>
    <w:p w14:paraId="037D7F0E">
      <w:pPr>
        <w:jc w:val="center"/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eastAsia="zh-CN"/>
        </w:rPr>
        <w:drawing>
          <wp:inline distT="0" distB="0" distL="114300" distR="114300">
            <wp:extent cx="6456045" cy="4341495"/>
            <wp:effectExtent l="0" t="0" r="1905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604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461D3">
      <w:pPr>
        <w:jc w:val="center"/>
        <w:rPr>
          <w:rFonts w:hint="default" w:ascii="Times New Roman" w:hAnsi="Times New Roman" w:cs="Times New Roman"/>
          <w:sz w:val="21"/>
          <w:szCs w:val="21"/>
          <w:lang w:eastAsia="zh-CN"/>
        </w:rPr>
      </w:pPr>
    </w:p>
    <w:p w14:paraId="25EE00D2">
      <w:pPr>
        <w:ind w:left="101" w:leftChars="48" w:right="141" w:rightChars="67" w:firstLine="0" w:firstLineChars="0"/>
        <w:jc w:val="left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Fig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Directed acyclic graph of causal structure among study exposure, outcome, and confounders.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Directed acyclic graph (DAG) illustrating the relationship between CKM stage and death. Pale grey nodes signify unobserved or latent variables; white nodes signify adjusted variable.</w:t>
      </w:r>
    </w:p>
    <w:p w14:paraId="27FF04FB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223C769B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3FE69FBB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8867140" cy="3567430"/>
            <wp:effectExtent l="0" t="0" r="254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714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F44B">
      <w:pPr>
        <w:ind w:left="109" w:leftChars="52" w:right="61" w:rightChars="29" w:firstLine="0" w:firstLineChars="0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 xml:space="preserve">Fig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2. Forest plots of subgroup analyses for the association between CKM stages and CVD mortality. HRs were a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djusted for gender, age,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smoking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drinking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ALT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AST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TSH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WBC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Hb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PLT, antidiabetic therapy, antihypertensive therapy.</w:t>
      </w:r>
    </w:p>
    <w:p w14:paraId="6999450B">
      <w:pPr>
        <w:tabs>
          <w:tab w:val="left" w:pos="204"/>
        </w:tabs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05F606A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62F1F997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7B4D1877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037A2B41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550344EE">
      <w:pPr>
        <w:jc w:val="center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bookmarkStart w:id="0" w:name="_GoBack"/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  <w:woUserID w:val="1"/>
        </w:rPr>
        <w:drawing>
          <wp:inline distT="0" distB="0" distL="114300" distR="114300">
            <wp:extent cx="4875530" cy="4699635"/>
            <wp:effectExtent l="0" t="0" r="127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9C8396">
      <w:pPr>
        <w:ind w:left="0" w:leftChars="0" w:right="2581" w:rightChars="1229" w:firstLine="210" w:firstLineChars="100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eastAsia="zh"/>
          <w:woUserID w:val="1"/>
        </w:rPr>
        <w:t xml:space="preserve">                          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 xml:space="preserve">Fig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Standardized mean differences of covariates before and after overlap weighting (OW)</w:t>
      </w:r>
    </w:p>
    <w:p w14:paraId="1FD205AD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 w14:paraId="63DD588B">
      <w:pP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</w:p>
    <w:p w14:paraId="0C6B100F">
      <w:pP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</w:p>
    <w:p w14:paraId="1263412C">
      <w:pP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</w:p>
    <w:p w14:paraId="3F68C04B">
      <w:pPr>
        <w:ind w:left="61" w:leftChars="29" w:firstLine="0" w:firstLineChars="0"/>
        <w:jc w:val="center"/>
      </w:pPr>
      <w:r>
        <w:drawing>
          <wp:inline distT="0" distB="0" distL="114300" distR="114300">
            <wp:extent cx="7002145" cy="3693795"/>
            <wp:effectExtent l="0" t="0" r="825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B63B">
      <w:pPr>
        <w:ind w:left="109" w:leftChars="52" w:right="61" w:rightChars="29" w:firstLine="0" w:firstLineChars="0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 xml:space="preserve">Fig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Cumulative incidence of cardiovascular disease mortality according to CKM syndrome stages estimated using the Fine–Gray competing risk model</w:t>
      </w:r>
    </w:p>
    <w:p w14:paraId="2FFAC90C">
      <w:pPr>
        <w:rPr>
          <w:rFonts w:hint="default"/>
          <w:lang w:eastAsia="zh-CN"/>
        </w:rPr>
      </w:pPr>
    </w:p>
    <w:p w14:paraId="7572A039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C368B"/>
    <w:rsid w:val="03B44E81"/>
    <w:rsid w:val="0C69098C"/>
    <w:rsid w:val="19887D24"/>
    <w:rsid w:val="2D6BB74B"/>
    <w:rsid w:val="3CCC368B"/>
    <w:rsid w:val="4BAB0A64"/>
    <w:rsid w:val="573E7E5F"/>
    <w:rsid w:val="5BF93B96"/>
    <w:rsid w:val="64084FDD"/>
    <w:rsid w:val="6BF20F45"/>
    <w:rsid w:val="70C63CA2"/>
    <w:rsid w:val="77DF8801"/>
    <w:rsid w:val="7E032F82"/>
    <w:rsid w:val="BDEB49DE"/>
    <w:rsid w:val="FFA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EndNote Bibliography"/>
    <w:basedOn w:val="2"/>
    <w:link w:val="8"/>
    <w:autoRedefine/>
    <w:qFormat/>
    <w:uiPriority w:val="0"/>
    <w:rPr>
      <w:rFonts w:ascii="Times New Roman" w:hAnsi="Times New Roman" w:eastAsia="宋体" w:cs="Times New Roman"/>
      <w:sz w:val="10"/>
      <w:szCs w:val="21"/>
    </w:rPr>
  </w:style>
  <w:style w:type="character" w:customStyle="1" w:styleId="8">
    <w:name w:val="EndNote Bibliography 字符"/>
    <w:basedOn w:val="6"/>
    <w:link w:val="7"/>
    <w:qFormat/>
    <w:uiPriority w:val="0"/>
    <w:rPr>
      <w:rFonts w:ascii="Times New Roman" w:hAnsi="Times New Roman" w:eastAsia="宋体" w:cs="Times New Roman"/>
      <w:sz w:val="1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467</Words>
  <Characters>2262</Characters>
  <Lines>1</Lines>
  <Paragraphs>1</Paragraphs>
  <TotalTime>0</TotalTime>
  <ScaleCrop>false</ScaleCrop>
  <LinksUpToDate>false</LinksUpToDate>
  <CharactersWithSpaces>2578</CharactersWithSpaces>
  <Application>WPS Office WWO_wpscloud_20260508175737-a9385e8bc7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2025-09-21T07:32:00Z</dcterms:created>
  <dc:creator>盛祺超</dc:creator>
  <cp:lastModifiedBy>盛祺超</cp:lastModifiedBy>
  <dcterms:modified xsi:type="dcterms:W3CDTF">2026-05-11T11:20:03Z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2052-12.9.0.26427</vt:lpwstr>
  </property>
  <property fmtid="{D5CDD505-2E9C-101B-9397-08002B2CF9AE}" pid="3" name="ICV">
    <vt:lpwstr>BF602FD061045BF7E34A016AFAD90A69_43</vt:lpwstr>
  </property>
  <property fmtid="{D5CDD505-2E9C-101B-9397-08002B2CF9AE}" pid="4" name="KSOTemplateDocerSaveRecord">
    <vt:lpwstr>eyJoZGlkIjoiZTg5ZjhhYjdjNzZkOTNiNTdjZDRiYWMzNjdkYmIwMTciLCJ1c2VySWQiOiI3NDM5ODUxMzgifQ==</vt:lpwstr>
  </property>
</Properties>
</file>