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0FBE9" w14:textId="77777777" w:rsidR="003625A7" w:rsidRPr="00BB330F" w:rsidRDefault="003625A7" w:rsidP="003625A7">
      <w:pPr>
        <w:pStyle w:val="SupplementaryMaterial"/>
      </w:pPr>
      <w:r w:rsidRPr="00BB330F">
        <w:t>Supplementary Material</w:t>
      </w:r>
    </w:p>
    <w:p w14:paraId="28FCE480" w14:textId="77777777" w:rsidR="003625A7" w:rsidRPr="00BB330F" w:rsidRDefault="003625A7" w:rsidP="003625A7">
      <w:pPr>
        <w:pStyle w:val="berschrift1"/>
        <w:numPr>
          <w:ilvl w:val="0"/>
          <w:numId w:val="0"/>
        </w:numPr>
        <w:ind w:left="360"/>
        <w:jc w:val="center"/>
        <w:rPr>
          <w:sz w:val="32"/>
          <w:szCs w:val="21"/>
        </w:rPr>
      </w:pPr>
      <w:r w:rsidRPr="00BB330F">
        <w:rPr>
          <w:color w:val="000000"/>
          <w:sz w:val="32"/>
          <w:szCs w:val="21"/>
        </w:rPr>
        <w:t>Persistent Muscle Dysfunction and Symptom Burden in Post-COVID Syndrome: A Prospective Longitudinal Study</w:t>
      </w:r>
    </w:p>
    <w:p w14:paraId="08D6C796" w14:textId="77777777" w:rsidR="003625A7" w:rsidRPr="00BB330F" w:rsidRDefault="003625A7" w:rsidP="003625A7">
      <w:pPr>
        <w:pStyle w:val="Manuskript"/>
        <w:jc w:val="center"/>
        <w:rPr>
          <w:rFonts w:ascii="Times New Roman" w:hAnsi="Times New Roman" w:cs="Times New Roman"/>
        </w:rPr>
      </w:pPr>
    </w:p>
    <w:p w14:paraId="32B38B1A" w14:textId="77777777" w:rsidR="003625A7" w:rsidRPr="00BB330F" w:rsidRDefault="003625A7" w:rsidP="003625A7">
      <w:pPr>
        <w:pStyle w:val="AuthorList"/>
      </w:pPr>
      <w:r w:rsidRPr="00BB330F">
        <w:t>Michael Wunderle</w:t>
      </w:r>
      <w:r w:rsidRPr="00BB330F">
        <w:rPr>
          <w:vertAlign w:val="superscript"/>
        </w:rPr>
        <w:t>1*</w:t>
      </w:r>
      <w:r w:rsidRPr="00BB330F">
        <w:t>, Andrea Ribeiro</w:t>
      </w:r>
      <w:r w:rsidRPr="00BB330F">
        <w:rPr>
          <w:vertAlign w:val="superscript"/>
        </w:rPr>
        <w:t>1</w:t>
      </w:r>
      <w:r w:rsidRPr="00BB330F">
        <w:t>, Isabelle Lethen</w:t>
      </w:r>
      <w:r w:rsidRPr="00BB330F">
        <w:rPr>
          <w:vertAlign w:val="superscript"/>
        </w:rPr>
        <w:t>1</w:t>
      </w:r>
      <w:r w:rsidRPr="00BB330F">
        <w:t>, Christoph Schmaderer</w:t>
      </w:r>
      <w:r w:rsidRPr="00BB330F">
        <w:rPr>
          <w:vertAlign w:val="superscript"/>
        </w:rPr>
        <w:t>1,2,3</w:t>
      </w:r>
      <w:r w:rsidRPr="00BB330F">
        <w:t>, Timon Wallraven</w:t>
      </w:r>
      <w:r w:rsidRPr="00BB330F">
        <w:rPr>
          <w:vertAlign w:val="superscript"/>
        </w:rPr>
        <w:t>1</w:t>
      </w:r>
    </w:p>
    <w:p w14:paraId="2CEC3478" w14:textId="77777777" w:rsidR="003625A7" w:rsidRPr="00BB330F" w:rsidRDefault="003625A7" w:rsidP="003625A7">
      <w:pPr>
        <w:spacing w:before="0" w:after="0" w:line="360" w:lineRule="auto"/>
        <w:rPr>
          <w:rFonts w:cs="Times New Roman"/>
          <w:lang w:eastAsia="en-GB"/>
        </w:rPr>
      </w:pPr>
      <w:r w:rsidRPr="00BB330F">
        <w:rPr>
          <w:rFonts w:cs="Times New Roman"/>
          <w:color w:val="000000"/>
          <w:sz w:val="21"/>
          <w:szCs w:val="21"/>
          <w:vertAlign w:val="superscript"/>
          <w:lang w:eastAsia="en-GB"/>
        </w:rPr>
        <w:t>1</w:t>
      </w:r>
      <w:r w:rsidRPr="00BB330F">
        <w:rPr>
          <w:rFonts w:cs="Times New Roman"/>
          <w:color w:val="000000"/>
          <w:sz w:val="21"/>
          <w:szCs w:val="21"/>
          <w:lang w:eastAsia="en-GB"/>
        </w:rPr>
        <w:t>TUM University Clinic, Klinikum rechts der Isar, Department of Nephrology, Technical University of Munich, 81675 Munich, Germany</w:t>
      </w:r>
    </w:p>
    <w:p w14:paraId="7CA5B921" w14:textId="77777777" w:rsidR="003625A7" w:rsidRPr="00BB330F" w:rsidRDefault="003625A7" w:rsidP="003625A7">
      <w:pPr>
        <w:spacing w:before="0" w:after="0" w:line="360" w:lineRule="auto"/>
        <w:rPr>
          <w:rFonts w:cs="Times New Roman"/>
          <w:lang w:eastAsia="en-GB"/>
        </w:rPr>
      </w:pPr>
      <w:r w:rsidRPr="00BB330F">
        <w:rPr>
          <w:rFonts w:cs="Times New Roman"/>
          <w:color w:val="000000"/>
          <w:sz w:val="21"/>
          <w:szCs w:val="21"/>
          <w:vertAlign w:val="superscript"/>
          <w:lang w:eastAsia="en-GB"/>
        </w:rPr>
        <w:t>2</w:t>
      </w:r>
      <w:r w:rsidRPr="00BB330F">
        <w:rPr>
          <w:rFonts w:cs="Times New Roman"/>
          <w:color w:val="000000"/>
          <w:sz w:val="21"/>
          <w:szCs w:val="21"/>
          <w:lang w:eastAsia="en-GB"/>
        </w:rPr>
        <w:t>German Centre for Infection Research (DZIF), Munich Partner Site, Munich, Germany</w:t>
      </w:r>
    </w:p>
    <w:p w14:paraId="59917076" w14:textId="6301E476" w:rsidR="003625A7" w:rsidRDefault="003625A7" w:rsidP="003625A7">
      <w:pPr>
        <w:spacing w:before="0" w:after="0"/>
        <w:rPr>
          <w:rFonts w:cs="Times New Roman"/>
          <w:color w:val="000000"/>
          <w:sz w:val="21"/>
          <w:szCs w:val="21"/>
          <w:lang w:eastAsia="en-GB"/>
        </w:rPr>
      </w:pPr>
      <w:r w:rsidRPr="00BB330F">
        <w:rPr>
          <w:rFonts w:cs="Times New Roman"/>
          <w:color w:val="000000"/>
          <w:sz w:val="21"/>
          <w:szCs w:val="21"/>
          <w:vertAlign w:val="superscript"/>
          <w:lang w:eastAsia="en-GB"/>
        </w:rPr>
        <w:t>3</w:t>
      </w:r>
      <w:r w:rsidRPr="00BB330F">
        <w:rPr>
          <w:rFonts w:cs="Times New Roman"/>
          <w:color w:val="000000"/>
          <w:sz w:val="21"/>
          <w:szCs w:val="21"/>
          <w:lang w:eastAsia="en-GB"/>
        </w:rPr>
        <w:t>Site Lead, VADYS-ME Research Program, TUM University Clinic, Munich</w:t>
      </w:r>
    </w:p>
    <w:p w14:paraId="3D71DDB8" w14:textId="77777777" w:rsidR="003625A7" w:rsidRPr="003625A7" w:rsidRDefault="003625A7" w:rsidP="003625A7">
      <w:pPr>
        <w:spacing w:before="0" w:after="0"/>
        <w:rPr>
          <w:rFonts w:cs="Times New Roman"/>
          <w:color w:val="000000"/>
          <w:sz w:val="21"/>
          <w:szCs w:val="21"/>
          <w:lang w:eastAsia="en-GB"/>
        </w:rPr>
      </w:pPr>
    </w:p>
    <w:p w14:paraId="3B945208" w14:textId="77777777" w:rsidR="003625A7" w:rsidRPr="00BB330F" w:rsidRDefault="003625A7" w:rsidP="003625A7">
      <w:pPr>
        <w:rPr>
          <w:rStyle w:val="ManuskriptZchn"/>
          <w:rFonts w:ascii="Times New Roman" w:hAnsi="Times New Roman" w:cs="Times New Roman"/>
        </w:rPr>
      </w:pPr>
      <w:r w:rsidRPr="00BB330F">
        <w:rPr>
          <w:rFonts w:cs="Times New Roman"/>
        </w:rPr>
        <w:t>Of 102 PCS participants, 87 (85%) completed the 6-month follow-up (FU). Baseline (BL) comparisons between participants with and without FU revealed no statistically significant differences in handgrip strength or PROMs (all p &gt; 0.05; Supplementary Table 1). A non-significant trend indicated that patients lost to FU were slightly less symptomatic at BL.</w:t>
      </w:r>
    </w:p>
    <w:tbl>
      <w:tblPr>
        <w:tblStyle w:val="Gitternetztabelle1hell"/>
        <w:tblW w:w="0" w:type="auto"/>
        <w:tblLook w:val="04A0" w:firstRow="1" w:lastRow="0" w:firstColumn="1" w:lastColumn="0" w:noHBand="0" w:noVBand="1"/>
      </w:tblPr>
      <w:tblGrid>
        <w:gridCol w:w="1872"/>
        <w:gridCol w:w="778"/>
        <w:gridCol w:w="1039"/>
        <w:gridCol w:w="1155"/>
        <w:gridCol w:w="922"/>
        <w:gridCol w:w="1416"/>
        <w:gridCol w:w="1183"/>
        <w:gridCol w:w="1322"/>
      </w:tblGrid>
      <w:tr w:rsidR="003625A7" w:rsidRPr="00BB330F" w14:paraId="522ADFA2" w14:textId="77777777" w:rsidTr="00341A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41BDDB7" w14:textId="77777777" w:rsidR="003625A7" w:rsidRPr="00BB330F" w:rsidRDefault="003625A7" w:rsidP="00341AD1">
            <w:pPr>
              <w:jc w:val="center"/>
              <w:rPr>
                <w:rFonts w:cs="Times New Roman"/>
                <w:color w:val="000000"/>
                <w:sz w:val="20"/>
                <w:szCs w:val="20"/>
              </w:rPr>
            </w:pPr>
            <w:r w:rsidRPr="00BB330F">
              <w:rPr>
                <w:rFonts w:cs="Times New Roman"/>
                <w:color w:val="000000"/>
                <w:sz w:val="20"/>
                <w:szCs w:val="20"/>
              </w:rPr>
              <w:t>Variable</w:t>
            </w:r>
          </w:p>
        </w:tc>
        <w:tc>
          <w:tcPr>
            <w:tcW w:w="0" w:type="auto"/>
            <w:hideMark/>
          </w:tcPr>
          <w:p w14:paraId="7C158307" w14:textId="77777777" w:rsidR="003625A7" w:rsidRPr="00BB330F" w:rsidRDefault="003625A7" w:rsidP="00341AD1">
            <w:pPr>
              <w:jc w:val="center"/>
              <w:cnfStyle w:val="100000000000" w:firstRow="1"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n (FU)</w:t>
            </w:r>
          </w:p>
        </w:tc>
        <w:tc>
          <w:tcPr>
            <w:tcW w:w="0" w:type="auto"/>
            <w:hideMark/>
          </w:tcPr>
          <w:p w14:paraId="6050A3AB" w14:textId="77777777" w:rsidR="003625A7" w:rsidRPr="00BB330F" w:rsidRDefault="003625A7" w:rsidP="00341AD1">
            <w:pPr>
              <w:jc w:val="center"/>
              <w:cnfStyle w:val="100000000000" w:firstRow="1"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n (no FU)</w:t>
            </w:r>
          </w:p>
        </w:tc>
        <w:tc>
          <w:tcPr>
            <w:tcW w:w="0" w:type="auto"/>
            <w:hideMark/>
          </w:tcPr>
          <w:p w14:paraId="10A3C831" w14:textId="77777777" w:rsidR="003625A7" w:rsidRPr="00BB330F" w:rsidRDefault="003625A7" w:rsidP="00341AD1">
            <w:pPr>
              <w:jc w:val="center"/>
              <w:cnfStyle w:val="100000000000" w:firstRow="1"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Mean (FU)</w:t>
            </w:r>
          </w:p>
        </w:tc>
        <w:tc>
          <w:tcPr>
            <w:tcW w:w="0" w:type="auto"/>
            <w:hideMark/>
          </w:tcPr>
          <w:p w14:paraId="7643B6F2" w14:textId="77777777" w:rsidR="003625A7" w:rsidRPr="00BB330F" w:rsidRDefault="003625A7" w:rsidP="00341AD1">
            <w:pPr>
              <w:jc w:val="center"/>
              <w:cnfStyle w:val="100000000000" w:firstRow="1"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SD (FU)</w:t>
            </w:r>
          </w:p>
        </w:tc>
        <w:tc>
          <w:tcPr>
            <w:tcW w:w="0" w:type="auto"/>
            <w:hideMark/>
          </w:tcPr>
          <w:p w14:paraId="1ECE5621" w14:textId="77777777" w:rsidR="003625A7" w:rsidRPr="00BB330F" w:rsidRDefault="003625A7" w:rsidP="00341AD1">
            <w:pPr>
              <w:jc w:val="center"/>
              <w:cnfStyle w:val="100000000000" w:firstRow="1"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Mean (no FU)</w:t>
            </w:r>
          </w:p>
        </w:tc>
        <w:tc>
          <w:tcPr>
            <w:tcW w:w="0" w:type="auto"/>
            <w:hideMark/>
          </w:tcPr>
          <w:p w14:paraId="6CCAFF56" w14:textId="77777777" w:rsidR="003625A7" w:rsidRPr="00BB330F" w:rsidRDefault="003625A7" w:rsidP="00341AD1">
            <w:pPr>
              <w:jc w:val="center"/>
              <w:cnfStyle w:val="100000000000" w:firstRow="1"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SD (no FU)</w:t>
            </w:r>
          </w:p>
        </w:tc>
        <w:tc>
          <w:tcPr>
            <w:tcW w:w="0" w:type="auto"/>
            <w:hideMark/>
          </w:tcPr>
          <w:p w14:paraId="42B26DCB" w14:textId="77777777" w:rsidR="003625A7" w:rsidRPr="00BB330F" w:rsidRDefault="003625A7" w:rsidP="00341AD1">
            <w:pPr>
              <w:jc w:val="center"/>
              <w:cnfStyle w:val="100000000000" w:firstRow="1"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p (Wilcoxon)</w:t>
            </w:r>
          </w:p>
        </w:tc>
      </w:tr>
      <w:tr w:rsidR="003625A7" w:rsidRPr="00BB330F" w14:paraId="1E2D4293" w14:textId="77777777" w:rsidTr="00341AD1">
        <w:tc>
          <w:tcPr>
            <w:cnfStyle w:val="001000000000" w:firstRow="0" w:lastRow="0" w:firstColumn="1" w:lastColumn="0" w:oddVBand="0" w:evenVBand="0" w:oddHBand="0" w:evenHBand="0" w:firstRowFirstColumn="0" w:firstRowLastColumn="0" w:lastRowFirstColumn="0" w:lastRowLastColumn="0"/>
            <w:tcW w:w="0" w:type="auto"/>
            <w:hideMark/>
          </w:tcPr>
          <w:p w14:paraId="51D2305A" w14:textId="77777777" w:rsidR="003625A7" w:rsidRPr="00BB330F" w:rsidRDefault="003625A7" w:rsidP="00341AD1">
            <w:pPr>
              <w:rPr>
                <w:rFonts w:cs="Times New Roman"/>
                <w:b w:val="0"/>
                <w:bCs w:val="0"/>
                <w:color w:val="000000"/>
                <w:sz w:val="20"/>
                <w:szCs w:val="20"/>
              </w:rPr>
            </w:pPr>
            <w:r w:rsidRPr="00BB330F">
              <w:rPr>
                <w:rFonts w:cs="Times New Roman"/>
                <w:color w:val="000000"/>
                <w:sz w:val="20"/>
                <w:szCs w:val="20"/>
              </w:rPr>
              <w:t>Fmean</w:t>
            </w:r>
          </w:p>
        </w:tc>
        <w:tc>
          <w:tcPr>
            <w:tcW w:w="0" w:type="auto"/>
            <w:hideMark/>
          </w:tcPr>
          <w:p w14:paraId="0795D91F"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87</w:t>
            </w:r>
          </w:p>
        </w:tc>
        <w:tc>
          <w:tcPr>
            <w:tcW w:w="0" w:type="auto"/>
            <w:hideMark/>
          </w:tcPr>
          <w:p w14:paraId="1AB7275F"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15</w:t>
            </w:r>
          </w:p>
        </w:tc>
        <w:tc>
          <w:tcPr>
            <w:tcW w:w="0" w:type="auto"/>
            <w:hideMark/>
          </w:tcPr>
          <w:p w14:paraId="7F6E2852"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22.4</w:t>
            </w:r>
          </w:p>
        </w:tc>
        <w:tc>
          <w:tcPr>
            <w:tcW w:w="0" w:type="auto"/>
            <w:hideMark/>
          </w:tcPr>
          <w:p w14:paraId="400DD690"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12.6</w:t>
            </w:r>
          </w:p>
        </w:tc>
        <w:tc>
          <w:tcPr>
            <w:tcW w:w="0" w:type="auto"/>
            <w:hideMark/>
          </w:tcPr>
          <w:p w14:paraId="6DED270E"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24.1</w:t>
            </w:r>
          </w:p>
        </w:tc>
        <w:tc>
          <w:tcPr>
            <w:tcW w:w="0" w:type="auto"/>
            <w:hideMark/>
          </w:tcPr>
          <w:p w14:paraId="3E002EA2"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12.6</w:t>
            </w:r>
          </w:p>
        </w:tc>
        <w:tc>
          <w:tcPr>
            <w:tcW w:w="0" w:type="auto"/>
            <w:hideMark/>
          </w:tcPr>
          <w:p w14:paraId="2809E1EE"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0.571</w:t>
            </w:r>
          </w:p>
        </w:tc>
      </w:tr>
      <w:tr w:rsidR="003625A7" w:rsidRPr="00BB330F" w14:paraId="69F7EDD5" w14:textId="77777777" w:rsidTr="00341AD1">
        <w:tc>
          <w:tcPr>
            <w:cnfStyle w:val="001000000000" w:firstRow="0" w:lastRow="0" w:firstColumn="1" w:lastColumn="0" w:oddVBand="0" w:evenVBand="0" w:oddHBand="0" w:evenHBand="0" w:firstRowFirstColumn="0" w:firstRowLastColumn="0" w:lastRowFirstColumn="0" w:lastRowLastColumn="0"/>
            <w:tcW w:w="0" w:type="auto"/>
            <w:hideMark/>
          </w:tcPr>
          <w:p w14:paraId="495FD672" w14:textId="77777777" w:rsidR="003625A7" w:rsidRPr="00BB330F" w:rsidRDefault="003625A7" w:rsidP="00341AD1">
            <w:pPr>
              <w:rPr>
                <w:rFonts w:cs="Times New Roman"/>
                <w:color w:val="000000"/>
                <w:sz w:val="20"/>
                <w:szCs w:val="20"/>
              </w:rPr>
            </w:pPr>
            <w:r w:rsidRPr="00BB330F">
              <w:rPr>
                <w:rFonts w:cs="Times New Roman"/>
                <w:color w:val="000000"/>
                <w:sz w:val="20"/>
                <w:szCs w:val="20"/>
              </w:rPr>
              <w:t xml:space="preserve">Fatigue Ratio </w:t>
            </w:r>
          </w:p>
        </w:tc>
        <w:tc>
          <w:tcPr>
            <w:tcW w:w="0" w:type="auto"/>
            <w:hideMark/>
          </w:tcPr>
          <w:p w14:paraId="7CB2B378"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87</w:t>
            </w:r>
          </w:p>
        </w:tc>
        <w:tc>
          <w:tcPr>
            <w:tcW w:w="0" w:type="auto"/>
            <w:hideMark/>
          </w:tcPr>
          <w:p w14:paraId="6E9BFD8C"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15</w:t>
            </w:r>
          </w:p>
        </w:tc>
        <w:tc>
          <w:tcPr>
            <w:tcW w:w="0" w:type="auto"/>
            <w:hideMark/>
          </w:tcPr>
          <w:p w14:paraId="715AE6E8"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1.27</w:t>
            </w:r>
          </w:p>
        </w:tc>
        <w:tc>
          <w:tcPr>
            <w:tcW w:w="0" w:type="auto"/>
            <w:hideMark/>
          </w:tcPr>
          <w:p w14:paraId="475946A5"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0.24</w:t>
            </w:r>
          </w:p>
        </w:tc>
        <w:tc>
          <w:tcPr>
            <w:tcW w:w="0" w:type="auto"/>
            <w:hideMark/>
          </w:tcPr>
          <w:p w14:paraId="46F8053A"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1.20</w:t>
            </w:r>
          </w:p>
        </w:tc>
        <w:tc>
          <w:tcPr>
            <w:tcW w:w="0" w:type="auto"/>
            <w:hideMark/>
          </w:tcPr>
          <w:p w14:paraId="33ED6161"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0.11</w:t>
            </w:r>
          </w:p>
        </w:tc>
        <w:tc>
          <w:tcPr>
            <w:tcW w:w="0" w:type="auto"/>
            <w:hideMark/>
          </w:tcPr>
          <w:p w14:paraId="34BDA1E0"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0.271</w:t>
            </w:r>
          </w:p>
        </w:tc>
      </w:tr>
      <w:tr w:rsidR="003625A7" w:rsidRPr="00BB330F" w14:paraId="02102723" w14:textId="77777777" w:rsidTr="00341AD1">
        <w:tc>
          <w:tcPr>
            <w:cnfStyle w:val="001000000000" w:firstRow="0" w:lastRow="0" w:firstColumn="1" w:lastColumn="0" w:oddVBand="0" w:evenVBand="0" w:oddHBand="0" w:evenHBand="0" w:firstRowFirstColumn="0" w:firstRowLastColumn="0" w:lastRowFirstColumn="0" w:lastRowLastColumn="0"/>
            <w:tcW w:w="0" w:type="auto"/>
            <w:hideMark/>
          </w:tcPr>
          <w:p w14:paraId="676BEDF3" w14:textId="77777777" w:rsidR="003625A7" w:rsidRPr="00BB330F" w:rsidRDefault="003625A7" w:rsidP="00341AD1">
            <w:pPr>
              <w:rPr>
                <w:rFonts w:cs="Times New Roman"/>
                <w:color w:val="000000"/>
                <w:sz w:val="20"/>
                <w:szCs w:val="20"/>
              </w:rPr>
            </w:pPr>
            <w:r w:rsidRPr="00BB330F">
              <w:rPr>
                <w:rFonts w:cs="Times New Roman"/>
                <w:color w:val="000000"/>
                <w:sz w:val="20"/>
                <w:szCs w:val="20"/>
              </w:rPr>
              <w:t>Recovery</w:t>
            </w:r>
          </w:p>
        </w:tc>
        <w:tc>
          <w:tcPr>
            <w:tcW w:w="0" w:type="auto"/>
            <w:hideMark/>
          </w:tcPr>
          <w:p w14:paraId="329480DC"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87</w:t>
            </w:r>
          </w:p>
        </w:tc>
        <w:tc>
          <w:tcPr>
            <w:tcW w:w="0" w:type="auto"/>
            <w:hideMark/>
          </w:tcPr>
          <w:p w14:paraId="06203BE3"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15</w:t>
            </w:r>
          </w:p>
        </w:tc>
        <w:tc>
          <w:tcPr>
            <w:tcW w:w="0" w:type="auto"/>
            <w:hideMark/>
          </w:tcPr>
          <w:p w14:paraId="1DA61D47"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0.93</w:t>
            </w:r>
          </w:p>
        </w:tc>
        <w:tc>
          <w:tcPr>
            <w:tcW w:w="0" w:type="auto"/>
            <w:hideMark/>
          </w:tcPr>
          <w:p w14:paraId="08BDEDE9"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0.20</w:t>
            </w:r>
          </w:p>
        </w:tc>
        <w:tc>
          <w:tcPr>
            <w:tcW w:w="0" w:type="auto"/>
            <w:hideMark/>
          </w:tcPr>
          <w:p w14:paraId="795CB133"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1.01</w:t>
            </w:r>
          </w:p>
        </w:tc>
        <w:tc>
          <w:tcPr>
            <w:tcW w:w="0" w:type="auto"/>
            <w:hideMark/>
          </w:tcPr>
          <w:p w14:paraId="7406DC26"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0.18</w:t>
            </w:r>
          </w:p>
        </w:tc>
        <w:tc>
          <w:tcPr>
            <w:tcW w:w="0" w:type="auto"/>
            <w:hideMark/>
          </w:tcPr>
          <w:p w14:paraId="463889ED"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0.099</w:t>
            </w:r>
          </w:p>
        </w:tc>
      </w:tr>
      <w:tr w:rsidR="003625A7" w:rsidRPr="00BB330F" w14:paraId="5B050DE7" w14:textId="77777777" w:rsidTr="00341AD1">
        <w:tc>
          <w:tcPr>
            <w:cnfStyle w:val="001000000000" w:firstRow="0" w:lastRow="0" w:firstColumn="1" w:lastColumn="0" w:oddVBand="0" w:evenVBand="0" w:oddHBand="0" w:evenHBand="0" w:firstRowFirstColumn="0" w:firstRowLastColumn="0" w:lastRowFirstColumn="0" w:lastRowLastColumn="0"/>
            <w:tcW w:w="0" w:type="auto"/>
            <w:hideMark/>
          </w:tcPr>
          <w:p w14:paraId="40BA1B9E" w14:textId="77777777" w:rsidR="003625A7" w:rsidRPr="00BB330F" w:rsidRDefault="003625A7" w:rsidP="00341AD1">
            <w:pPr>
              <w:rPr>
                <w:rFonts w:cs="Times New Roman"/>
                <w:color w:val="000000"/>
                <w:sz w:val="20"/>
                <w:szCs w:val="20"/>
              </w:rPr>
            </w:pPr>
            <w:r w:rsidRPr="00BB330F">
              <w:rPr>
                <w:rFonts w:cs="Times New Roman"/>
                <w:color w:val="000000"/>
                <w:sz w:val="20"/>
                <w:szCs w:val="20"/>
              </w:rPr>
              <w:t>PCS Severity Score</w:t>
            </w:r>
          </w:p>
        </w:tc>
        <w:tc>
          <w:tcPr>
            <w:tcW w:w="0" w:type="auto"/>
            <w:hideMark/>
          </w:tcPr>
          <w:p w14:paraId="3EC25531"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87</w:t>
            </w:r>
          </w:p>
        </w:tc>
        <w:tc>
          <w:tcPr>
            <w:tcW w:w="0" w:type="auto"/>
            <w:hideMark/>
          </w:tcPr>
          <w:p w14:paraId="404B0CA5"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15</w:t>
            </w:r>
          </w:p>
        </w:tc>
        <w:tc>
          <w:tcPr>
            <w:tcW w:w="0" w:type="auto"/>
            <w:hideMark/>
          </w:tcPr>
          <w:p w14:paraId="1A30F999"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37.3</w:t>
            </w:r>
          </w:p>
        </w:tc>
        <w:tc>
          <w:tcPr>
            <w:tcW w:w="0" w:type="auto"/>
            <w:hideMark/>
          </w:tcPr>
          <w:p w14:paraId="63E42C62"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10.6</w:t>
            </w:r>
          </w:p>
        </w:tc>
        <w:tc>
          <w:tcPr>
            <w:tcW w:w="0" w:type="auto"/>
            <w:hideMark/>
          </w:tcPr>
          <w:p w14:paraId="4387A895"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34.5</w:t>
            </w:r>
          </w:p>
        </w:tc>
        <w:tc>
          <w:tcPr>
            <w:tcW w:w="0" w:type="auto"/>
            <w:hideMark/>
          </w:tcPr>
          <w:p w14:paraId="465B3512"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10.2</w:t>
            </w:r>
          </w:p>
        </w:tc>
        <w:tc>
          <w:tcPr>
            <w:tcW w:w="0" w:type="auto"/>
            <w:hideMark/>
          </w:tcPr>
          <w:p w14:paraId="340FBE52"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0.424</w:t>
            </w:r>
          </w:p>
        </w:tc>
      </w:tr>
      <w:tr w:rsidR="003625A7" w:rsidRPr="00BB330F" w14:paraId="7BD3BB72" w14:textId="77777777" w:rsidTr="00341AD1">
        <w:tc>
          <w:tcPr>
            <w:cnfStyle w:val="001000000000" w:firstRow="0" w:lastRow="0" w:firstColumn="1" w:lastColumn="0" w:oddVBand="0" w:evenVBand="0" w:oddHBand="0" w:evenHBand="0" w:firstRowFirstColumn="0" w:firstRowLastColumn="0" w:lastRowFirstColumn="0" w:lastRowLastColumn="0"/>
            <w:tcW w:w="0" w:type="auto"/>
            <w:hideMark/>
          </w:tcPr>
          <w:p w14:paraId="6BF34702" w14:textId="77777777" w:rsidR="003625A7" w:rsidRPr="00BB330F" w:rsidRDefault="003625A7" w:rsidP="00341AD1">
            <w:pPr>
              <w:rPr>
                <w:rFonts w:cs="Times New Roman"/>
                <w:color w:val="000000"/>
                <w:sz w:val="20"/>
                <w:szCs w:val="20"/>
              </w:rPr>
            </w:pPr>
            <w:r w:rsidRPr="00BB330F">
              <w:rPr>
                <w:rFonts w:cs="Times New Roman"/>
                <w:color w:val="000000"/>
                <w:sz w:val="20"/>
                <w:szCs w:val="20"/>
              </w:rPr>
              <w:t xml:space="preserve">C19-YRS </w:t>
            </w:r>
          </w:p>
        </w:tc>
        <w:tc>
          <w:tcPr>
            <w:tcW w:w="0" w:type="auto"/>
            <w:hideMark/>
          </w:tcPr>
          <w:p w14:paraId="6EF80DBC"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84</w:t>
            </w:r>
          </w:p>
        </w:tc>
        <w:tc>
          <w:tcPr>
            <w:tcW w:w="0" w:type="auto"/>
            <w:hideMark/>
          </w:tcPr>
          <w:p w14:paraId="3D33E8CC"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8</w:t>
            </w:r>
          </w:p>
        </w:tc>
        <w:tc>
          <w:tcPr>
            <w:tcW w:w="0" w:type="auto"/>
            <w:hideMark/>
          </w:tcPr>
          <w:p w14:paraId="0B76AB8F"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33.2</w:t>
            </w:r>
          </w:p>
        </w:tc>
        <w:tc>
          <w:tcPr>
            <w:tcW w:w="0" w:type="auto"/>
            <w:hideMark/>
          </w:tcPr>
          <w:p w14:paraId="62A0516F"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14.0</w:t>
            </w:r>
          </w:p>
        </w:tc>
        <w:tc>
          <w:tcPr>
            <w:tcW w:w="0" w:type="auto"/>
            <w:hideMark/>
          </w:tcPr>
          <w:p w14:paraId="3B60E9EA"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27.4</w:t>
            </w:r>
          </w:p>
        </w:tc>
        <w:tc>
          <w:tcPr>
            <w:tcW w:w="0" w:type="auto"/>
            <w:hideMark/>
          </w:tcPr>
          <w:p w14:paraId="0FFA80A4"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15.7</w:t>
            </w:r>
          </w:p>
        </w:tc>
        <w:tc>
          <w:tcPr>
            <w:tcW w:w="0" w:type="auto"/>
            <w:hideMark/>
          </w:tcPr>
          <w:p w14:paraId="1825C3C3"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0.325</w:t>
            </w:r>
          </w:p>
        </w:tc>
      </w:tr>
      <w:tr w:rsidR="003625A7" w:rsidRPr="00BB330F" w14:paraId="60A09A4E" w14:textId="77777777" w:rsidTr="00341AD1">
        <w:tc>
          <w:tcPr>
            <w:cnfStyle w:val="001000000000" w:firstRow="0" w:lastRow="0" w:firstColumn="1" w:lastColumn="0" w:oddVBand="0" w:evenVBand="0" w:oddHBand="0" w:evenHBand="0" w:firstRowFirstColumn="0" w:firstRowLastColumn="0" w:lastRowFirstColumn="0" w:lastRowLastColumn="0"/>
            <w:tcW w:w="0" w:type="auto"/>
            <w:hideMark/>
          </w:tcPr>
          <w:p w14:paraId="04CAF9AE" w14:textId="77777777" w:rsidR="003625A7" w:rsidRPr="00BB330F" w:rsidRDefault="003625A7" w:rsidP="00341AD1">
            <w:pPr>
              <w:rPr>
                <w:rFonts w:cs="Times New Roman"/>
                <w:color w:val="000000"/>
                <w:sz w:val="20"/>
                <w:szCs w:val="20"/>
              </w:rPr>
            </w:pPr>
            <w:r w:rsidRPr="00BB330F">
              <w:rPr>
                <w:rFonts w:cs="Times New Roman"/>
                <w:color w:val="000000"/>
                <w:sz w:val="20"/>
                <w:szCs w:val="20"/>
              </w:rPr>
              <w:t>GAD-7</w:t>
            </w:r>
          </w:p>
        </w:tc>
        <w:tc>
          <w:tcPr>
            <w:tcW w:w="0" w:type="auto"/>
            <w:hideMark/>
          </w:tcPr>
          <w:p w14:paraId="79D94606"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86</w:t>
            </w:r>
          </w:p>
        </w:tc>
        <w:tc>
          <w:tcPr>
            <w:tcW w:w="0" w:type="auto"/>
            <w:hideMark/>
          </w:tcPr>
          <w:p w14:paraId="1F604EC4"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14</w:t>
            </w:r>
          </w:p>
        </w:tc>
        <w:tc>
          <w:tcPr>
            <w:tcW w:w="0" w:type="auto"/>
            <w:hideMark/>
          </w:tcPr>
          <w:p w14:paraId="4CBA6EF9"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6.00</w:t>
            </w:r>
          </w:p>
        </w:tc>
        <w:tc>
          <w:tcPr>
            <w:tcW w:w="0" w:type="auto"/>
            <w:hideMark/>
          </w:tcPr>
          <w:p w14:paraId="27402205"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4.18</w:t>
            </w:r>
          </w:p>
        </w:tc>
        <w:tc>
          <w:tcPr>
            <w:tcW w:w="0" w:type="auto"/>
            <w:hideMark/>
          </w:tcPr>
          <w:p w14:paraId="6265F24E"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5.57</w:t>
            </w:r>
          </w:p>
        </w:tc>
        <w:tc>
          <w:tcPr>
            <w:tcW w:w="0" w:type="auto"/>
            <w:hideMark/>
          </w:tcPr>
          <w:p w14:paraId="7C0D8807"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5.26</w:t>
            </w:r>
          </w:p>
        </w:tc>
        <w:tc>
          <w:tcPr>
            <w:tcW w:w="0" w:type="auto"/>
            <w:hideMark/>
          </w:tcPr>
          <w:p w14:paraId="2E2871C0"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0.451</w:t>
            </w:r>
          </w:p>
        </w:tc>
      </w:tr>
      <w:tr w:rsidR="003625A7" w:rsidRPr="00BB330F" w14:paraId="16EB35C7" w14:textId="77777777" w:rsidTr="00341AD1">
        <w:tc>
          <w:tcPr>
            <w:cnfStyle w:val="001000000000" w:firstRow="0" w:lastRow="0" w:firstColumn="1" w:lastColumn="0" w:oddVBand="0" w:evenVBand="0" w:oddHBand="0" w:evenHBand="0" w:firstRowFirstColumn="0" w:firstRowLastColumn="0" w:lastRowFirstColumn="0" w:lastRowLastColumn="0"/>
            <w:tcW w:w="0" w:type="auto"/>
            <w:hideMark/>
          </w:tcPr>
          <w:p w14:paraId="0C4C8E16" w14:textId="77777777" w:rsidR="003625A7" w:rsidRPr="00BB330F" w:rsidRDefault="003625A7" w:rsidP="00341AD1">
            <w:pPr>
              <w:rPr>
                <w:rFonts w:cs="Times New Roman"/>
                <w:color w:val="000000"/>
                <w:sz w:val="20"/>
                <w:szCs w:val="20"/>
              </w:rPr>
            </w:pPr>
            <w:r w:rsidRPr="00BB330F">
              <w:rPr>
                <w:rFonts w:cs="Times New Roman"/>
                <w:color w:val="000000"/>
                <w:sz w:val="20"/>
                <w:szCs w:val="20"/>
              </w:rPr>
              <w:t>PHQ-9</w:t>
            </w:r>
          </w:p>
        </w:tc>
        <w:tc>
          <w:tcPr>
            <w:tcW w:w="0" w:type="auto"/>
            <w:hideMark/>
          </w:tcPr>
          <w:p w14:paraId="6FF39D1C"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86</w:t>
            </w:r>
          </w:p>
        </w:tc>
        <w:tc>
          <w:tcPr>
            <w:tcW w:w="0" w:type="auto"/>
            <w:hideMark/>
          </w:tcPr>
          <w:p w14:paraId="6FDF2112"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14</w:t>
            </w:r>
          </w:p>
        </w:tc>
        <w:tc>
          <w:tcPr>
            <w:tcW w:w="0" w:type="auto"/>
            <w:hideMark/>
          </w:tcPr>
          <w:p w14:paraId="5E04B0F0"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10.4</w:t>
            </w:r>
          </w:p>
        </w:tc>
        <w:tc>
          <w:tcPr>
            <w:tcW w:w="0" w:type="auto"/>
            <w:hideMark/>
          </w:tcPr>
          <w:p w14:paraId="7504DBB3"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4.37</w:t>
            </w:r>
          </w:p>
        </w:tc>
        <w:tc>
          <w:tcPr>
            <w:tcW w:w="0" w:type="auto"/>
            <w:hideMark/>
          </w:tcPr>
          <w:p w14:paraId="566D4D2C"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10.6</w:t>
            </w:r>
          </w:p>
        </w:tc>
        <w:tc>
          <w:tcPr>
            <w:tcW w:w="0" w:type="auto"/>
            <w:hideMark/>
          </w:tcPr>
          <w:p w14:paraId="3A368772"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4.22</w:t>
            </w:r>
          </w:p>
        </w:tc>
        <w:tc>
          <w:tcPr>
            <w:tcW w:w="0" w:type="auto"/>
            <w:hideMark/>
          </w:tcPr>
          <w:p w14:paraId="58F700EC"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0.608</w:t>
            </w:r>
          </w:p>
        </w:tc>
      </w:tr>
      <w:tr w:rsidR="003625A7" w:rsidRPr="00BB330F" w14:paraId="7E914B48" w14:textId="77777777" w:rsidTr="00341AD1">
        <w:tc>
          <w:tcPr>
            <w:cnfStyle w:val="001000000000" w:firstRow="0" w:lastRow="0" w:firstColumn="1" w:lastColumn="0" w:oddVBand="0" w:evenVBand="0" w:oddHBand="0" w:evenHBand="0" w:firstRowFirstColumn="0" w:firstRowLastColumn="0" w:lastRowFirstColumn="0" w:lastRowLastColumn="0"/>
            <w:tcW w:w="0" w:type="auto"/>
            <w:hideMark/>
          </w:tcPr>
          <w:p w14:paraId="587AD72D" w14:textId="77777777" w:rsidR="003625A7" w:rsidRPr="00BB330F" w:rsidRDefault="003625A7" w:rsidP="00341AD1">
            <w:pPr>
              <w:rPr>
                <w:rFonts w:cs="Times New Roman"/>
                <w:color w:val="000000"/>
                <w:sz w:val="20"/>
                <w:szCs w:val="20"/>
              </w:rPr>
            </w:pPr>
            <w:r w:rsidRPr="00BB330F">
              <w:rPr>
                <w:rFonts w:cs="Times New Roman"/>
                <w:color w:val="000000"/>
                <w:sz w:val="20"/>
                <w:szCs w:val="20"/>
              </w:rPr>
              <w:t>FSS</w:t>
            </w:r>
          </w:p>
        </w:tc>
        <w:tc>
          <w:tcPr>
            <w:tcW w:w="0" w:type="auto"/>
            <w:hideMark/>
          </w:tcPr>
          <w:p w14:paraId="7B9DC8EA"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87</w:t>
            </w:r>
          </w:p>
        </w:tc>
        <w:tc>
          <w:tcPr>
            <w:tcW w:w="0" w:type="auto"/>
            <w:hideMark/>
          </w:tcPr>
          <w:p w14:paraId="6F31A49A"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14</w:t>
            </w:r>
          </w:p>
        </w:tc>
        <w:tc>
          <w:tcPr>
            <w:tcW w:w="0" w:type="auto"/>
            <w:hideMark/>
          </w:tcPr>
          <w:p w14:paraId="5E84A1DA"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5.67</w:t>
            </w:r>
          </w:p>
        </w:tc>
        <w:tc>
          <w:tcPr>
            <w:tcW w:w="0" w:type="auto"/>
            <w:hideMark/>
          </w:tcPr>
          <w:p w14:paraId="2142166B"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1.31</w:t>
            </w:r>
          </w:p>
        </w:tc>
        <w:tc>
          <w:tcPr>
            <w:tcW w:w="0" w:type="auto"/>
            <w:hideMark/>
          </w:tcPr>
          <w:p w14:paraId="7F62C1C3"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5.63</w:t>
            </w:r>
          </w:p>
        </w:tc>
        <w:tc>
          <w:tcPr>
            <w:tcW w:w="0" w:type="auto"/>
            <w:hideMark/>
          </w:tcPr>
          <w:p w14:paraId="0AB04D34"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1.47</w:t>
            </w:r>
          </w:p>
        </w:tc>
        <w:tc>
          <w:tcPr>
            <w:tcW w:w="0" w:type="auto"/>
            <w:hideMark/>
          </w:tcPr>
          <w:p w14:paraId="288E8501" w14:textId="77777777" w:rsidR="003625A7" w:rsidRPr="00BB330F" w:rsidRDefault="003625A7" w:rsidP="00341AD1">
            <w:pPr>
              <w:keepNext/>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0.953</w:t>
            </w:r>
          </w:p>
        </w:tc>
      </w:tr>
    </w:tbl>
    <w:p w14:paraId="2701F3C8" w14:textId="26A811D8" w:rsidR="003625A7" w:rsidRPr="0054367B" w:rsidRDefault="003625A7" w:rsidP="003625A7">
      <w:pPr>
        <w:pStyle w:val="Beschriftung1"/>
        <w:rPr>
          <w:rStyle w:val="Fett"/>
          <w:rFonts w:cs="Times New Roman"/>
          <w:b w:val="0"/>
          <w:bCs w:val="0"/>
          <w:sz w:val="24"/>
          <w:szCs w:val="24"/>
        </w:rPr>
      </w:pPr>
      <w:bookmarkStart w:id="0" w:name="_Toc212714083"/>
      <w:r w:rsidRPr="0054367B">
        <w:rPr>
          <w:rFonts w:ascii="Times New Roman" w:hAnsi="Times New Roman" w:cs="Times New Roman"/>
          <w:b/>
          <w:bCs/>
          <w:sz w:val="24"/>
          <w:szCs w:val="24"/>
        </w:rPr>
        <w:t xml:space="preserve">Supplementary Table </w:t>
      </w:r>
      <w:r w:rsidRPr="0054367B">
        <w:rPr>
          <w:rFonts w:ascii="Times New Roman" w:hAnsi="Times New Roman" w:cs="Times New Roman"/>
          <w:b/>
          <w:bCs/>
          <w:sz w:val="24"/>
          <w:szCs w:val="24"/>
        </w:rPr>
        <w:fldChar w:fldCharType="begin"/>
      </w:r>
      <w:r w:rsidRPr="0054367B">
        <w:rPr>
          <w:rFonts w:ascii="Times New Roman" w:hAnsi="Times New Roman" w:cs="Times New Roman"/>
          <w:b/>
          <w:bCs/>
          <w:sz w:val="24"/>
          <w:szCs w:val="24"/>
        </w:rPr>
        <w:instrText xml:space="preserve"> SEQ Supplementary_Table \* ARABIC </w:instrText>
      </w:r>
      <w:r w:rsidRPr="0054367B">
        <w:rPr>
          <w:rFonts w:ascii="Times New Roman" w:hAnsi="Times New Roman" w:cs="Times New Roman"/>
          <w:b/>
          <w:bCs/>
          <w:sz w:val="24"/>
          <w:szCs w:val="24"/>
        </w:rPr>
        <w:fldChar w:fldCharType="separate"/>
      </w:r>
      <w:r w:rsidR="00FE267B">
        <w:rPr>
          <w:rFonts w:ascii="Times New Roman" w:hAnsi="Times New Roman" w:cs="Times New Roman"/>
          <w:b/>
          <w:bCs/>
          <w:noProof/>
          <w:sz w:val="24"/>
          <w:szCs w:val="24"/>
        </w:rPr>
        <w:t>1</w:t>
      </w:r>
      <w:r w:rsidRPr="0054367B">
        <w:rPr>
          <w:rFonts w:ascii="Times New Roman" w:hAnsi="Times New Roman" w:cs="Times New Roman"/>
          <w:b/>
          <w:bCs/>
          <w:sz w:val="24"/>
          <w:szCs w:val="24"/>
        </w:rPr>
        <w:fldChar w:fldCharType="end"/>
      </w:r>
      <w:r w:rsidRPr="0054367B">
        <w:rPr>
          <w:rFonts w:ascii="Times New Roman" w:hAnsi="Times New Roman" w:cs="Times New Roman"/>
          <w:b/>
          <w:bCs/>
          <w:sz w:val="24"/>
          <w:szCs w:val="24"/>
        </w:rPr>
        <w:t>:</w:t>
      </w:r>
      <w:r w:rsidRPr="0054367B">
        <w:rPr>
          <w:rFonts w:ascii="Times New Roman" w:hAnsi="Times New Roman" w:cs="Times New Roman"/>
          <w:sz w:val="24"/>
          <w:szCs w:val="24"/>
        </w:rPr>
        <w:t xml:space="preserve"> BL comparison of PCS patients with vs. without FU. Wilcoxon rank-sum test comparing BL values of participants with vs. without FU. </w:t>
      </w:r>
      <w:r w:rsidRPr="0054367B">
        <w:rPr>
          <w:rStyle w:val="Fett"/>
          <w:rFonts w:cs="Times New Roman"/>
          <w:b w:val="0"/>
          <w:bCs w:val="0"/>
          <w:sz w:val="24"/>
          <w:szCs w:val="24"/>
        </w:rPr>
        <w:t>Abbreviations:</w:t>
      </w:r>
      <w:r w:rsidRPr="0054367B">
        <w:rPr>
          <w:rStyle w:val="apple-converted-space"/>
          <w:rFonts w:ascii="Times New Roman" w:hAnsi="Times New Roman" w:cs="Times New Roman"/>
          <w:sz w:val="24"/>
          <w:szCs w:val="24"/>
        </w:rPr>
        <w:t xml:space="preserve"> </w:t>
      </w:r>
      <w:r w:rsidRPr="0054367B">
        <w:rPr>
          <w:rFonts w:ascii="Times New Roman" w:hAnsi="Times New Roman" w:cs="Times New Roman"/>
          <w:sz w:val="24"/>
          <w:szCs w:val="24"/>
        </w:rPr>
        <w:t>SD = standard deviation.</w:t>
      </w:r>
      <w:bookmarkEnd w:id="0"/>
    </w:p>
    <w:p w14:paraId="2FC69178" w14:textId="64894396" w:rsidR="003625A7" w:rsidRDefault="003625A7" w:rsidP="003625A7">
      <w:r w:rsidRPr="00BB330F">
        <w:rPr>
          <w:rStyle w:val="Fett"/>
          <w:rFonts w:cs="Times New Roman"/>
          <w:b w:val="0"/>
          <w:bCs w:val="0"/>
          <w:color w:val="000000" w:themeColor="text1"/>
        </w:rPr>
        <w:t>Supplementary Figure 1</w:t>
      </w:r>
      <w:r w:rsidRPr="00BB330F">
        <w:rPr>
          <w:rStyle w:val="apple-converted-space"/>
          <w:rFonts w:cs="Times New Roman"/>
          <w:color w:val="000000" w:themeColor="text1"/>
        </w:rPr>
        <w:t xml:space="preserve"> </w:t>
      </w:r>
      <w:r w:rsidRPr="00BB330F">
        <w:t xml:space="preserve">illustrates the distribution of individual change scores (Δ = FU – BL) for all analyzed outcomes. Each violin-box plot represents the full range and density of within-subject changes, with the dashed horizontal line marking no change (Δ = 0). Most distributions were </w:t>
      </w:r>
      <w:r w:rsidRPr="00BB330F">
        <w:lastRenderedPageBreak/>
        <w:t>approximately symmetric and centred close to zero, indicating that the small mean differences reported in Table 2 were not driven by extreme outliers. Slight positive shifts in recovery and small negative shifts in anxiety (GAD-7) and Fatigue severity (FSS) suggest mild but consistent improvement in these domains, whereas changes in handgrip strength and Fatigue Ratio were minimal.</w:t>
      </w:r>
    </w:p>
    <w:p w14:paraId="6FC779E3" w14:textId="5F235816" w:rsidR="003625A7" w:rsidRPr="00BB330F" w:rsidRDefault="00EF4129" w:rsidP="00EF4129">
      <w:r>
        <w:rPr>
          <w:noProof/>
        </w:rPr>
        <w:drawing>
          <wp:inline distT="0" distB="0" distL="0" distR="0" wp14:anchorId="561D5CBA" wp14:editId="212D6FEA">
            <wp:extent cx="6038062" cy="4025375"/>
            <wp:effectExtent l="0" t="0" r="0" b="635"/>
            <wp:docPr id="1744314319"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314319" name="Grafik 1744314319"/>
                    <pic:cNvPicPr/>
                  </pic:nvPicPr>
                  <pic:blipFill>
                    <a:blip r:embed="rId7">
                      <a:extLst>
                        <a:ext uri="{28A0092B-C50C-407E-A947-70E740481C1C}">
                          <a14:useLocalDpi xmlns:a14="http://schemas.microsoft.com/office/drawing/2010/main" val="0"/>
                        </a:ext>
                      </a:extLst>
                    </a:blip>
                    <a:stretch>
                      <a:fillRect/>
                    </a:stretch>
                  </pic:blipFill>
                  <pic:spPr>
                    <a:xfrm>
                      <a:off x="0" y="0"/>
                      <a:ext cx="6044656" cy="4029771"/>
                    </a:xfrm>
                    <a:prstGeom prst="rect">
                      <a:avLst/>
                    </a:prstGeom>
                  </pic:spPr>
                </pic:pic>
              </a:graphicData>
            </a:graphic>
          </wp:inline>
        </w:drawing>
      </w:r>
    </w:p>
    <w:p w14:paraId="529BFCBD" w14:textId="4FA1DA67" w:rsidR="003625A7" w:rsidRPr="0054367B" w:rsidRDefault="003625A7" w:rsidP="003625A7">
      <w:pPr>
        <w:pStyle w:val="Beschriftung1"/>
        <w:rPr>
          <w:rFonts w:ascii="Times New Roman" w:hAnsi="Times New Roman" w:cs="Times New Roman"/>
          <w:sz w:val="24"/>
          <w:szCs w:val="24"/>
        </w:rPr>
      </w:pPr>
      <w:bookmarkStart w:id="1" w:name="_Toc212714095"/>
      <w:bookmarkStart w:id="2" w:name="_Toc219825873"/>
      <w:r w:rsidRPr="0054367B">
        <w:rPr>
          <w:rFonts w:ascii="Times New Roman" w:hAnsi="Times New Roman" w:cs="Times New Roman"/>
          <w:b/>
          <w:bCs/>
          <w:sz w:val="24"/>
          <w:szCs w:val="24"/>
        </w:rPr>
        <w:t xml:space="preserve">Supplementary figure </w:t>
      </w:r>
      <w:r w:rsidRPr="0054367B">
        <w:rPr>
          <w:rFonts w:ascii="Times New Roman" w:hAnsi="Times New Roman" w:cs="Times New Roman"/>
          <w:b/>
          <w:bCs/>
          <w:sz w:val="24"/>
          <w:szCs w:val="24"/>
        </w:rPr>
        <w:fldChar w:fldCharType="begin"/>
      </w:r>
      <w:r w:rsidRPr="0054367B">
        <w:rPr>
          <w:rFonts w:ascii="Times New Roman" w:hAnsi="Times New Roman" w:cs="Times New Roman"/>
          <w:b/>
          <w:bCs/>
          <w:sz w:val="24"/>
          <w:szCs w:val="24"/>
        </w:rPr>
        <w:instrText xml:space="preserve"> SEQ Supplementary_figure \* ARABIC </w:instrText>
      </w:r>
      <w:r w:rsidRPr="0054367B">
        <w:rPr>
          <w:rFonts w:ascii="Times New Roman" w:hAnsi="Times New Roman" w:cs="Times New Roman"/>
          <w:b/>
          <w:bCs/>
          <w:sz w:val="24"/>
          <w:szCs w:val="24"/>
        </w:rPr>
        <w:fldChar w:fldCharType="separate"/>
      </w:r>
      <w:r w:rsidR="00FE267B">
        <w:rPr>
          <w:rFonts w:ascii="Times New Roman" w:hAnsi="Times New Roman" w:cs="Times New Roman"/>
          <w:b/>
          <w:bCs/>
          <w:noProof/>
          <w:sz w:val="24"/>
          <w:szCs w:val="24"/>
        </w:rPr>
        <w:t>1</w:t>
      </w:r>
      <w:r w:rsidRPr="0054367B">
        <w:rPr>
          <w:rFonts w:ascii="Times New Roman" w:hAnsi="Times New Roman" w:cs="Times New Roman"/>
          <w:b/>
          <w:bCs/>
          <w:sz w:val="24"/>
          <w:szCs w:val="24"/>
        </w:rPr>
        <w:fldChar w:fldCharType="end"/>
      </w:r>
      <w:r w:rsidRPr="0054367B">
        <w:rPr>
          <w:rFonts w:ascii="Times New Roman" w:hAnsi="Times New Roman" w:cs="Times New Roman"/>
          <w:b/>
          <w:bCs/>
          <w:sz w:val="24"/>
          <w:szCs w:val="24"/>
        </w:rPr>
        <w:t>:</w:t>
      </w:r>
      <w:r w:rsidRPr="0054367B">
        <w:rPr>
          <w:rFonts w:ascii="Times New Roman" w:hAnsi="Times New Roman" w:cs="Times New Roman"/>
          <w:sz w:val="24"/>
          <w:szCs w:val="24"/>
        </w:rPr>
        <w:t xml:space="preserve"> Distribution of individual change scores (Δ = FU – BL) across all outcomes in patients with PCS. Each boxplot shows the median (horizontal line), interquartile range (box), and density distribution of Δ values. The dashed line at 0 indicates no change. The figure illustrates the variability and direction of changes rather than statistical significance, which is reported in Table 2.</w:t>
      </w:r>
      <w:bookmarkEnd w:id="1"/>
      <w:bookmarkEnd w:id="2"/>
    </w:p>
    <w:p w14:paraId="453BC17E" w14:textId="77777777" w:rsidR="003625A7" w:rsidRPr="00BB330F" w:rsidRDefault="003625A7" w:rsidP="003625A7">
      <w:r w:rsidRPr="00BB330F">
        <w:t>Changes in HGS parameters and changes in PROMs are shown in Supplementary Table 2. No significant correlations were found for either combination.</w:t>
      </w:r>
    </w:p>
    <w:tbl>
      <w:tblPr>
        <w:tblStyle w:val="Gitternetztabelle1hell"/>
        <w:tblW w:w="5000" w:type="pct"/>
        <w:tblLook w:val="04A0" w:firstRow="1" w:lastRow="0" w:firstColumn="1" w:lastColumn="0" w:noHBand="0" w:noVBand="1"/>
      </w:tblPr>
      <w:tblGrid>
        <w:gridCol w:w="2076"/>
        <w:gridCol w:w="1626"/>
        <w:gridCol w:w="653"/>
        <w:gridCol w:w="2225"/>
        <w:gridCol w:w="1363"/>
        <w:gridCol w:w="1824"/>
      </w:tblGrid>
      <w:tr w:rsidR="003625A7" w:rsidRPr="00BB330F" w14:paraId="53654891" w14:textId="77777777" w:rsidTr="00341A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2" w:type="pct"/>
            <w:hideMark/>
          </w:tcPr>
          <w:p w14:paraId="207AC8A8" w14:textId="77777777" w:rsidR="003625A7" w:rsidRPr="00BB330F" w:rsidRDefault="003625A7" w:rsidP="00341AD1">
            <w:pPr>
              <w:rPr>
                <w:rFonts w:cs="Times New Roman"/>
                <w:color w:val="000000" w:themeColor="text1"/>
                <w:sz w:val="20"/>
                <w:szCs w:val="20"/>
              </w:rPr>
            </w:pPr>
            <w:r w:rsidRPr="00BB330F">
              <w:rPr>
                <w:rFonts w:cs="Times New Roman"/>
                <w:color w:val="000000" w:themeColor="text1"/>
                <w:sz w:val="20"/>
                <w:szCs w:val="20"/>
              </w:rPr>
              <w:t>Δ(Objective)</w:t>
            </w:r>
          </w:p>
        </w:tc>
        <w:tc>
          <w:tcPr>
            <w:tcW w:w="832" w:type="pct"/>
            <w:hideMark/>
          </w:tcPr>
          <w:p w14:paraId="21708C41" w14:textId="77777777" w:rsidR="003625A7" w:rsidRPr="00BB330F" w:rsidRDefault="003625A7" w:rsidP="00341AD1">
            <w:pPr>
              <w:jc w:val="center"/>
              <w:cnfStyle w:val="100000000000" w:firstRow="1"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Δ(PROM)</w:t>
            </w:r>
          </w:p>
        </w:tc>
        <w:tc>
          <w:tcPr>
            <w:tcW w:w="334" w:type="pct"/>
            <w:hideMark/>
          </w:tcPr>
          <w:p w14:paraId="75C16E6E" w14:textId="77777777" w:rsidR="003625A7" w:rsidRPr="00BB330F" w:rsidRDefault="003625A7" w:rsidP="00341AD1">
            <w:pPr>
              <w:jc w:val="center"/>
              <w:cnfStyle w:val="100000000000" w:firstRow="1"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n</w:t>
            </w:r>
          </w:p>
        </w:tc>
        <w:tc>
          <w:tcPr>
            <w:tcW w:w="1139" w:type="pct"/>
            <w:hideMark/>
          </w:tcPr>
          <w:p w14:paraId="18B6637B" w14:textId="77777777" w:rsidR="003625A7" w:rsidRPr="00BB330F" w:rsidRDefault="003625A7" w:rsidP="00341AD1">
            <w:pPr>
              <w:jc w:val="center"/>
              <w:cnfStyle w:val="100000000000" w:firstRow="1"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ρ (Spearman)</w:t>
            </w:r>
          </w:p>
        </w:tc>
        <w:tc>
          <w:tcPr>
            <w:tcW w:w="698" w:type="pct"/>
            <w:hideMark/>
          </w:tcPr>
          <w:p w14:paraId="2813205B" w14:textId="77777777" w:rsidR="003625A7" w:rsidRPr="00BB330F" w:rsidRDefault="003625A7" w:rsidP="00341AD1">
            <w:pPr>
              <w:jc w:val="center"/>
              <w:cnfStyle w:val="100000000000" w:firstRow="1"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p-value</w:t>
            </w:r>
          </w:p>
        </w:tc>
        <w:tc>
          <w:tcPr>
            <w:tcW w:w="934" w:type="pct"/>
            <w:hideMark/>
          </w:tcPr>
          <w:p w14:paraId="00CCFF28" w14:textId="77777777" w:rsidR="003625A7" w:rsidRPr="00BB330F" w:rsidRDefault="003625A7" w:rsidP="00341AD1">
            <w:pPr>
              <w:jc w:val="center"/>
              <w:cnfStyle w:val="100000000000" w:firstRow="1"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p (FDR)</w:t>
            </w:r>
          </w:p>
        </w:tc>
      </w:tr>
      <w:tr w:rsidR="003625A7" w:rsidRPr="00BB330F" w14:paraId="626FA005" w14:textId="77777777" w:rsidTr="00341AD1">
        <w:tc>
          <w:tcPr>
            <w:cnfStyle w:val="001000000000" w:firstRow="0" w:lastRow="0" w:firstColumn="1" w:lastColumn="0" w:oddVBand="0" w:evenVBand="0" w:oddHBand="0" w:evenHBand="0" w:firstRowFirstColumn="0" w:firstRowLastColumn="0" w:lastRowFirstColumn="0" w:lastRowLastColumn="0"/>
            <w:tcW w:w="1062" w:type="pct"/>
            <w:hideMark/>
          </w:tcPr>
          <w:p w14:paraId="6F9DD4DD" w14:textId="77777777" w:rsidR="003625A7" w:rsidRPr="00BB330F" w:rsidRDefault="003625A7" w:rsidP="00341AD1">
            <w:pPr>
              <w:rPr>
                <w:rFonts w:cs="Times New Roman"/>
                <w:b w:val="0"/>
                <w:bCs w:val="0"/>
                <w:color w:val="000000" w:themeColor="text1"/>
                <w:sz w:val="20"/>
                <w:szCs w:val="20"/>
              </w:rPr>
            </w:pPr>
            <w:r w:rsidRPr="00BB330F">
              <w:rPr>
                <w:rFonts w:cs="Times New Roman"/>
                <w:b w:val="0"/>
                <w:bCs w:val="0"/>
                <w:color w:val="000000" w:themeColor="text1"/>
                <w:sz w:val="20"/>
                <w:szCs w:val="20"/>
              </w:rPr>
              <w:t>ΔFatigue Ratio</w:t>
            </w:r>
          </w:p>
        </w:tc>
        <w:tc>
          <w:tcPr>
            <w:tcW w:w="832" w:type="pct"/>
            <w:hideMark/>
          </w:tcPr>
          <w:p w14:paraId="14FC2710"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ΔFSS</w:t>
            </w:r>
          </w:p>
        </w:tc>
        <w:tc>
          <w:tcPr>
            <w:tcW w:w="334" w:type="pct"/>
            <w:hideMark/>
          </w:tcPr>
          <w:p w14:paraId="28733F32"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80</w:t>
            </w:r>
          </w:p>
        </w:tc>
        <w:tc>
          <w:tcPr>
            <w:tcW w:w="1139" w:type="pct"/>
            <w:hideMark/>
          </w:tcPr>
          <w:p w14:paraId="684C2559"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0.12</w:t>
            </w:r>
          </w:p>
        </w:tc>
        <w:tc>
          <w:tcPr>
            <w:tcW w:w="698" w:type="pct"/>
            <w:hideMark/>
          </w:tcPr>
          <w:p w14:paraId="4C41AC69"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0.289</w:t>
            </w:r>
          </w:p>
        </w:tc>
        <w:tc>
          <w:tcPr>
            <w:tcW w:w="934" w:type="pct"/>
            <w:hideMark/>
          </w:tcPr>
          <w:p w14:paraId="0E801343"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0.856</w:t>
            </w:r>
          </w:p>
        </w:tc>
      </w:tr>
      <w:tr w:rsidR="003625A7" w:rsidRPr="00BB330F" w14:paraId="052ACDD8" w14:textId="77777777" w:rsidTr="00341AD1">
        <w:tc>
          <w:tcPr>
            <w:cnfStyle w:val="001000000000" w:firstRow="0" w:lastRow="0" w:firstColumn="1" w:lastColumn="0" w:oddVBand="0" w:evenVBand="0" w:oddHBand="0" w:evenHBand="0" w:firstRowFirstColumn="0" w:firstRowLastColumn="0" w:lastRowFirstColumn="0" w:lastRowLastColumn="0"/>
            <w:tcW w:w="1062" w:type="pct"/>
            <w:hideMark/>
          </w:tcPr>
          <w:p w14:paraId="6F5ABFDF" w14:textId="77777777" w:rsidR="003625A7" w:rsidRPr="00BB330F" w:rsidRDefault="003625A7" w:rsidP="00341AD1">
            <w:pPr>
              <w:rPr>
                <w:rFonts w:cs="Times New Roman"/>
                <w:b w:val="0"/>
                <w:bCs w:val="0"/>
                <w:color w:val="000000" w:themeColor="text1"/>
                <w:sz w:val="20"/>
                <w:szCs w:val="20"/>
              </w:rPr>
            </w:pPr>
            <w:r w:rsidRPr="00BB330F">
              <w:rPr>
                <w:rFonts w:cs="Times New Roman"/>
                <w:b w:val="0"/>
                <w:bCs w:val="0"/>
                <w:color w:val="000000" w:themeColor="text1"/>
                <w:sz w:val="20"/>
                <w:szCs w:val="20"/>
              </w:rPr>
              <w:t>ΔFmean</w:t>
            </w:r>
          </w:p>
        </w:tc>
        <w:tc>
          <w:tcPr>
            <w:tcW w:w="832" w:type="pct"/>
            <w:hideMark/>
          </w:tcPr>
          <w:p w14:paraId="077FC8F9"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ΔFSS</w:t>
            </w:r>
          </w:p>
        </w:tc>
        <w:tc>
          <w:tcPr>
            <w:tcW w:w="334" w:type="pct"/>
            <w:hideMark/>
          </w:tcPr>
          <w:p w14:paraId="4C4DAEC8"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80</w:t>
            </w:r>
          </w:p>
        </w:tc>
        <w:tc>
          <w:tcPr>
            <w:tcW w:w="1139" w:type="pct"/>
            <w:hideMark/>
          </w:tcPr>
          <w:p w14:paraId="5B36FC95"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-0.02</w:t>
            </w:r>
          </w:p>
        </w:tc>
        <w:tc>
          <w:tcPr>
            <w:tcW w:w="698" w:type="pct"/>
            <w:hideMark/>
          </w:tcPr>
          <w:p w14:paraId="6784B65F"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0.861</w:t>
            </w:r>
          </w:p>
        </w:tc>
        <w:tc>
          <w:tcPr>
            <w:tcW w:w="934" w:type="pct"/>
            <w:hideMark/>
          </w:tcPr>
          <w:p w14:paraId="695536F9"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0.940</w:t>
            </w:r>
          </w:p>
        </w:tc>
      </w:tr>
      <w:tr w:rsidR="003625A7" w:rsidRPr="00BB330F" w14:paraId="6D1075D7" w14:textId="77777777" w:rsidTr="00341AD1">
        <w:tc>
          <w:tcPr>
            <w:cnfStyle w:val="001000000000" w:firstRow="0" w:lastRow="0" w:firstColumn="1" w:lastColumn="0" w:oddVBand="0" w:evenVBand="0" w:oddHBand="0" w:evenHBand="0" w:firstRowFirstColumn="0" w:firstRowLastColumn="0" w:lastRowFirstColumn="0" w:lastRowLastColumn="0"/>
            <w:tcW w:w="1062" w:type="pct"/>
            <w:hideMark/>
          </w:tcPr>
          <w:p w14:paraId="562793B6" w14:textId="77777777" w:rsidR="003625A7" w:rsidRPr="00BB330F" w:rsidRDefault="003625A7" w:rsidP="00341AD1">
            <w:pPr>
              <w:rPr>
                <w:rFonts w:cs="Times New Roman"/>
                <w:b w:val="0"/>
                <w:bCs w:val="0"/>
                <w:color w:val="000000" w:themeColor="text1"/>
                <w:sz w:val="20"/>
                <w:szCs w:val="20"/>
              </w:rPr>
            </w:pPr>
            <w:r w:rsidRPr="00BB330F">
              <w:rPr>
                <w:rFonts w:cs="Times New Roman"/>
                <w:b w:val="0"/>
                <w:bCs w:val="0"/>
                <w:color w:val="000000" w:themeColor="text1"/>
                <w:sz w:val="20"/>
                <w:szCs w:val="20"/>
              </w:rPr>
              <w:t>ΔRecovery</w:t>
            </w:r>
          </w:p>
        </w:tc>
        <w:tc>
          <w:tcPr>
            <w:tcW w:w="832" w:type="pct"/>
            <w:hideMark/>
          </w:tcPr>
          <w:p w14:paraId="475A8874"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ΔFSS</w:t>
            </w:r>
          </w:p>
        </w:tc>
        <w:tc>
          <w:tcPr>
            <w:tcW w:w="334" w:type="pct"/>
            <w:hideMark/>
          </w:tcPr>
          <w:p w14:paraId="7731B416"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72</w:t>
            </w:r>
          </w:p>
        </w:tc>
        <w:tc>
          <w:tcPr>
            <w:tcW w:w="1139" w:type="pct"/>
            <w:hideMark/>
          </w:tcPr>
          <w:p w14:paraId="48D6AA0D"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0.20</w:t>
            </w:r>
          </w:p>
        </w:tc>
        <w:tc>
          <w:tcPr>
            <w:tcW w:w="698" w:type="pct"/>
            <w:hideMark/>
          </w:tcPr>
          <w:p w14:paraId="6E468A83"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0.099</w:t>
            </w:r>
          </w:p>
        </w:tc>
        <w:tc>
          <w:tcPr>
            <w:tcW w:w="934" w:type="pct"/>
            <w:hideMark/>
          </w:tcPr>
          <w:p w14:paraId="233CC2F8"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0.777</w:t>
            </w:r>
          </w:p>
        </w:tc>
      </w:tr>
      <w:tr w:rsidR="003625A7" w:rsidRPr="00BB330F" w14:paraId="6550B934" w14:textId="77777777" w:rsidTr="00341AD1">
        <w:tc>
          <w:tcPr>
            <w:cnfStyle w:val="001000000000" w:firstRow="0" w:lastRow="0" w:firstColumn="1" w:lastColumn="0" w:oddVBand="0" w:evenVBand="0" w:oddHBand="0" w:evenHBand="0" w:firstRowFirstColumn="0" w:firstRowLastColumn="0" w:lastRowFirstColumn="0" w:lastRowLastColumn="0"/>
            <w:tcW w:w="1062" w:type="pct"/>
            <w:hideMark/>
          </w:tcPr>
          <w:p w14:paraId="2B859977" w14:textId="77777777" w:rsidR="003625A7" w:rsidRPr="00BB330F" w:rsidRDefault="003625A7" w:rsidP="00341AD1">
            <w:pPr>
              <w:rPr>
                <w:rFonts w:cs="Times New Roman"/>
                <w:b w:val="0"/>
                <w:bCs w:val="0"/>
                <w:color w:val="000000" w:themeColor="text1"/>
                <w:sz w:val="20"/>
                <w:szCs w:val="20"/>
              </w:rPr>
            </w:pPr>
            <w:r w:rsidRPr="00BB330F">
              <w:rPr>
                <w:rFonts w:cs="Times New Roman"/>
                <w:b w:val="0"/>
                <w:bCs w:val="0"/>
                <w:color w:val="000000" w:themeColor="text1"/>
                <w:sz w:val="20"/>
                <w:szCs w:val="20"/>
              </w:rPr>
              <w:t>ΔFatigue Ratio</w:t>
            </w:r>
          </w:p>
        </w:tc>
        <w:tc>
          <w:tcPr>
            <w:tcW w:w="832" w:type="pct"/>
            <w:hideMark/>
          </w:tcPr>
          <w:p w14:paraId="3F5D3456"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ΔGAD7</w:t>
            </w:r>
          </w:p>
        </w:tc>
        <w:tc>
          <w:tcPr>
            <w:tcW w:w="334" w:type="pct"/>
            <w:hideMark/>
          </w:tcPr>
          <w:p w14:paraId="75AD935E"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79</w:t>
            </w:r>
          </w:p>
        </w:tc>
        <w:tc>
          <w:tcPr>
            <w:tcW w:w="1139" w:type="pct"/>
            <w:hideMark/>
          </w:tcPr>
          <w:p w14:paraId="1EFB6BF8"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-0.07</w:t>
            </w:r>
          </w:p>
        </w:tc>
        <w:tc>
          <w:tcPr>
            <w:tcW w:w="698" w:type="pct"/>
            <w:hideMark/>
          </w:tcPr>
          <w:p w14:paraId="2E69D572"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0.550</w:t>
            </w:r>
          </w:p>
        </w:tc>
        <w:tc>
          <w:tcPr>
            <w:tcW w:w="934" w:type="pct"/>
            <w:hideMark/>
          </w:tcPr>
          <w:p w14:paraId="2D2E53C7"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0.856</w:t>
            </w:r>
          </w:p>
        </w:tc>
      </w:tr>
      <w:tr w:rsidR="003625A7" w:rsidRPr="00BB330F" w14:paraId="2A8945CE" w14:textId="77777777" w:rsidTr="00341AD1">
        <w:tc>
          <w:tcPr>
            <w:cnfStyle w:val="001000000000" w:firstRow="0" w:lastRow="0" w:firstColumn="1" w:lastColumn="0" w:oddVBand="0" w:evenVBand="0" w:oddHBand="0" w:evenHBand="0" w:firstRowFirstColumn="0" w:firstRowLastColumn="0" w:lastRowFirstColumn="0" w:lastRowLastColumn="0"/>
            <w:tcW w:w="1062" w:type="pct"/>
            <w:hideMark/>
          </w:tcPr>
          <w:p w14:paraId="64DDFDC5" w14:textId="77777777" w:rsidR="003625A7" w:rsidRPr="00BB330F" w:rsidRDefault="003625A7" w:rsidP="00341AD1">
            <w:pPr>
              <w:rPr>
                <w:rFonts w:cs="Times New Roman"/>
                <w:b w:val="0"/>
                <w:bCs w:val="0"/>
                <w:color w:val="000000" w:themeColor="text1"/>
                <w:sz w:val="20"/>
                <w:szCs w:val="20"/>
              </w:rPr>
            </w:pPr>
            <w:r w:rsidRPr="00BB330F">
              <w:rPr>
                <w:rFonts w:cs="Times New Roman"/>
                <w:b w:val="0"/>
                <w:bCs w:val="0"/>
                <w:color w:val="000000" w:themeColor="text1"/>
                <w:sz w:val="20"/>
                <w:szCs w:val="20"/>
              </w:rPr>
              <w:lastRenderedPageBreak/>
              <w:t>ΔFmean</w:t>
            </w:r>
          </w:p>
        </w:tc>
        <w:tc>
          <w:tcPr>
            <w:tcW w:w="832" w:type="pct"/>
            <w:hideMark/>
          </w:tcPr>
          <w:p w14:paraId="335D4E67"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ΔGAD7</w:t>
            </w:r>
          </w:p>
        </w:tc>
        <w:tc>
          <w:tcPr>
            <w:tcW w:w="334" w:type="pct"/>
            <w:hideMark/>
          </w:tcPr>
          <w:p w14:paraId="1D95851C"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79</w:t>
            </w:r>
          </w:p>
        </w:tc>
        <w:tc>
          <w:tcPr>
            <w:tcW w:w="1139" w:type="pct"/>
            <w:hideMark/>
          </w:tcPr>
          <w:p w14:paraId="0C2045C9"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0.07</w:t>
            </w:r>
          </w:p>
        </w:tc>
        <w:tc>
          <w:tcPr>
            <w:tcW w:w="698" w:type="pct"/>
            <w:hideMark/>
          </w:tcPr>
          <w:p w14:paraId="4D21F5DA"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0.520</w:t>
            </w:r>
          </w:p>
        </w:tc>
        <w:tc>
          <w:tcPr>
            <w:tcW w:w="934" w:type="pct"/>
            <w:hideMark/>
          </w:tcPr>
          <w:p w14:paraId="2AE19120"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0.856</w:t>
            </w:r>
          </w:p>
        </w:tc>
      </w:tr>
      <w:tr w:rsidR="003625A7" w:rsidRPr="00BB330F" w14:paraId="74D06208" w14:textId="77777777" w:rsidTr="00341AD1">
        <w:tc>
          <w:tcPr>
            <w:cnfStyle w:val="001000000000" w:firstRow="0" w:lastRow="0" w:firstColumn="1" w:lastColumn="0" w:oddVBand="0" w:evenVBand="0" w:oddHBand="0" w:evenHBand="0" w:firstRowFirstColumn="0" w:firstRowLastColumn="0" w:lastRowFirstColumn="0" w:lastRowLastColumn="0"/>
            <w:tcW w:w="1062" w:type="pct"/>
            <w:hideMark/>
          </w:tcPr>
          <w:p w14:paraId="6F47A6C1" w14:textId="77777777" w:rsidR="003625A7" w:rsidRPr="00BB330F" w:rsidRDefault="003625A7" w:rsidP="00341AD1">
            <w:pPr>
              <w:rPr>
                <w:rFonts w:cs="Times New Roman"/>
                <w:b w:val="0"/>
                <w:bCs w:val="0"/>
                <w:color w:val="000000" w:themeColor="text1"/>
                <w:sz w:val="20"/>
                <w:szCs w:val="20"/>
              </w:rPr>
            </w:pPr>
            <w:r w:rsidRPr="00BB330F">
              <w:rPr>
                <w:rFonts w:cs="Times New Roman"/>
                <w:b w:val="0"/>
                <w:bCs w:val="0"/>
                <w:color w:val="000000" w:themeColor="text1"/>
                <w:sz w:val="20"/>
                <w:szCs w:val="20"/>
              </w:rPr>
              <w:t>ΔRecovery</w:t>
            </w:r>
          </w:p>
        </w:tc>
        <w:tc>
          <w:tcPr>
            <w:tcW w:w="832" w:type="pct"/>
            <w:hideMark/>
          </w:tcPr>
          <w:p w14:paraId="2AD53FC9"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ΔGAD7</w:t>
            </w:r>
          </w:p>
        </w:tc>
        <w:tc>
          <w:tcPr>
            <w:tcW w:w="334" w:type="pct"/>
            <w:hideMark/>
          </w:tcPr>
          <w:p w14:paraId="51FCDDA8"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71</w:t>
            </w:r>
          </w:p>
        </w:tc>
        <w:tc>
          <w:tcPr>
            <w:tcW w:w="1139" w:type="pct"/>
            <w:hideMark/>
          </w:tcPr>
          <w:p w14:paraId="6CD0557D"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-0.17</w:t>
            </w:r>
          </w:p>
        </w:tc>
        <w:tc>
          <w:tcPr>
            <w:tcW w:w="698" w:type="pct"/>
            <w:hideMark/>
          </w:tcPr>
          <w:p w14:paraId="0F6C85FD"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0.155</w:t>
            </w:r>
          </w:p>
        </w:tc>
        <w:tc>
          <w:tcPr>
            <w:tcW w:w="934" w:type="pct"/>
            <w:hideMark/>
          </w:tcPr>
          <w:p w14:paraId="515CEBD6"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0.777</w:t>
            </w:r>
          </w:p>
        </w:tc>
      </w:tr>
      <w:tr w:rsidR="003625A7" w:rsidRPr="00BB330F" w14:paraId="72BBCDD5" w14:textId="77777777" w:rsidTr="00341AD1">
        <w:tc>
          <w:tcPr>
            <w:cnfStyle w:val="001000000000" w:firstRow="0" w:lastRow="0" w:firstColumn="1" w:lastColumn="0" w:oddVBand="0" w:evenVBand="0" w:oddHBand="0" w:evenHBand="0" w:firstRowFirstColumn="0" w:firstRowLastColumn="0" w:lastRowFirstColumn="0" w:lastRowLastColumn="0"/>
            <w:tcW w:w="1062" w:type="pct"/>
            <w:hideMark/>
          </w:tcPr>
          <w:p w14:paraId="794DBF52" w14:textId="77777777" w:rsidR="003625A7" w:rsidRPr="00BB330F" w:rsidRDefault="003625A7" w:rsidP="00341AD1">
            <w:pPr>
              <w:rPr>
                <w:rFonts w:cs="Times New Roman"/>
                <w:b w:val="0"/>
                <w:bCs w:val="0"/>
                <w:color w:val="000000" w:themeColor="text1"/>
                <w:sz w:val="20"/>
                <w:szCs w:val="20"/>
              </w:rPr>
            </w:pPr>
            <w:r w:rsidRPr="00BB330F">
              <w:rPr>
                <w:rFonts w:cs="Times New Roman"/>
                <w:b w:val="0"/>
                <w:bCs w:val="0"/>
                <w:color w:val="000000" w:themeColor="text1"/>
                <w:sz w:val="20"/>
                <w:szCs w:val="20"/>
              </w:rPr>
              <w:t>ΔFatigue Ratio</w:t>
            </w:r>
          </w:p>
        </w:tc>
        <w:tc>
          <w:tcPr>
            <w:tcW w:w="832" w:type="pct"/>
            <w:hideMark/>
          </w:tcPr>
          <w:p w14:paraId="36B194B7"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ΔPCS</w:t>
            </w:r>
          </w:p>
        </w:tc>
        <w:tc>
          <w:tcPr>
            <w:tcW w:w="334" w:type="pct"/>
            <w:hideMark/>
          </w:tcPr>
          <w:p w14:paraId="55A307EC"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82</w:t>
            </w:r>
          </w:p>
        </w:tc>
        <w:tc>
          <w:tcPr>
            <w:tcW w:w="1139" w:type="pct"/>
            <w:hideMark/>
          </w:tcPr>
          <w:p w14:paraId="6A73C199"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0.05</w:t>
            </w:r>
          </w:p>
        </w:tc>
        <w:tc>
          <w:tcPr>
            <w:tcW w:w="698" w:type="pct"/>
            <w:hideMark/>
          </w:tcPr>
          <w:p w14:paraId="75D6F4C1"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0.625</w:t>
            </w:r>
          </w:p>
        </w:tc>
        <w:tc>
          <w:tcPr>
            <w:tcW w:w="934" w:type="pct"/>
            <w:hideMark/>
          </w:tcPr>
          <w:p w14:paraId="527878B6"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0.856</w:t>
            </w:r>
          </w:p>
        </w:tc>
      </w:tr>
      <w:tr w:rsidR="003625A7" w:rsidRPr="00BB330F" w14:paraId="067C1D0E" w14:textId="77777777" w:rsidTr="00341AD1">
        <w:tc>
          <w:tcPr>
            <w:cnfStyle w:val="001000000000" w:firstRow="0" w:lastRow="0" w:firstColumn="1" w:lastColumn="0" w:oddVBand="0" w:evenVBand="0" w:oddHBand="0" w:evenHBand="0" w:firstRowFirstColumn="0" w:firstRowLastColumn="0" w:lastRowFirstColumn="0" w:lastRowLastColumn="0"/>
            <w:tcW w:w="1062" w:type="pct"/>
            <w:hideMark/>
          </w:tcPr>
          <w:p w14:paraId="29D45DEA" w14:textId="77777777" w:rsidR="003625A7" w:rsidRPr="00BB330F" w:rsidRDefault="003625A7" w:rsidP="00341AD1">
            <w:pPr>
              <w:rPr>
                <w:rFonts w:cs="Times New Roman"/>
                <w:b w:val="0"/>
                <w:bCs w:val="0"/>
                <w:color w:val="000000" w:themeColor="text1"/>
                <w:sz w:val="20"/>
                <w:szCs w:val="20"/>
              </w:rPr>
            </w:pPr>
            <w:r w:rsidRPr="00BB330F">
              <w:rPr>
                <w:rFonts w:cs="Times New Roman"/>
                <w:b w:val="0"/>
                <w:bCs w:val="0"/>
                <w:color w:val="000000" w:themeColor="text1"/>
                <w:sz w:val="20"/>
                <w:szCs w:val="20"/>
              </w:rPr>
              <w:t>ΔFmean</w:t>
            </w:r>
          </w:p>
        </w:tc>
        <w:tc>
          <w:tcPr>
            <w:tcW w:w="832" w:type="pct"/>
            <w:hideMark/>
          </w:tcPr>
          <w:p w14:paraId="5323A54F"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ΔPCS</w:t>
            </w:r>
          </w:p>
        </w:tc>
        <w:tc>
          <w:tcPr>
            <w:tcW w:w="334" w:type="pct"/>
            <w:hideMark/>
          </w:tcPr>
          <w:p w14:paraId="1989B699"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82</w:t>
            </w:r>
          </w:p>
        </w:tc>
        <w:tc>
          <w:tcPr>
            <w:tcW w:w="1139" w:type="pct"/>
            <w:hideMark/>
          </w:tcPr>
          <w:p w14:paraId="532EB877"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-0.05</w:t>
            </w:r>
          </w:p>
        </w:tc>
        <w:tc>
          <w:tcPr>
            <w:tcW w:w="698" w:type="pct"/>
            <w:hideMark/>
          </w:tcPr>
          <w:p w14:paraId="42677F80"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0.673</w:t>
            </w:r>
          </w:p>
        </w:tc>
        <w:tc>
          <w:tcPr>
            <w:tcW w:w="934" w:type="pct"/>
            <w:hideMark/>
          </w:tcPr>
          <w:p w14:paraId="17933C47"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0.856</w:t>
            </w:r>
          </w:p>
        </w:tc>
      </w:tr>
      <w:tr w:rsidR="003625A7" w:rsidRPr="00BB330F" w14:paraId="0DB89CA8" w14:textId="77777777" w:rsidTr="00341AD1">
        <w:tc>
          <w:tcPr>
            <w:cnfStyle w:val="001000000000" w:firstRow="0" w:lastRow="0" w:firstColumn="1" w:lastColumn="0" w:oddVBand="0" w:evenVBand="0" w:oddHBand="0" w:evenHBand="0" w:firstRowFirstColumn="0" w:firstRowLastColumn="0" w:lastRowFirstColumn="0" w:lastRowLastColumn="0"/>
            <w:tcW w:w="1062" w:type="pct"/>
            <w:hideMark/>
          </w:tcPr>
          <w:p w14:paraId="62734A78" w14:textId="77777777" w:rsidR="003625A7" w:rsidRPr="00BB330F" w:rsidRDefault="003625A7" w:rsidP="00341AD1">
            <w:pPr>
              <w:rPr>
                <w:rFonts w:cs="Times New Roman"/>
                <w:b w:val="0"/>
                <w:bCs w:val="0"/>
                <w:color w:val="000000" w:themeColor="text1"/>
                <w:sz w:val="20"/>
                <w:szCs w:val="20"/>
              </w:rPr>
            </w:pPr>
            <w:r w:rsidRPr="00BB330F">
              <w:rPr>
                <w:rFonts w:cs="Times New Roman"/>
                <w:b w:val="0"/>
                <w:bCs w:val="0"/>
                <w:color w:val="000000" w:themeColor="text1"/>
                <w:sz w:val="20"/>
                <w:szCs w:val="20"/>
              </w:rPr>
              <w:t>ΔRecovery</w:t>
            </w:r>
          </w:p>
        </w:tc>
        <w:tc>
          <w:tcPr>
            <w:tcW w:w="832" w:type="pct"/>
            <w:hideMark/>
          </w:tcPr>
          <w:p w14:paraId="7BFCDA1F"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ΔPCS</w:t>
            </w:r>
          </w:p>
        </w:tc>
        <w:tc>
          <w:tcPr>
            <w:tcW w:w="334" w:type="pct"/>
            <w:hideMark/>
          </w:tcPr>
          <w:p w14:paraId="2E48D31F"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74</w:t>
            </w:r>
          </w:p>
        </w:tc>
        <w:tc>
          <w:tcPr>
            <w:tcW w:w="1139" w:type="pct"/>
            <w:hideMark/>
          </w:tcPr>
          <w:p w14:paraId="3AD8097B"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-0.05</w:t>
            </w:r>
          </w:p>
        </w:tc>
        <w:tc>
          <w:tcPr>
            <w:tcW w:w="698" w:type="pct"/>
            <w:hideMark/>
          </w:tcPr>
          <w:p w14:paraId="0CF07686"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0.685</w:t>
            </w:r>
          </w:p>
        </w:tc>
        <w:tc>
          <w:tcPr>
            <w:tcW w:w="934" w:type="pct"/>
            <w:hideMark/>
          </w:tcPr>
          <w:p w14:paraId="7FFFA70D"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0.856</w:t>
            </w:r>
          </w:p>
        </w:tc>
      </w:tr>
      <w:tr w:rsidR="003625A7" w:rsidRPr="00BB330F" w14:paraId="6246C927" w14:textId="77777777" w:rsidTr="00341AD1">
        <w:tc>
          <w:tcPr>
            <w:cnfStyle w:val="001000000000" w:firstRow="0" w:lastRow="0" w:firstColumn="1" w:lastColumn="0" w:oddVBand="0" w:evenVBand="0" w:oddHBand="0" w:evenHBand="0" w:firstRowFirstColumn="0" w:firstRowLastColumn="0" w:lastRowFirstColumn="0" w:lastRowLastColumn="0"/>
            <w:tcW w:w="1062" w:type="pct"/>
            <w:hideMark/>
          </w:tcPr>
          <w:p w14:paraId="7E5E80F7" w14:textId="77777777" w:rsidR="003625A7" w:rsidRPr="00BB330F" w:rsidRDefault="003625A7" w:rsidP="00341AD1">
            <w:pPr>
              <w:rPr>
                <w:rFonts w:cs="Times New Roman"/>
                <w:b w:val="0"/>
                <w:bCs w:val="0"/>
                <w:color w:val="000000" w:themeColor="text1"/>
                <w:sz w:val="20"/>
                <w:szCs w:val="20"/>
              </w:rPr>
            </w:pPr>
            <w:r w:rsidRPr="00BB330F">
              <w:rPr>
                <w:rFonts w:cs="Times New Roman"/>
                <w:b w:val="0"/>
                <w:bCs w:val="0"/>
                <w:color w:val="000000" w:themeColor="text1"/>
                <w:sz w:val="20"/>
                <w:szCs w:val="20"/>
              </w:rPr>
              <w:t>ΔFatigue Ratio</w:t>
            </w:r>
          </w:p>
        </w:tc>
        <w:tc>
          <w:tcPr>
            <w:tcW w:w="832" w:type="pct"/>
            <w:hideMark/>
          </w:tcPr>
          <w:p w14:paraId="0A867CD1"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ΔPHQ9</w:t>
            </w:r>
          </w:p>
        </w:tc>
        <w:tc>
          <w:tcPr>
            <w:tcW w:w="334" w:type="pct"/>
            <w:hideMark/>
          </w:tcPr>
          <w:p w14:paraId="646F25C8"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79</w:t>
            </w:r>
          </w:p>
        </w:tc>
        <w:tc>
          <w:tcPr>
            <w:tcW w:w="1139" w:type="pct"/>
            <w:hideMark/>
          </w:tcPr>
          <w:p w14:paraId="17094AEA"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0.05</w:t>
            </w:r>
          </w:p>
        </w:tc>
        <w:tc>
          <w:tcPr>
            <w:tcW w:w="698" w:type="pct"/>
            <w:hideMark/>
          </w:tcPr>
          <w:p w14:paraId="5A8BC401"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0.678</w:t>
            </w:r>
          </w:p>
        </w:tc>
        <w:tc>
          <w:tcPr>
            <w:tcW w:w="934" w:type="pct"/>
            <w:hideMark/>
          </w:tcPr>
          <w:p w14:paraId="3EEB41C4"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0.856</w:t>
            </w:r>
          </w:p>
        </w:tc>
      </w:tr>
      <w:tr w:rsidR="003625A7" w:rsidRPr="00BB330F" w14:paraId="1FC4F29D" w14:textId="77777777" w:rsidTr="00341AD1">
        <w:tc>
          <w:tcPr>
            <w:cnfStyle w:val="001000000000" w:firstRow="0" w:lastRow="0" w:firstColumn="1" w:lastColumn="0" w:oddVBand="0" w:evenVBand="0" w:oddHBand="0" w:evenHBand="0" w:firstRowFirstColumn="0" w:firstRowLastColumn="0" w:lastRowFirstColumn="0" w:lastRowLastColumn="0"/>
            <w:tcW w:w="1062" w:type="pct"/>
            <w:hideMark/>
          </w:tcPr>
          <w:p w14:paraId="509FCBE9" w14:textId="77777777" w:rsidR="003625A7" w:rsidRPr="00BB330F" w:rsidRDefault="003625A7" w:rsidP="00341AD1">
            <w:pPr>
              <w:rPr>
                <w:rFonts w:cs="Times New Roman"/>
                <w:b w:val="0"/>
                <w:bCs w:val="0"/>
                <w:color w:val="000000" w:themeColor="text1"/>
                <w:sz w:val="20"/>
                <w:szCs w:val="20"/>
              </w:rPr>
            </w:pPr>
            <w:r w:rsidRPr="00BB330F">
              <w:rPr>
                <w:rFonts w:cs="Times New Roman"/>
                <w:b w:val="0"/>
                <w:bCs w:val="0"/>
                <w:color w:val="000000" w:themeColor="text1"/>
                <w:sz w:val="20"/>
                <w:szCs w:val="20"/>
              </w:rPr>
              <w:t>ΔFmean</w:t>
            </w:r>
          </w:p>
        </w:tc>
        <w:tc>
          <w:tcPr>
            <w:tcW w:w="832" w:type="pct"/>
            <w:hideMark/>
          </w:tcPr>
          <w:p w14:paraId="1D5E9552"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ΔPHQ9</w:t>
            </w:r>
          </w:p>
        </w:tc>
        <w:tc>
          <w:tcPr>
            <w:tcW w:w="334" w:type="pct"/>
            <w:hideMark/>
          </w:tcPr>
          <w:p w14:paraId="50931EF0"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79</w:t>
            </w:r>
          </w:p>
        </w:tc>
        <w:tc>
          <w:tcPr>
            <w:tcW w:w="1139" w:type="pct"/>
            <w:hideMark/>
          </w:tcPr>
          <w:p w14:paraId="3716C736"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0.06</w:t>
            </w:r>
          </w:p>
        </w:tc>
        <w:tc>
          <w:tcPr>
            <w:tcW w:w="698" w:type="pct"/>
            <w:hideMark/>
          </w:tcPr>
          <w:p w14:paraId="7FE53D47"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0.602</w:t>
            </w:r>
          </w:p>
        </w:tc>
        <w:tc>
          <w:tcPr>
            <w:tcW w:w="934" w:type="pct"/>
            <w:hideMark/>
          </w:tcPr>
          <w:p w14:paraId="186CC4C2"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0.856</w:t>
            </w:r>
          </w:p>
        </w:tc>
      </w:tr>
      <w:tr w:rsidR="003625A7" w:rsidRPr="00BB330F" w14:paraId="103AC7F6" w14:textId="77777777" w:rsidTr="00341AD1">
        <w:tc>
          <w:tcPr>
            <w:cnfStyle w:val="001000000000" w:firstRow="0" w:lastRow="0" w:firstColumn="1" w:lastColumn="0" w:oddVBand="0" w:evenVBand="0" w:oddHBand="0" w:evenHBand="0" w:firstRowFirstColumn="0" w:firstRowLastColumn="0" w:lastRowFirstColumn="0" w:lastRowLastColumn="0"/>
            <w:tcW w:w="1062" w:type="pct"/>
            <w:hideMark/>
          </w:tcPr>
          <w:p w14:paraId="619C23FC" w14:textId="77777777" w:rsidR="003625A7" w:rsidRPr="00BB330F" w:rsidRDefault="003625A7" w:rsidP="00341AD1">
            <w:pPr>
              <w:rPr>
                <w:rFonts w:cs="Times New Roman"/>
                <w:b w:val="0"/>
                <w:bCs w:val="0"/>
                <w:color w:val="000000" w:themeColor="text1"/>
                <w:sz w:val="20"/>
                <w:szCs w:val="20"/>
              </w:rPr>
            </w:pPr>
            <w:r w:rsidRPr="00BB330F">
              <w:rPr>
                <w:rFonts w:cs="Times New Roman"/>
                <w:b w:val="0"/>
                <w:bCs w:val="0"/>
                <w:color w:val="000000" w:themeColor="text1"/>
                <w:sz w:val="20"/>
                <w:szCs w:val="20"/>
              </w:rPr>
              <w:t>ΔRecovery</w:t>
            </w:r>
          </w:p>
        </w:tc>
        <w:tc>
          <w:tcPr>
            <w:tcW w:w="832" w:type="pct"/>
            <w:hideMark/>
          </w:tcPr>
          <w:p w14:paraId="3E1D682B"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ΔPHQ9</w:t>
            </w:r>
          </w:p>
        </w:tc>
        <w:tc>
          <w:tcPr>
            <w:tcW w:w="334" w:type="pct"/>
            <w:hideMark/>
          </w:tcPr>
          <w:p w14:paraId="09320980"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71</w:t>
            </w:r>
          </w:p>
        </w:tc>
        <w:tc>
          <w:tcPr>
            <w:tcW w:w="1139" w:type="pct"/>
            <w:hideMark/>
          </w:tcPr>
          <w:p w14:paraId="5FA318BD"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-0.02</w:t>
            </w:r>
          </w:p>
        </w:tc>
        <w:tc>
          <w:tcPr>
            <w:tcW w:w="698" w:type="pct"/>
            <w:hideMark/>
          </w:tcPr>
          <w:p w14:paraId="0EF8EF11"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0.877</w:t>
            </w:r>
          </w:p>
        </w:tc>
        <w:tc>
          <w:tcPr>
            <w:tcW w:w="934" w:type="pct"/>
            <w:hideMark/>
          </w:tcPr>
          <w:p w14:paraId="7EF821EF"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0.940</w:t>
            </w:r>
          </w:p>
        </w:tc>
      </w:tr>
      <w:tr w:rsidR="003625A7" w:rsidRPr="00BB330F" w14:paraId="3A2DD67D" w14:textId="77777777" w:rsidTr="00341AD1">
        <w:tc>
          <w:tcPr>
            <w:cnfStyle w:val="001000000000" w:firstRow="0" w:lastRow="0" w:firstColumn="1" w:lastColumn="0" w:oddVBand="0" w:evenVBand="0" w:oddHBand="0" w:evenHBand="0" w:firstRowFirstColumn="0" w:firstRowLastColumn="0" w:lastRowFirstColumn="0" w:lastRowLastColumn="0"/>
            <w:tcW w:w="1062" w:type="pct"/>
            <w:hideMark/>
          </w:tcPr>
          <w:p w14:paraId="3A15DEB1" w14:textId="77777777" w:rsidR="003625A7" w:rsidRPr="00BB330F" w:rsidRDefault="003625A7" w:rsidP="00341AD1">
            <w:pPr>
              <w:rPr>
                <w:rFonts w:cs="Times New Roman"/>
                <w:b w:val="0"/>
                <w:bCs w:val="0"/>
                <w:color w:val="000000" w:themeColor="text1"/>
                <w:sz w:val="20"/>
                <w:szCs w:val="20"/>
              </w:rPr>
            </w:pPr>
            <w:r w:rsidRPr="00BB330F">
              <w:rPr>
                <w:rFonts w:cs="Times New Roman"/>
                <w:b w:val="0"/>
                <w:bCs w:val="0"/>
                <w:color w:val="000000" w:themeColor="text1"/>
                <w:sz w:val="20"/>
                <w:szCs w:val="20"/>
              </w:rPr>
              <w:t>ΔFatigue Ratio</w:t>
            </w:r>
          </w:p>
        </w:tc>
        <w:tc>
          <w:tcPr>
            <w:tcW w:w="832" w:type="pct"/>
            <w:hideMark/>
          </w:tcPr>
          <w:p w14:paraId="740CFA39"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ΔYRS</w:t>
            </w:r>
          </w:p>
        </w:tc>
        <w:tc>
          <w:tcPr>
            <w:tcW w:w="334" w:type="pct"/>
            <w:hideMark/>
          </w:tcPr>
          <w:p w14:paraId="30E85950"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58</w:t>
            </w:r>
          </w:p>
        </w:tc>
        <w:tc>
          <w:tcPr>
            <w:tcW w:w="1139" w:type="pct"/>
            <w:hideMark/>
          </w:tcPr>
          <w:p w14:paraId="5CB72E99"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-0.09</w:t>
            </w:r>
          </w:p>
        </w:tc>
        <w:tc>
          <w:tcPr>
            <w:tcW w:w="698" w:type="pct"/>
            <w:hideMark/>
          </w:tcPr>
          <w:p w14:paraId="7A8389EE"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0.482</w:t>
            </w:r>
          </w:p>
        </w:tc>
        <w:tc>
          <w:tcPr>
            <w:tcW w:w="934" w:type="pct"/>
            <w:hideMark/>
          </w:tcPr>
          <w:p w14:paraId="234F7450"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0.856</w:t>
            </w:r>
          </w:p>
        </w:tc>
      </w:tr>
      <w:tr w:rsidR="003625A7" w:rsidRPr="00BB330F" w14:paraId="42E0D9BB" w14:textId="77777777" w:rsidTr="00341AD1">
        <w:tc>
          <w:tcPr>
            <w:cnfStyle w:val="001000000000" w:firstRow="0" w:lastRow="0" w:firstColumn="1" w:lastColumn="0" w:oddVBand="0" w:evenVBand="0" w:oddHBand="0" w:evenHBand="0" w:firstRowFirstColumn="0" w:firstRowLastColumn="0" w:lastRowFirstColumn="0" w:lastRowLastColumn="0"/>
            <w:tcW w:w="1062" w:type="pct"/>
            <w:hideMark/>
          </w:tcPr>
          <w:p w14:paraId="0B8A4072" w14:textId="77777777" w:rsidR="003625A7" w:rsidRPr="00BB330F" w:rsidRDefault="003625A7" w:rsidP="00341AD1">
            <w:pPr>
              <w:rPr>
                <w:rFonts w:cs="Times New Roman"/>
                <w:b w:val="0"/>
                <w:bCs w:val="0"/>
                <w:color w:val="000000" w:themeColor="text1"/>
                <w:sz w:val="20"/>
                <w:szCs w:val="20"/>
              </w:rPr>
            </w:pPr>
            <w:r w:rsidRPr="00BB330F">
              <w:rPr>
                <w:rFonts w:cs="Times New Roman"/>
                <w:b w:val="0"/>
                <w:bCs w:val="0"/>
                <w:color w:val="000000" w:themeColor="text1"/>
                <w:sz w:val="20"/>
                <w:szCs w:val="20"/>
              </w:rPr>
              <w:t>ΔFmean</w:t>
            </w:r>
          </w:p>
        </w:tc>
        <w:tc>
          <w:tcPr>
            <w:tcW w:w="832" w:type="pct"/>
            <w:hideMark/>
          </w:tcPr>
          <w:p w14:paraId="51D71062"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ΔYRS</w:t>
            </w:r>
          </w:p>
        </w:tc>
        <w:tc>
          <w:tcPr>
            <w:tcW w:w="334" w:type="pct"/>
            <w:hideMark/>
          </w:tcPr>
          <w:p w14:paraId="429C5791"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58</w:t>
            </w:r>
          </w:p>
        </w:tc>
        <w:tc>
          <w:tcPr>
            <w:tcW w:w="1139" w:type="pct"/>
            <w:hideMark/>
          </w:tcPr>
          <w:p w14:paraId="02D838F6"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0.00</w:t>
            </w:r>
          </w:p>
        </w:tc>
        <w:tc>
          <w:tcPr>
            <w:tcW w:w="698" w:type="pct"/>
            <w:hideMark/>
          </w:tcPr>
          <w:p w14:paraId="3C0DDC55"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0.995</w:t>
            </w:r>
          </w:p>
        </w:tc>
        <w:tc>
          <w:tcPr>
            <w:tcW w:w="934" w:type="pct"/>
            <w:hideMark/>
          </w:tcPr>
          <w:p w14:paraId="7ACA6DBD"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0.995</w:t>
            </w:r>
          </w:p>
        </w:tc>
      </w:tr>
      <w:tr w:rsidR="003625A7" w:rsidRPr="00BB330F" w14:paraId="0A82BC65" w14:textId="77777777" w:rsidTr="00341AD1">
        <w:tc>
          <w:tcPr>
            <w:cnfStyle w:val="001000000000" w:firstRow="0" w:lastRow="0" w:firstColumn="1" w:lastColumn="0" w:oddVBand="0" w:evenVBand="0" w:oddHBand="0" w:evenHBand="0" w:firstRowFirstColumn="0" w:firstRowLastColumn="0" w:lastRowFirstColumn="0" w:lastRowLastColumn="0"/>
            <w:tcW w:w="1062" w:type="pct"/>
            <w:hideMark/>
          </w:tcPr>
          <w:p w14:paraId="470DAE54" w14:textId="77777777" w:rsidR="003625A7" w:rsidRPr="00BB330F" w:rsidRDefault="003625A7" w:rsidP="00341AD1">
            <w:pPr>
              <w:rPr>
                <w:rFonts w:cs="Times New Roman"/>
                <w:b w:val="0"/>
                <w:bCs w:val="0"/>
                <w:color w:val="000000" w:themeColor="text1"/>
                <w:sz w:val="20"/>
                <w:szCs w:val="20"/>
              </w:rPr>
            </w:pPr>
            <w:r w:rsidRPr="00BB330F">
              <w:rPr>
                <w:rFonts w:cs="Times New Roman"/>
                <w:b w:val="0"/>
                <w:bCs w:val="0"/>
                <w:color w:val="000000" w:themeColor="text1"/>
                <w:sz w:val="20"/>
                <w:szCs w:val="20"/>
              </w:rPr>
              <w:t>ΔRecovery</w:t>
            </w:r>
          </w:p>
        </w:tc>
        <w:tc>
          <w:tcPr>
            <w:tcW w:w="832" w:type="pct"/>
            <w:hideMark/>
          </w:tcPr>
          <w:p w14:paraId="72E5ACB9"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ΔYRS</w:t>
            </w:r>
          </w:p>
        </w:tc>
        <w:tc>
          <w:tcPr>
            <w:tcW w:w="334" w:type="pct"/>
            <w:hideMark/>
          </w:tcPr>
          <w:p w14:paraId="702017BC"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55</w:t>
            </w:r>
          </w:p>
        </w:tc>
        <w:tc>
          <w:tcPr>
            <w:tcW w:w="1139" w:type="pct"/>
            <w:hideMark/>
          </w:tcPr>
          <w:p w14:paraId="1A3B821B"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-0.21</w:t>
            </w:r>
          </w:p>
        </w:tc>
        <w:tc>
          <w:tcPr>
            <w:tcW w:w="698" w:type="pct"/>
            <w:hideMark/>
          </w:tcPr>
          <w:p w14:paraId="77FB148E"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0.132</w:t>
            </w:r>
          </w:p>
        </w:tc>
        <w:tc>
          <w:tcPr>
            <w:tcW w:w="934" w:type="pct"/>
            <w:hideMark/>
          </w:tcPr>
          <w:p w14:paraId="7650881D" w14:textId="77777777" w:rsidR="003625A7" w:rsidRPr="00BB330F" w:rsidRDefault="003625A7" w:rsidP="00341AD1">
            <w:pPr>
              <w:keepNext/>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0.777</w:t>
            </w:r>
          </w:p>
        </w:tc>
      </w:tr>
    </w:tbl>
    <w:p w14:paraId="54822BE8" w14:textId="2020441C" w:rsidR="003625A7" w:rsidRPr="0054367B" w:rsidRDefault="003625A7" w:rsidP="003625A7">
      <w:pPr>
        <w:pStyle w:val="Beschriftung1"/>
        <w:rPr>
          <w:rFonts w:ascii="Times New Roman" w:hAnsi="Times New Roman" w:cs="Times New Roman"/>
          <w:sz w:val="24"/>
          <w:szCs w:val="24"/>
        </w:rPr>
      </w:pPr>
      <w:bookmarkStart w:id="3" w:name="_Toc212714084"/>
      <w:r w:rsidRPr="0054367B">
        <w:rPr>
          <w:rFonts w:ascii="Times New Roman" w:hAnsi="Times New Roman" w:cs="Times New Roman"/>
          <w:b/>
          <w:bCs/>
          <w:sz w:val="24"/>
          <w:szCs w:val="24"/>
        </w:rPr>
        <w:t xml:space="preserve">Supplementary Table </w:t>
      </w:r>
      <w:r w:rsidRPr="0054367B">
        <w:rPr>
          <w:rFonts w:ascii="Times New Roman" w:hAnsi="Times New Roman" w:cs="Times New Roman"/>
          <w:b/>
          <w:bCs/>
          <w:sz w:val="24"/>
          <w:szCs w:val="24"/>
        </w:rPr>
        <w:fldChar w:fldCharType="begin"/>
      </w:r>
      <w:r w:rsidRPr="0054367B">
        <w:rPr>
          <w:rFonts w:ascii="Times New Roman" w:hAnsi="Times New Roman" w:cs="Times New Roman"/>
          <w:b/>
          <w:bCs/>
          <w:sz w:val="24"/>
          <w:szCs w:val="24"/>
        </w:rPr>
        <w:instrText xml:space="preserve"> SEQ Supplementary_Table \* ARABIC </w:instrText>
      </w:r>
      <w:r w:rsidRPr="0054367B">
        <w:rPr>
          <w:rFonts w:ascii="Times New Roman" w:hAnsi="Times New Roman" w:cs="Times New Roman"/>
          <w:b/>
          <w:bCs/>
          <w:sz w:val="24"/>
          <w:szCs w:val="24"/>
        </w:rPr>
        <w:fldChar w:fldCharType="separate"/>
      </w:r>
      <w:r w:rsidR="00FE267B">
        <w:rPr>
          <w:rFonts w:ascii="Times New Roman" w:hAnsi="Times New Roman" w:cs="Times New Roman"/>
          <w:b/>
          <w:bCs/>
          <w:noProof/>
          <w:sz w:val="24"/>
          <w:szCs w:val="24"/>
        </w:rPr>
        <w:t>2</w:t>
      </w:r>
      <w:r w:rsidRPr="0054367B">
        <w:rPr>
          <w:rFonts w:ascii="Times New Roman" w:hAnsi="Times New Roman" w:cs="Times New Roman"/>
          <w:b/>
          <w:bCs/>
          <w:sz w:val="24"/>
          <w:szCs w:val="24"/>
        </w:rPr>
        <w:fldChar w:fldCharType="end"/>
      </w:r>
      <w:r w:rsidRPr="0054367B">
        <w:rPr>
          <w:rFonts w:ascii="Times New Roman" w:hAnsi="Times New Roman" w:cs="Times New Roman"/>
          <w:b/>
          <w:bCs/>
          <w:sz w:val="24"/>
          <w:szCs w:val="24"/>
        </w:rPr>
        <w:t>:</w:t>
      </w:r>
      <w:r w:rsidRPr="0054367B">
        <w:rPr>
          <w:rFonts w:ascii="Times New Roman" w:hAnsi="Times New Roman" w:cs="Times New Roman"/>
          <w:sz w:val="24"/>
          <w:szCs w:val="24"/>
        </w:rPr>
        <w:t xml:space="preserve"> Pairwise Spearman correlations between changes (Δ = FU – BL) in HGS measures and changes in PROMs. Correlations were computed with pairwise complete observations;</w:t>
      </w:r>
      <w:r w:rsidRPr="0054367B">
        <w:rPr>
          <w:rStyle w:val="apple-converted-space"/>
          <w:rFonts w:ascii="Times New Roman" w:hAnsi="Times New Roman" w:cs="Times New Roman"/>
          <w:sz w:val="24"/>
          <w:szCs w:val="24"/>
        </w:rPr>
        <w:t xml:space="preserve"> </w:t>
      </w:r>
      <w:r w:rsidRPr="0054367B">
        <w:rPr>
          <w:rStyle w:val="Hervorhebung"/>
          <w:rFonts w:cs="Times New Roman"/>
          <w:i w:val="0"/>
          <w:iCs/>
          <w:sz w:val="24"/>
          <w:szCs w:val="24"/>
        </w:rPr>
        <w:t>p</w:t>
      </w:r>
      <w:r w:rsidRPr="0054367B">
        <w:rPr>
          <w:rFonts w:ascii="Times New Roman" w:hAnsi="Times New Roman" w:cs="Times New Roman"/>
          <w:sz w:val="24"/>
          <w:szCs w:val="24"/>
        </w:rPr>
        <w:t>-values adjusted using the Benjamini-Hochberg procedure.</w:t>
      </w:r>
      <w:bookmarkEnd w:id="3"/>
    </w:p>
    <w:p w14:paraId="20DB4C7C" w14:textId="77777777" w:rsidR="003625A7" w:rsidRPr="00BB330F" w:rsidRDefault="003625A7" w:rsidP="003625A7">
      <w:r w:rsidRPr="00BB330F">
        <w:t>Univariate linear regression models (Supplementary Table 3) were fitted to examine whether BL muscle function predicted corresponding FU parameters. Fmean at BL strongly predicted FU handgrip strength (β = 0.55,</w:t>
      </w:r>
      <w:r w:rsidRPr="00BB330F">
        <w:rPr>
          <w:rStyle w:val="apple-converted-space"/>
          <w:rFonts w:cs="Times New Roman"/>
          <w:color w:val="000000" w:themeColor="text1"/>
        </w:rPr>
        <w:t xml:space="preserve"> </w:t>
      </w:r>
      <w:r w:rsidRPr="00BB330F">
        <w:rPr>
          <w:rStyle w:val="Hervorhebung"/>
          <w:rFonts w:cs="Times New Roman"/>
          <w:i w:val="0"/>
          <w:iCs w:val="0"/>
          <w:color w:val="000000" w:themeColor="text1"/>
        </w:rPr>
        <w:t>p</w:t>
      </w:r>
      <w:r w:rsidRPr="00BB330F">
        <w:rPr>
          <w:rStyle w:val="apple-converted-space"/>
          <w:rFonts w:cs="Times New Roman"/>
          <w:color w:val="000000" w:themeColor="text1"/>
        </w:rPr>
        <w:t xml:space="preserve"> </w:t>
      </w:r>
      <w:r w:rsidRPr="00BB330F">
        <w:t>&lt; 0.001), while higher BL recovery also predicted higher FU Fmean (β = 26.9,</w:t>
      </w:r>
      <w:r w:rsidRPr="00BB330F">
        <w:rPr>
          <w:rStyle w:val="apple-converted-space"/>
          <w:rFonts w:cs="Times New Roman"/>
          <w:color w:val="000000" w:themeColor="text1"/>
        </w:rPr>
        <w:t xml:space="preserve"> </w:t>
      </w:r>
      <w:r w:rsidRPr="00BB330F">
        <w:rPr>
          <w:rStyle w:val="Hervorhebung"/>
          <w:rFonts w:cs="Times New Roman"/>
          <w:i w:val="0"/>
          <w:iCs w:val="0"/>
          <w:color w:val="000000" w:themeColor="text1"/>
        </w:rPr>
        <w:t>p</w:t>
      </w:r>
      <w:r w:rsidRPr="00BB330F">
        <w:rPr>
          <w:rStyle w:val="apple-converted-space"/>
          <w:rFonts w:cs="Times New Roman"/>
          <w:color w:val="000000" w:themeColor="text1"/>
        </w:rPr>
        <w:t xml:space="preserve"> </w:t>
      </w:r>
      <w:r w:rsidRPr="00BB330F">
        <w:t>&lt; 0.001). BL fatigue ratio was inversely associated with FU Fmean (β = –11.3,</w:t>
      </w:r>
      <w:r w:rsidRPr="00BB330F">
        <w:rPr>
          <w:rStyle w:val="apple-converted-space"/>
          <w:rFonts w:cs="Times New Roman"/>
          <w:color w:val="000000" w:themeColor="text1"/>
        </w:rPr>
        <w:t xml:space="preserve"> </w:t>
      </w:r>
      <w:r w:rsidRPr="00BB330F">
        <w:rPr>
          <w:rStyle w:val="Hervorhebung"/>
          <w:rFonts w:cs="Times New Roman"/>
          <w:i w:val="0"/>
          <w:iCs w:val="0"/>
          <w:color w:val="000000" w:themeColor="text1"/>
        </w:rPr>
        <w:t>p</w:t>
      </w:r>
      <w:r w:rsidRPr="00BB330F">
        <w:rPr>
          <w:rStyle w:val="apple-converted-space"/>
          <w:rFonts w:cs="Times New Roman"/>
          <w:color w:val="000000" w:themeColor="text1"/>
        </w:rPr>
        <w:t xml:space="preserve"> </w:t>
      </w:r>
      <w:r w:rsidRPr="00BB330F">
        <w:t>= 0.042) and FU fatigue ratio (β = 0.28,</w:t>
      </w:r>
      <w:r w:rsidRPr="00BB330F">
        <w:rPr>
          <w:rStyle w:val="apple-converted-space"/>
          <w:rFonts w:cs="Times New Roman"/>
          <w:color w:val="000000" w:themeColor="text1"/>
        </w:rPr>
        <w:t xml:space="preserve"> </w:t>
      </w:r>
      <w:r w:rsidRPr="00BB330F">
        <w:rPr>
          <w:rStyle w:val="Hervorhebung"/>
          <w:rFonts w:cs="Times New Roman"/>
          <w:i w:val="0"/>
          <w:iCs w:val="0"/>
          <w:color w:val="000000" w:themeColor="text1"/>
        </w:rPr>
        <w:t>p</w:t>
      </w:r>
      <w:r w:rsidRPr="00BB330F">
        <w:rPr>
          <w:rStyle w:val="apple-converted-space"/>
          <w:rFonts w:cs="Times New Roman"/>
          <w:color w:val="000000" w:themeColor="text1"/>
        </w:rPr>
        <w:t xml:space="preserve"> </w:t>
      </w:r>
      <w:r w:rsidRPr="00BB330F">
        <w:t>= 0.001). Similarly, BL recovery predicted FU fatigue ratio (β = –0.41,</w:t>
      </w:r>
      <w:r w:rsidRPr="00BB330F">
        <w:rPr>
          <w:rStyle w:val="apple-converted-space"/>
          <w:rFonts w:cs="Times New Roman"/>
          <w:color w:val="000000" w:themeColor="text1"/>
        </w:rPr>
        <w:t xml:space="preserve"> </w:t>
      </w:r>
      <w:r w:rsidRPr="00BB330F">
        <w:rPr>
          <w:rStyle w:val="Hervorhebung"/>
          <w:rFonts w:cs="Times New Roman"/>
          <w:i w:val="0"/>
          <w:iCs w:val="0"/>
          <w:color w:val="000000" w:themeColor="text1"/>
        </w:rPr>
        <w:t>p</w:t>
      </w:r>
      <w:r w:rsidRPr="00BB330F">
        <w:rPr>
          <w:rStyle w:val="apple-converted-space"/>
          <w:rFonts w:cs="Times New Roman"/>
          <w:color w:val="000000" w:themeColor="text1"/>
        </w:rPr>
        <w:t xml:space="preserve"> </w:t>
      </w:r>
      <w:r w:rsidRPr="00BB330F">
        <w:t>= 0.001).</w:t>
      </w:r>
    </w:p>
    <w:tbl>
      <w:tblPr>
        <w:tblStyle w:val="Gitternetztabelle1hell"/>
        <w:tblW w:w="5000" w:type="pct"/>
        <w:tblLook w:val="04A0" w:firstRow="1" w:lastRow="0" w:firstColumn="1" w:lastColumn="0" w:noHBand="0" w:noVBand="1"/>
      </w:tblPr>
      <w:tblGrid>
        <w:gridCol w:w="2592"/>
        <w:gridCol w:w="2481"/>
        <w:gridCol w:w="1721"/>
        <w:gridCol w:w="1047"/>
        <w:gridCol w:w="1160"/>
        <w:gridCol w:w="766"/>
      </w:tblGrid>
      <w:tr w:rsidR="003625A7" w:rsidRPr="00BB330F" w14:paraId="3DEB8475" w14:textId="77777777" w:rsidTr="00341A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7" w:type="pct"/>
            <w:hideMark/>
          </w:tcPr>
          <w:p w14:paraId="1811E56D" w14:textId="77777777" w:rsidR="003625A7" w:rsidRPr="00BB330F" w:rsidRDefault="003625A7" w:rsidP="00341AD1">
            <w:pPr>
              <w:jc w:val="center"/>
              <w:rPr>
                <w:rFonts w:cs="Times New Roman"/>
                <w:color w:val="000000" w:themeColor="text1"/>
                <w:sz w:val="20"/>
                <w:szCs w:val="20"/>
              </w:rPr>
            </w:pPr>
            <w:r w:rsidRPr="00BB330F">
              <w:rPr>
                <w:rFonts w:cs="Times New Roman"/>
                <w:color w:val="000000" w:themeColor="text1"/>
                <w:sz w:val="20"/>
                <w:szCs w:val="20"/>
              </w:rPr>
              <w:t>FU outcome</w:t>
            </w:r>
          </w:p>
        </w:tc>
        <w:tc>
          <w:tcPr>
            <w:tcW w:w="1270" w:type="pct"/>
            <w:hideMark/>
          </w:tcPr>
          <w:p w14:paraId="019B38CE" w14:textId="77777777" w:rsidR="003625A7" w:rsidRPr="00BB330F" w:rsidRDefault="003625A7" w:rsidP="00341AD1">
            <w:pPr>
              <w:jc w:val="center"/>
              <w:cnfStyle w:val="100000000000" w:firstRow="1"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BL predictor</w:t>
            </w:r>
          </w:p>
        </w:tc>
        <w:tc>
          <w:tcPr>
            <w:tcW w:w="881" w:type="pct"/>
            <w:hideMark/>
          </w:tcPr>
          <w:p w14:paraId="3ADEDEC6" w14:textId="77777777" w:rsidR="003625A7" w:rsidRPr="00BB330F" w:rsidRDefault="003625A7" w:rsidP="00341AD1">
            <w:pPr>
              <w:jc w:val="right"/>
              <w:cnfStyle w:val="100000000000" w:firstRow="1"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β (Estimate)</w:t>
            </w:r>
          </w:p>
        </w:tc>
        <w:tc>
          <w:tcPr>
            <w:tcW w:w="536" w:type="pct"/>
            <w:hideMark/>
          </w:tcPr>
          <w:p w14:paraId="131524A8" w14:textId="77777777" w:rsidR="003625A7" w:rsidRPr="00BB330F" w:rsidRDefault="003625A7" w:rsidP="00341AD1">
            <w:pPr>
              <w:jc w:val="right"/>
              <w:cnfStyle w:val="100000000000" w:firstRow="1"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SE</w:t>
            </w:r>
          </w:p>
        </w:tc>
        <w:tc>
          <w:tcPr>
            <w:tcW w:w="594" w:type="pct"/>
            <w:hideMark/>
          </w:tcPr>
          <w:p w14:paraId="2D2BEDFD" w14:textId="77777777" w:rsidR="003625A7" w:rsidRPr="00BB330F" w:rsidRDefault="003625A7" w:rsidP="00341AD1">
            <w:pPr>
              <w:jc w:val="right"/>
              <w:cnfStyle w:val="100000000000" w:firstRow="1"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Style w:val="Hervorhebung"/>
                <w:rFonts w:cs="Times New Roman"/>
                <w:i w:val="0"/>
                <w:iCs w:val="0"/>
                <w:color w:val="000000" w:themeColor="text1"/>
                <w:sz w:val="20"/>
                <w:szCs w:val="20"/>
              </w:rPr>
              <w:t>p</w:t>
            </w:r>
            <w:r w:rsidRPr="00BB330F">
              <w:rPr>
                <w:rFonts w:cs="Times New Roman"/>
                <w:i/>
                <w:iCs/>
                <w:color w:val="000000" w:themeColor="text1"/>
                <w:sz w:val="20"/>
                <w:szCs w:val="20"/>
              </w:rPr>
              <w:t>-</w:t>
            </w:r>
            <w:r w:rsidRPr="00BB330F">
              <w:rPr>
                <w:rFonts w:cs="Times New Roman"/>
                <w:color w:val="000000" w:themeColor="text1"/>
                <w:sz w:val="20"/>
                <w:szCs w:val="20"/>
              </w:rPr>
              <w:t>value</w:t>
            </w:r>
          </w:p>
        </w:tc>
        <w:tc>
          <w:tcPr>
            <w:tcW w:w="392" w:type="pct"/>
            <w:hideMark/>
          </w:tcPr>
          <w:p w14:paraId="0955DC27" w14:textId="77777777" w:rsidR="003625A7" w:rsidRPr="00BB330F" w:rsidRDefault="003625A7" w:rsidP="00341AD1">
            <w:pPr>
              <w:jc w:val="right"/>
              <w:cnfStyle w:val="100000000000" w:firstRow="1"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R²</w:t>
            </w:r>
          </w:p>
        </w:tc>
      </w:tr>
      <w:tr w:rsidR="003625A7" w:rsidRPr="00BB330F" w14:paraId="7E71BAFE" w14:textId="77777777" w:rsidTr="00341AD1">
        <w:tc>
          <w:tcPr>
            <w:cnfStyle w:val="001000000000" w:firstRow="0" w:lastRow="0" w:firstColumn="1" w:lastColumn="0" w:oddVBand="0" w:evenVBand="0" w:oddHBand="0" w:evenHBand="0" w:firstRowFirstColumn="0" w:firstRowLastColumn="0" w:lastRowFirstColumn="0" w:lastRowLastColumn="0"/>
            <w:tcW w:w="1327" w:type="pct"/>
            <w:hideMark/>
          </w:tcPr>
          <w:p w14:paraId="0F455080" w14:textId="77777777" w:rsidR="003625A7" w:rsidRPr="00BB330F" w:rsidRDefault="003625A7" w:rsidP="00341AD1">
            <w:pPr>
              <w:rPr>
                <w:rFonts w:cs="Times New Roman"/>
                <w:b w:val="0"/>
                <w:bCs w:val="0"/>
                <w:color w:val="000000" w:themeColor="text1"/>
                <w:sz w:val="20"/>
                <w:szCs w:val="20"/>
              </w:rPr>
            </w:pPr>
            <w:r w:rsidRPr="00BB330F">
              <w:rPr>
                <w:rFonts w:cs="Times New Roman"/>
                <w:b w:val="0"/>
                <w:bCs w:val="0"/>
                <w:color w:val="000000" w:themeColor="text1"/>
                <w:sz w:val="20"/>
                <w:szCs w:val="20"/>
              </w:rPr>
              <w:t>Fmean</w:t>
            </w:r>
          </w:p>
        </w:tc>
        <w:tc>
          <w:tcPr>
            <w:tcW w:w="1270" w:type="pct"/>
            <w:hideMark/>
          </w:tcPr>
          <w:p w14:paraId="712E09BA"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Fmean</w:t>
            </w:r>
          </w:p>
        </w:tc>
        <w:tc>
          <w:tcPr>
            <w:tcW w:w="881" w:type="pct"/>
            <w:hideMark/>
          </w:tcPr>
          <w:p w14:paraId="0E380C80"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0.55</w:t>
            </w:r>
          </w:p>
        </w:tc>
        <w:tc>
          <w:tcPr>
            <w:tcW w:w="536" w:type="pct"/>
            <w:hideMark/>
          </w:tcPr>
          <w:p w14:paraId="17443B95"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0.09</w:t>
            </w:r>
          </w:p>
        </w:tc>
        <w:tc>
          <w:tcPr>
            <w:tcW w:w="594" w:type="pct"/>
            <w:hideMark/>
          </w:tcPr>
          <w:p w14:paraId="2FAE75A2"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&lt;0.001</w:t>
            </w:r>
          </w:p>
        </w:tc>
        <w:tc>
          <w:tcPr>
            <w:tcW w:w="392" w:type="pct"/>
            <w:hideMark/>
          </w:tcPr>
          <w:p w14:paraId="52E38BA9"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0.29</w:t>
            </w:r>
          </w:p>
        </w:tc>
      </w:tr>
      <w:tr w:rsidR="003625A7" w:rsidRPr="00BB330F" w14:paraId="1980FE75" w14:textId="77777777" w:rsidTr="00341AD1">
        <w:tc>
          <w:tcPr>
            <w:cnfStyle w:val="001000000000" w:firstRow="0" w:lastRow="0" w:firstColumn="1" w:lastColumn="0" w:oddVBand="0" w:evenVBand="0" w:oddHBand="0" w:evenHBand="0" w:firstRowFirstColumn="0" w:firstRowLastColumn="0" w:lastRowFirstColumn="0" w:lastRowLastColumn="0"/>
            <w:tcW w:w="1327" w:type="pct"/>
            <w:hideMark/>
          </w:tcPr>
          <w:p w14:paraId="6C1F91FD" w14:textId="77777777" w:rsidR="003625A7" w:rsidRPr="00BB330F" w:rsidRDefault="003625A7" w:rsidP="00341AD1">
            <w:pPr>
              <w:rPr>
                <w:rFonts w:cs="Times New Roman"/>
                <w:b w:val="0"/>
                <w:bCs w:val="0"/>
                <w:color w:val="000000" w:themeColor="text1"/>
                <w:sz w:val="20"/>
                <w:szCs w:val="20"/>
              </w:rPr>
            </w:pPr>
            <w:r w:rsidRPr="00BB330F">
              <w:rPr>
                <w:rFonts w:cs="Times New Roman"/>
                <w:b w:val="0"/>
                <w:bCs w:val="0"/>
                <w:color w:val="000000" w:themeColor="text1"/>
                <w:sz w:val="20"/>
                <w:szCs w:val="20"/>
              </w:rPr>
              <w:t>Fmean</w:t>
            </w:r>
          </w:p>
        </w:tc>
        <w:tc>
          <w:tcPr>
            <w:tcW w:w="1270" w:type="pct"/>
            <w:hideMark/>
          </w:tcPr>
          <w:p w14:paraId="12309086"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Fatigue Ratio</w:t>
            </w:r>
          </w:p>
        </w:tc>
        <w:tc>
          <w:tcPr>
            <w:tcW w:w="881" w:type="pct"/>
            <w:hideMark/>
          </w:tcPr>
          <w:p w14:paraId="6C2510A9"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-11.3</w:t>
            </w:r>
          </w:p>
        </w:tc>
        <w:tc>
          <w:tcPr>
            <w:tcW w:w="536" w:type="pct"/>
            <w:hideMark/>
          </w:tcPr>
          <w:p w14:paraId="64FD1522"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5.48</w:t>
            </w:r>
          </w:p>
        </w:tc>
        <w:tc>
          <w:tcPr>
            <w:tcW w:w="594" w:type="pct"/>
            <w:hideMark/>
          </w:tcPr>
          <w:p w14:paraId="5C20AF36"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0.042</w:t>
            </w:r>
          </w:p>
        </w:tc>
        <w:tc>
          <w:tcPr>
            <w:tcW w:w="392" w:type="pct"/>
            <w:hideMark/>
          </w:tcPr>
          <w:p w14:paraId="6CEEA01A"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0.05</w:t>
            </w:r>
          </w:p>
        </w:tc>
      </w:tr>
      <w:tr w:rsidR="003625A7" w:rsidRPr="00BB330F" w14:paraId="007AA56F" w14:textId="77777777" w:rsidTr="00341AD1">
        <w:tc>
          <w:tcPr>
            <w:cnfStyle w:val="001000000000" w:firstRow="0" w:lastRow="0" w:firstColumn="1" w:lastColumn="0" w:oddVBand="0" w:evenVBand="0" w:oddHBand="0" w:evenHBand="0" w:firstRowFirstColumn="0" w:firstRowLastColumn="0" w:lastRowFirstColumn="0" w:lastRowLastColumn="0"/>
            <w:tcW w:w="1327" w:type="pct"/>
            <w:hideMark/>
          </w:tcPr>
          <w:p w14:paraId="04AE8F78" w14:textId="77777777" w:rsidR="003625A7" w:rsidRPr="00BB330F" w:rsidRDefault="003625A7" w:rsidP="00341AD1">
            <w:pPr>
              <w:rPr>
                <w:rFonts w:cs="Times New Roman"/>
                <w:b w:val="0"/>
                <w:bCs w:val="0"/>
                <w:color w:val="000000" w:themeColor="text1"/>
                <w:sz w:val="20"/>
                <w:szCs w:val="20"/>
              </w:rPr>
            </w:pPr>
            <w:r w:rsidRPr="00BB330F">
              <w:rPr>
                <w:rFonts w:cs="Times New Roman"/>
                <w:b w:val="0"/>
                <w:bCs w:val="0"/>
                <w:color w:val="000000" w:themeColor="text1"/>
                <w:sz w:val="20"/>
                <w:szCs w:val="20"/>
              </w:rPr>
              <w:t>Fmean</w:t>
            </w:r>
          </w:p>
        </w:tc>
        <w:tc>
          <w:tcPr>
            <w:tcW w:w="1270" w:type="pct"/>
            <w:hideMark/>
          </w:tcPr>
          <w:p w14:paraId="37C2B494"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Recovery</w:t>
            </w:r>
          </w:p>
        </w:tc>
        <w:tc>
          <w:tcPr>
            <w:tcW w:w="881" w:type="pct"/>
            <w:hideMark/>
          </w:tcPr>
          <w:p w14:paraId="43965E44"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26.9</w:t>
            </w:r>
          </w:p>
        </w:tc>
        <w:tc>
          <w:tcPr>
            <w:tcW w:w="536" w:type="pct"/>
            <w:hideMark/>
          </w:tcPr>
          <w:p w14:paraId="7AAB41FF"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7.11</w:t>
            </w:r>
          </w:p>
        </w:tc>
        <w:tc>
          <w:tcPr>
            <w:tcW w:w="594" w:type="pct"/>
            <w:hideMark/>
          </w:tcPr>
          <w:p w14:paraId="170FD80A"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&lt;0.001</w:t>
            </w:r>
          </w:p>
        </w:tc>
        <w:tc>
          <w:tcPr>
            <w:tcW w:w="392" w:type="pct"/>
            <w:hideMark/>
          </w:tcPr>
          <w:p w14:paraId="55DFA99C"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0.16</w:t>
            </w:r>
          </w:p>
        </w:tc>
      </w:tr>
      <w:tr w:rsidR="003625A7" w:rsidRPr="00BB330F" w14:paraId="1E509BE8" w14:textId="77777777" w:rsidTr="00341AD1">
        <w:tc>
          <w:tcPr>
            <w:cnfStyle w:val="001000000000" w:firstRow="0" w:lastRow="0" w:firstColumn="1" w:lastColumn="0" w:oddVBand="0" w:evenVBand="0" w:oddHBand="0" w:evenHBand="0" w:firstRowFirstColumn="0" w:firstRowLastColumn="0" w:lastRowFirstColumn="0" w:lastRowLastColumn="0"/>
            <w:tcW w:w="1327" w:type="pct"/>
            <w:hideMark/>
          </w:tcPr>
          <w:p w14:paraId="7C294C0B" w14:textId="77777777" w:rsidR="003625A7" w:rsidRPr="00BB330F" w:rsidRDefault="003625A7" w:rsidP="00341AD1">
            <w:pPr>
              <w:rPr>
                <w:rFonts w:cs="Times New Roman"/>
                <w:b w:val="0"/>
                <w:bCs w:val="0"/>
                <w:color w:val="000000" w:themeColor="text1"/>
                <w:sz w:val="20"/>
                <w:szCs w:val="20"/>
              </w:rPr>
            </w:pPr>
            <w:r w:rsidRPr="00BB330F">
              <w:rPr>
                <w:rFonts w:cs="Times New Roman"/>
                <w:b w:val="0"/>
                <w:bCs w:val="0"/>
                <w:color w:val="000000" w:themeColor="text1"/>
                <w:sz w:val="20"/>
                <w:szCs w:val="20"/>
              </w:rPr>
              <w:t>Fatigue Ratio</w:t>
            </w:r>
          </w:p>
        </w:tc>
        <w:tc>
          <w:tcPr>
            <w:tcW w:w="1270" w:type="pct"/>
            <w:hideMark/>
          </w:tcPr>
          <w:p w14:paraId="57572F17"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Fmean</w:t>
            </w:r>
          </w:p>
        </w:tc>
        <w:tc>
          <w:tcPr>
            <w:tcW w:w="881" w:type="pct"/>
            <w:hideMark/>
          </w:tcPr>
          <w:p w14:paraId="46B67CB7"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-0.005</w:t>
            </w:r>
          </w:p>
        </w:tc>
        <w:tc>
          <w:tcPr>
            <w:tcW w:w="536" w:type="pct"/>
            <w:hideMark/>
          </w:tcPr>
          <w:p w14:paraId="61DB5FE1"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&lt;0.01</w:t>
            </w:r>
          </w:p>
        </w:tc>
        <w:tc>
          <w:tcPr>
            <w:tcW w:w="594" w:type="pct"/>
            <w:hideMark/>
          </w:tcPr>
          <w:p w14:paraId="37FA2E0E"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0.005</w:t>
            </w:r>
          </w:p>
        </w:tc>
        <w:tc>
          <w:tcPr>
            <w:tcW w:w="392" w:type="pct"/>
            <w:hideMark/>
          </w:tcPr>
          <w:p w14:paraId="13C59778"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0.09</w:t>
            </w:r>
          </w:p>
        </w:tc>
      </w:tr>
      <w:tr w:rsidR="003625A7" w:rsidRPr="00BB330F" w14:paraId="64B9D294" w14:textId="77777777" w:rsidTr="00341AD1">
        <w:tc>
          <w:tcPr>
            <w:cnfStyle w:val="001000000000" w:firstRow="0" w:lastRow="0" w:firstColumn="1" w:lastColumn="0" w:oddVBand="0" w:evenVBand="0" w:oddHBand="0" w:evenHBand="0" w:firstRowFirstColumn="0" w:firstRowLastColumn="0" w:lastRowFirstColumn="0" w:lastRowLastColumn="0"/>
            <w:tcW w:w="1327" w:type="pct"/>
            <w:hideMark/>
          </w:tcPr>
          <w:p w14:paraId="1579C76F" w14:textId="77777777" w:rsidR="003625A7" w:rsidRPr="00BB330F" w:rsidRDefault="003625A7" w:rsidP="00341AD1">
            <w:pPr>
              <w:rPr>
                <w:rFonts w:cs="Times New Roman"/>
                <w:b w:val="0"/>
                <w:bCs w:val="0"/>
                <w:color w:val="000000" w:themeColor="text1"/>
                <w:sz w:val="20"/>
                <w:szCs w:val="20"/>
              </w:rPr>
            </w:pPr>
            <w:r w:rsidRPr="00BB330F">
              <w:rPr>
                <w:rFonts w:cs="Times New Roman"/>
                <w:b w:val="0"/>
                <w:bCs w:val="0"/>
                <w:color w:val="000000" w:themeColor="text1"/>
                <w:sz w:val="20"/>
                <w:szCs w:val="20"/>
              </w:rPr>
              <w:t>Fatigue Ratio</w:t>
            </w:r>
          </w:p>
        </w:tc>
        <w:tc>
          <w:tcPr>
            <w:tcW w:w="1270" w:type="pct"/>
            <w:hideMark/>
          </w:tcPr>
          <w:p w14:paraId="7BE4B0FB"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Fatigue Ratio</w:t>
            </w:r>
          </w:p>
        </w:tc>
        <w:tc>
          <w:tcPr>
            <w:tcW w:w="881" w:type="pct"/>
            <w:hideMark/>
          </w:tcPr>
          <w:p w14:paraId="0F668E37"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0.28</w:t>
            </w:r>
          </w:p>
        </w:tc>
        <w:tc>
          <w:tcPr>
            <w:tcW w:w="536" w:type="pct"/>
            <w:hideMark/>
          </w:tcPr>
          <w:p w14:paraId="6C6A7F36"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0.08</w:t>
            </w:r>
          </w:p>
        </w:tc>
        <w:tc>
          <w:tcPr>
            <w:tcW w:w="594" w:type="pct"/>
            <w:hideMark/>
          </w:tcPr>
          <w:p w14:paraId="4C9F3367"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0.001</w:t>
            </w:r>
          </w:p>
        </w:tc>
        <w:tc>
          <w:tcPr>
            <w:tcW w:w="392" w:type="pct"/>
            <w:hideMark/>
          </w:tcPr>
          <w:p w14:paraId="1283C8C4"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0.12</w:t>
            </w:r>
          </w:p>
        </w:tc>
      </w:tr>
      <w:tr w:rsidR="003625A7" w:rsidRPr="00BB330F" w14:paraId="2B50AA27" w14:textId="77777777" w:rsidTr="00341AD1">
        <w:tc>
          <w:tcPr>
            <w:cnfStyle w:val="001000000000" w:firstRow="0" w:lastRow="0" w:firstColumn="1" w:lastColumn="0" w:oddVBand="0" w:evenVBand="0" w:oddHBand="0" w:evenHBand="0" w:firstRowFirstColumn="0" w:firstRowLastColumn="0" w:lastRowFirstColumn="0" w:lastRowLastColumn="0"/>
            <w:tcW w:w="1327" w:type="pct"/>
            <w:hideMark/>
          </w:tcPr>
          <w:p w14:paraId="47D06DA1" w14:textId="77777777" w:rsidR="003625A7" w:rsidRPr="00BB330F" w:rsidRDefault="003625A7" w:rsidP="00341AD1">
            <w:pPr>
              <w:rPr>
                <w:rFonts w:cs="Times New Roman"/>
                <w:b w:val="0"/>
                <w:bCs w:val="0"/>
                <w:color w:val="000000" w:themeColor="text1"/>
                <w:sz w:val="20"/>
                <w:szCs w:val="20"/>
              </w:rPr>
            </w:pPr>
            <w:r w:rsidRPr="00BB330F">
              <w:rPr>
                <w:rFonts w:cs="Times New Roman"/>
                <w:b w:val="0"/>
                <w:bCs w:val="0"/>
                <w:color w:val="000000" w:themeColor="text1"/>
                <w:sz w:val="20"/>
                <w:szCs w:val="20"/>
              </w:rPr>
              <w:lastRenderedPageBreak/>
              <w:t>Fatigue Ratio</w:t>
            </w:r>
          </w:p>
        </w:tc>
        <w:tc>
          <w:tcPr>
            <w:tcW w:w="1270" w:type="pct"/>
            <w:hideMark/>
          </w:tcPr>
          <w:p w14:paraId="220A889D"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Recovery</w:t>
            </w:r>
          </w:p>
        </w:tc>
        <w:tc>
          <w:tcPr>
            <w:tcW w:w="881" w:type="pct"/>
            <w:hideMark/>
          </w:tcPr>
          <w:p w14:paraId="0927C1AF"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-0.41</w:t>
            </w:r>
          </w:p>
        </w:tc>
        <w:tc>
          <w:tcPr>
            <w:tcW w:w="536" w:type="pct"/>
            <w:hideMark/>
          </w:tcPr>
          <w:p w14:paraId="553E1776"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0.12</w:t>
            </w:r>
          </w:p>
        </w:tc>
        <w:tc>
          <w:tcPr>
            <w:tcW w:w="594" w:type="pct"/>
            <w:hideMark/>
          </w:tcPr>
          <w:p w14:paraId="4A16EF3F"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0.001</w:t>
            </w:r>
          </w:p>
        </w:tc>
        <w:tc>
          <w:tcPr>
            <w:tcW w:w="392" w:type="pct"/>
            <w:hideMark/>
          </w:tcPr>
          <w:p w14:paraId="6CE51482"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0.13</w:t>
            </w:r>
          </w:p>
        </w:tc>
      </w:tr>
      <w:tr w:rsidR="003625A7" w:rsidRPr="00BB330F" w14:paraId="5D53BD6C" w14:textId="77777777" w:rsidTr="00341AD1">
        <w:tc>
          <w:tcPr>
            <w:cnfStyle w:val="001000000000" w:firstRow="0" w:lastRow="0" w:firstColumn="1" w:lastColumn="0" w:oddVBand="0" w:evenVBand="0" w:oddHBand="0" w:evenHBand="0" w:firstRowFirstColumn="0" w:firstRowLastColumn="0" w:lastRowFirstColumn="0" w:lastRowLastColumn="0"/>
            <w:tcW w:w="1327" w:type="pct"/>
            <w:hideMark/>
          </w:tcPr>
          <w:p w14:paraId="509C5570" w14:textId="77777777" w:rsidR="003625A7" w:rsidRPr="00BB330F" w:rsidRDefault="003625A7" w:rsidP="00341AD1">
            <w:pPr>
              <w:rPr>
                <w:rFonts w:cs="Times New Roman"/>
                <w:b w:val="0"/>
                <w:bCs w:val="0"/>
                <w:color w:val="000000" w:themeColor="text1"/>
                <w:sz w:val="20"/>
                <w:szCs w:val="20"/>
              </w:rPr>
            </w:pPr>
            <w:r w:rsidRPr="00BB330F">
              <w:rPr>
                <w:rFonts w:cs="Times New Roman"/>
                <w:b w:val="0"/>
                <w:bCs w:val="0"/>
                <w:color w:val="000000" w:themeColor="text1"/>
                <w:sz w:val="20"/>
                <w:szCs w:val="20"/>
              </w:rPr>
              <w:t>Recovery</w:t>
            </w:r>
          </w:p>
        </w:tc>
        <w:tc>
          <w:tcPr>
            <w:tcW w:w="1270" w:type="pct"/>
            <w:hideMark/>
          </w:tcPr>
          <w:p w14:paraId="1886772B"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Fmean</w:t>
            </w:r>
          </w:p>
        </w:tc>
        <w:tc>
          <w:tcPr>
            <w:tcW w:w="881" w:type="pct"/>
            <w:hideMark/>
          </w:tcPr>
          <w:p w14:paraId="7996590D"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0.002</w:t>
            </w:r>
          </w:p>
        </w:tc>
        <w:tc>
          <w:tcPr>
            <w:tcW w:w="536" w:type="pct"/>
            <w:hideMark/>
          </w:tcPr>
          <w:p w14:paraId="17E33CEA"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&lt;0.01</w:t>
            </w:r>
          </w:p>
        </w:tc>
        <w:tc>
          <w:tcPr>
            <w:tcW w:w="594" w:type="pct"/>
            <w:hideMark/>
          </w:tcPr>
          <w:p w14:paraId="03A493C9"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0.161</w:t>
            </w:r>
          </w:p>
        </w:tc>
        <w:tc>
          <w:tcPr>
            <w:tcW w:w="392" w:type="pct"/>
            <w:hideMark/>
          </w:tcPr>
          <w:p w14:paraId="5BC63107"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0.03</w:t>
            </w:r>
          </w:p>
        </w:tc>
      </w:tr>
      <w:tr w:rsidR="003625A7" w:rsidRPr="00BB330F" w14:paraId="09FE7D83" w14:textId="77777777" w:rsidTr="00341AD1">
        <w:tc>
          <w:tcPr>
            <w:cnfStyle w:val="001000000000" w:firstRow="0" w:lastRow="0" w:firstColumn="1" w:lastColumn="0" w:oddVBand="0" w:evenVBand="0" w:oddHBand="0" w:evenHBand="0" w:firstRowFirstColumn="0" w:firstRowLastColumn="0" w:lastRowFirstColumn="0" w:lastRowLastColumn="0"/>
            <w:tcW w:w="1327" w:type="pct"/>
            <w:hideMark/>
          </w:tcPr>
          <w:p w14:paraId="7096B6F1" w14:textId="77777777" w:rsidR="003625A7" w:rsidRPr="00BB330F" w:rsidRDefault="003625A7" w:rsidP="00341AD1">
            <w:pPr>
              <w:rPr>
                <w:rFonts w:cs="Times New Roman"/>
                <w:b w:val="0"/>
                <w:bCs w:val="0"/>
                <w:color w:val="000000" w:themeColor="text1"/>
                <w:sz w:val="20"/>
                <w:szCs w:val="20"/>
              </w:rPr>
            </w:pPr>
            <w:r w:rsidRPr="00BB330F">
              <w:rPr>
                <w:rFonts w:cs="Times New Roman"/>
                <w:b w:val="0"/>
                <w:bCs w:val="0"/>
                <w:color w:val="000000" w:themeColor="text1"/>
                <w:sz w:val="20"/>
                <w:szCs w:val="20"/>
              </w:rPr>
              <w:t>Recovery</w:t>
            </w:r>
          </w:p>
        </w:tc>
        <w:tc>
          <w:tcPr>
            <w:tcW w:w="1270" w:type="pct"/>
            <w:hideMark/>
          </w:tcPr>
          <w:p w14:paraId="60F52C2B"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Fatigue Ratio</w:t>
            </w:r>
          </w:p>
        </w:tc>
        <w:tc>
          <w:tcPr>
            <w:tcW w:w="881" w:type="pct"/>
            <w:hideMark/>
          </w:tcPr>
          <w:p w14:paraId="38AC47C3"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-0.019</w:t>
            </w:r>
          </w:p>
        </w:tc>
        <w:tc>
          <w:tcPr>
            <w:tcW w:w="536" w:type="pct"/>
            <w:hideMark/>
          </w:tcPr>
          <w:p w14:paraId="4449CB06"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0.06</w:t>
            </w:r>
          </w:p>
        </w:tc>
        <w:tc>
          <w:tcPr>
            <w:tcW w:w="594" w:type="pct"/>
            <w:hideMark/>
          </w:tcPr>
          <w:p w14:paraId="5DFE6E15"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0.757</w:t>
            </w:r>
          </w:p>
        </w:tc>
        <w:tc>
          <w:tcPr>
            <w:tcW w:w="392" w:type="pct"/>
            <w:hideMark/>
          </w:tcPr>
          <w:p w14:paraId="04D211B8"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0.00</w:t>
            </w:r>
          </w:p>
        </w:tc>
      </w:tr>
      <w:tr w:rsidR="003625A7" w:rsidRPr="00BB330F" w14:paraId="5140DCCB" w14:textId="77777777" w:rsidTr="00341AD1">
        <w:tc>
          <w:tcPr>
            <w:cnfStyle w:val="001000000000" w:firstRow="0" w:lastRow="0" w:firstColumn="1" w:lastColumn="0" w:oddVBand="0" w:evenVBand="0" w:oddHBand="0" w:evenHBand="0" w:firstRowFirstColumn="0" w:firstRowLastColumn="0" w:lastRowFirstColumn="0" w:lastRowLastColumn="0"/>
            <w:tcW w:w="1327" w:type="pct"/>
            <w:hideMark/>
          </w:tcPr>
          <w:p w14:paraId="0321D0E0" w14:textId="77777777" w:rsidR="003625A7" w:rsidRPr="00BB330F" w:rsidRDefault="003625A7" w:rsidP="00341AD1">
            <w:pPr>
              <w:rPr>
                <w:rFonts w:cs="Times New Roman"/>
                <w:b w:val="0"/>
                <w:bCs w:val="0"/>
                <w:color w:val="000000" w:themeColor="text1"/>
                <w:sz w:val="20"/>
                <w:szCs w:val="20"/>
              </w:rPr>
            </w:pPr>
            <w:r w:rsidRPr="00BB330F">
              <w:rPr>
                <w:rFonts w:cs="Times New Roman"/>
                <w:b w:val="0"/>
                <w:bCs w:val="0"/>
                <w:color w:val="000000" w:themeColor="text1"/>
                <w:sz w:val="20"/>
                <w:szCs w:val="20"/>
              </w:rPr>
              <w:t>Recovery</w:t>
            </w:r>
          </w:p>
        </w:tc>
        <w:tc>
          <w:tcPr>
            <w:tcW w:w="1270" w:type="pct"/>
            <w:hideMark/>
          </w:tcPr>
          <w:p w14:paraId="4356E363"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Recovery</w:t>
            </w:r>
          </w:p>
        </w:tc>
        <w:tc>
          <w:tcPr>
            <w:tcW w:w="881" w:type="pct"/>
            <w:hideMark/>
          </w:tcPr>
          <w:p w14:paraId="775E27C7"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0.29</w:t>
            </w:r>
          </w:p>
        </w:tc>
        <w:tc>
          <w:tcPr>
            <w:tcW w:w="536" w:type="pct"/>
            <w:hideMark/>
          </w:tcPr>
          <w:p w14:paraId="7228F3D4"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0.09</w:t>
            </w:r>
          </w:p>
        </w:tc>
        <w:tc>
          <w:tcPr>
            <w:tcW w:w="594" w:type="pct"/>
            <w:hideMark/>
          </w:tcPr>
          <w:p w14:paraId="281EF37E"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0.002</w:t>
            </w:r>
          </w:p>
        </w:tc>
        <w:tc>
          <w:tcPr>
            <w:tcW w:w="392" w:type="pct"/>
            <w:hideMark/>
          </w:tcPr>
          <w:p w14:paraId="466FFCC5" w14:textId="77777777" w:rsidR="003625A7" w:rsidRPr="00BB330F" w:rsidRDefault="003625A7" w:rsidP="00341AD1">
            <w:pPr>
              <w:keepNext/>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0.13</w:t>
            </w:r>
          </w:p>
        </w:tc>
      </w:tr>
    </w:tbl>
    <w:p w14:paraId="40633FAC" w14:textId="69DBA6C5" w:rsidR="003625A7" w:rsidRPr="0054367B" w:rsidRDefault="003625A7" w:rsidP="003625A7">
      <w:pPr>
        <w:pStyle w:val="Beschriftung1"/>
        <w:rPr>
          <w:rFonts w:ascii="Times New Roman" w:hAnsi="Times New Roman" w:cs="Times New Roman"/>
          <w:sz w:val="24"/>
          <w:szCs w:val="24"/>
        </w:rPr>
      </w:pPr>
      <w:bookmarkStart w:id="4" w:name="_Toc212714086"/>
      <w:r w:rsidRPr="0054367B">
        <w:rPr>
          <w:rFonts w:ascii="Times New Roman" w:hAnsi="Times New Roman" w:cs="Times New Roman"/>
          <w:b/>
          <w:bCs/>
          <w:sz w:val="24"/>
          <w:szCs w:val="24"/>
        </w:rPr>
        <w:t xml:space="preserve">Supplementary Table </w:t>
      </w:r>
      <w:r w:rsidRPr="0054367B">
        <w:rPr>
          <w:rFonts w:ascii="Times New Roman" w:hAnsi="Times New Roman" w:cs="Times New Roman"/>
          <w:b/>
          <w:bCs/>
          <w:sz w:val="24"/>
          <w:szCs w:val="24"/>
        </w:rPr>
        <w:fldChar w:fldCharType="begin"/>
      </w:r>
      <w:r w:rsidRPr="0054367B">
        <w:rPr>
          <w:rFonts w:ascii="Times New Roman" w:hAnsi="Times New Roman" w:cs="Times New Roman"/>
          <w:b/>
          <w:bCs/>
          <w:sz w:val="24"/>
          <w:szCs w:val="24"/>
        </w:rPr>
        <w:instrText xml:space="preserve"> SEQ Supplementary_Table \* ARABIC </w:instrText>
      </w:r>
      <w:r w:rsidRPr="0054367B">
        <w:rPr>
          <w:rFonts w:ascii="Times New Roman" w:hAnsi="Times New Roman" w:cs="Times New Roman"/>
          <w:b/>
          <w:bCs/>
          <w:sz w:val="24"/>
          <w:szCs w:val="24"/>
        </w:rPr>
        <w:fldChar w:fldCharType="separate"/>
      </w:r>
      <w:r w:rsidR="00FE267B">
        <w:rPr>
          <w:rFonts w:ascii="Times New Roman" w:hAnsi="Times New Roman" w:cs="Times New Roman"/>
          <w:b/>
          <w:bCs/>
          <w:noProof/>
          <w:sz w:val="24"/>
          <w:szCs w:val="24"/>
        </w:rPr>
        <w:t>3</w:t>
      </w:r>
      <w:r w:rsidRPr="0054367B">
        <w:rPr>
          <w:rFonts w:ascii="Times New Roman" w:hAnsi="Times New Roman" w:cs="Times New Roman"/>
          <w:b/>
          <w:bCs/>
          <w:sz w:val="24"/>
          <w:szCs w:val="24"/>
        </w:rPr>
        <w:fldChar w:fldCharType="end"/>
      </w:r>
      <w:r w:rsidRPr="0054367B">
        <w:rPr>
          <w:rFonts w:ascii="Times New Roman" w:hAnsi="Times New Roman" w:cs="Times New Roman"/>
          <w:b/>
          <w:bCs/>
          <w:sz w:val="24"/>
          <w:szCs w:val="24"/>
        </w:rPr>
        <w:t>:</w:t>
      </w:r>
      <w:r w:rsidRPr="0054367B">
        <w:rPr>
          <w:rFonts w:ascii="Times New Roman" w:hAnsi="Times New Roman" w:cs="Times New Roman"/>
          <w:sz w:val="24"/>
          <w:szCs w:val="24"/>
        </w:rPr>
        <w:t xml:space="preserve"> Univariate linear regression analyses predicting FU muscle function from BL measures in patients with PCS. Each model includes one predictor variable. β = unstandardized regression coefficient; SE = standard error; R² = explained variance.</w:t>
      </w:r>
      <w:bookmarkEnd w:id="4"/>
    </w:p>
    <w:p w14:paraId="3A8E80DA" w14:textId="77777777" w:rsidR="003625A7" w:rsidRPr="00BB330F" w:rsidRDefault="003625A7" w:rsidP="003625A7">
      <w:r w:rsidRPr="00BB330F">
        <w:rPr>
          <w:rStyle w:val="Fett"/>
          <w:rFonts w:cs="Times New Roman"/>
          <w:b w:val="0"/>
          <w:bCs w:val="0"/>
          <w:color w:val="000000" w:themeColor="text1"/>
        </w:rPr>
        <w:t>Supplementary Table 4</w:t>
      </w:r>
      <w:r w:rsidRPr="00BB330F">
        <w:rPr>
          <w:rStyle w:val="apple-converted-space"/>
          <w:rFonts w:cs="Times New Roman"/>
          <w:color w:val="000000" w:themeColor="text1"/>
        </w:rPr>
        <w:t xml:space="preserve"> </w:t>
      </w:r>
      <w:r w:rsidRPr="00BB330F">
        <w:t>summarizes the cross-sectional Spearman correlations (ρ) between HGS parameters and PROMs in the PCS cohort at BL and at six-month FU. Across both time points, lower handgrip strength and higher muscular fatigability were consistently associated with greater symptom severity as measured by the Fatigue Severity Scale (FSS), the C19-YRS Symptom Severity score, and the PHQ-9. Correlations with other PROMs were weaker and did not reach significance after correction for multiple testing (FDR).</w:t>
      </w:r>
    </w:p>
    <w:tbl>
      <w:tblPr>
        <w:tblStyle w:val="Gitternetztabelle1hell"/>
        <w:tblW w:w="0" w:type="auto"/>
        <w:tblLook w:val="04A0" w:firstRow="1" w:lastRow="0" w:firstColumn="1" w:lastColumn="0" w:noHBand="0" w:noVBand="1"/>
      </w:tblPr>
      <w:tblGrid>
        <w:gridCol w:w="2463"/>
        <w:gridCol w:w="1485"/>
        <w:gridCol w:w="711"/>
        <w:gridCol w:w="1908"/>
        <w:gridCol w:w="1171"/>
        <w:gridCol w:w="1270"/>
      </w:tblGrid>
      <w:tr w:rsidR="003625A7" w:rsidRPr="00BB330F" w14:paraId="69A245C0" w14:textId="77777777" w:rsidTr="00341A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7F1FD18" w14:textId="77777777" w:rsidR="003625A7" w:rsidRPr="00BB330F" w:rsidRDefault="003625A7" w:rsidP="00341AD1">
            <w:pPr>
              <w:rPr>
                <w:rFonts w:cs="Times New Roman"/>
                <w:color w:val="000000" w:themeColor="text1"/>
                <w:sz w:val="20"/>
                <w:szCs w:val="20"/>
              </w:rPr>
            </w:pPr>
            <w:r w:rsidRPr="00BB330F">
              <w:rPr>
                <w:rFonts w:cs="Times New Roman"/>
                <w:color w:val="000000" w:themeColor="text1"/>
                <w:sz w:val="20"/>
                <w:szCs w:val="20"/>
              </w:rPr>
              <w:t>Objective variable</w:t>
            </w:r>
          </w:p>
        </w:tc>
        <w:tc>
          <w:tcPr>
            <w:tcW w:w="0" w:type="auto"/>
            <w:hideMark/>
          </w:tcPr>
          <w:p w14:paraId="698749A6" w14:textId="77777777" w:rsidR="003625A7" w:rsidRPr="00BB330F" w:rsidRDefault="003625A7" w:rsidP="00341AD1">
            <w:pPr>
              <w:cnfStyle w:val="100000000000" w:firstRow="1"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PROM</w:t>
            </w:r>
          </w:p>
        </w:tc>
        <w:tc>
          <w:tcPr>
            <w:tcW w:w="0" w:type="auto"/>
            <w:hideMark/>
          </w:tcPr>
          <w:p w14:paraId="06214D89" w14:textId="77777777" w:rsidR="003625A7" w:rsidRPr="00BB330F" w:rsidRDefault="003625A7" w:rsidP="00341AD1">
            <w:pPr>
              <w:cnfStyle w:val="100000000000" w:firstRow="1"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n</w:t>
            </w:r>
          </w:p>
        </w:tc>
        <w:tc>
          <w:tcPr>
            <w:tcW w:w="0" w:type="auto"/>
            <w:hideMark/>
          </w:tcPr>
          <w:p w14:paraId="46A82748" w14:textId="77777777" w:rsidR="003625A7" w:rsidRPr="00BB330F" w:rsidRDefault="003625A7" w:rsidP="00341AD1">
            <w:pPr>
              <w:cnfStyle w:val="100000000000" w:firstRow="1"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ρ (Spearman)</w:t>
            </w:r>
          </w:p>
        </w:tc>
        <w:tc>
          <w:tcPr>
            <w:tcW w:w="0" w:type="auto"/>
            <w:hideMark/>
          </w:tcPr>
          <w:p w14:paraId="3BF7DCEF" w14:textId="77777777" w:rsidR="003625A7" w:rsidRPr="00BB330F" w:rsidRDefault="003625A7" w:rsidP="00341AD1">
            <w:pPr>
              <w:cnfStyle w:val="100000000000" w:firstRow="1"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p-value</w:t>
            </w:r>
          </w:p>
        </w:tc>
        <w:tc>
          <w:tcPr>
            <w:tcW w:w="0" w:type="auto"/>
            <w:hideMark/>
          </w:tcPr>
          <w:p w14:paraId="2EE38641" w14:textId="77777777" w:rsidR="003625A7" w:rsidRPr="00BB330F" w:rsidRDefault="003625A7" w:rsidP="00341AD1">
            <w:pPr>
              <w:cnfStyle w:val="100000000000" w:firstRow="1" w:lastRow="0" w:firstColumn="0" w:lastColumn="0" w:oddVBand="0" w:evenVBand="0" w:oddHBand="0" w:evenHBand="0" w:firstRowFirstColumn="0" w:firstRowLastColumn="0" w:lastRowFirstColumn="0" w:lastRowLastColumn="0"/>
              <w:rPr>
                <w:rFonts w:cs="Times New Roman"/>
                <w:b w:val="0"/>
                <w:bCs w:val="0"/>
                <w:color w:val="000000" w:themeColor="text1"/>
                <w:sz w:val="20"/>
                <w:szCs w:val="20"/>
              </w:rPr>
            </w:pPr>
            <w:r w:rsidRPr="00BB330F">
              <w:rPr>
                <w:rFonts w:cs="Times New Roman"/>
                <w:color w:val="000000" w:themeColor="text1"/>
                <w:sz w:val="20"/>
                <w:szCs w:val="20"/>
              </w:rPr>
              <w:t>p (FDR)</w:t>
            </w:r>
          </w:p>
        </w:tc>
      </w:tr>
      <w:tr w:rsidR="003625A7" w:rsidRPr="00BB330F" w14:paraId="62296083" w14:textId="77777777" w:rsidTr="00341AD1">
        <w:tc>
          <w:tcPr>
            <w:cnfStyle w:val="001000000000" w:firstRow="0" w:lastRow="0" w:firstColumn="1" w:lastColumn="0" w:oddVBand="0" w:evenVBand="0" w:oddHBand="0" w:evenHBand="0" w:firstRowFirstColumn="0" w:firstRowLastColumn="0" w:lastRowFirstColumn="0" w:lastRowLastColumn="0"/>
            <w:tcW w:w="9006" w:type="dxa"/>
            <w:gridSpan w:val="6"/>
          </w:tcPr>
          <w:p w14:paraId="115AC44C" w14:textId="77777777" w:rsidR="003625A7" w:rsidRPr="00BB330F" w:rsidRDefault="003625A7" w:rsidP="00341AD1">
            <w:pPr>
              <w:jc w:val="center"/>
              <w:rPr>
                <w:rFonts w:cs="Times New Roman"/>
                <w:color w:val="000000" w:themeColor="text1"/>
                <w:sz w:val="20"/>
                <w:szCs w:val="20"/>
              </w:rPr>
            </w:pPr>
            <w:r w:rsidRPr="00BB330F">
              <w:rPr>
                <w:rFonts w:cs="Times New Roman"/>
                <w:color w:val="000000" w:themeColor="text1"/>
                <w:sz w:val="20"/>
                <w:szCs w:val="20"/>
              </w:rPr>
              <w:t>BL</w:t>
            </w:r>
          </w:p>
        </w:tc>
      </w:tr>
      <w:tr w:rsidR="003625A7" w:rsidRPr="00BB330F" w14:paraId="12025039" w14:textId="77777777" w:rsidTr="00341AD1">
        <w:tc>
          <w:tcPr>
            <w:cnfStyle w:val="001000000000" w:firstRow="0" w:lastRow="0" w:firstColumn="1" w:lastColumn="0" w:oddVBand="0" w:evenVBand="0" w:oddHBand="0" w:evenHBand="0" w:firstRowFirstColumn="0" w:firstRowLastColumn="0" w:lastRowFirstColumn="0" w:lastRowLastColumn="0"/>
            <w:tcW w:w="0" w:type="auto"/>
            <w:hideMark/>
          </w:tcPr>
          <w:p w14:paraId="686877AD" w14:textId="77777777" w:rsidR="003625A7" w:rsidRPr="00BB330F" w:rsidRDefault="003625A7" w:rsidP="00341AD1">
            <w:pPr>
              <w:rPr>
                <w:rFonts w:cs="Times New Roman"/>
                <w:color w:val="000000" w:themeColor="text1"/>
                <w:sz w:val="20"/>
                <w:szCs w:val="20"/>
              </w:rPr>
            </w:pPr>
            <w:r w:rsidRPr="00BB330F">
              <w:rPr>
                <w:rFonts w:cs="Times New Roman"/>
                <w:color w:val="000000" w:themeColor="text1"/>
                <w:sz w:val="20"/>
                <w:szCs w:val="20"/>
              </w:rPr>
              <w:t>Fmean</w:t>
            </w:r>
          </w:p>
        </w:tc>
        <w:tc>
          <w:tcPr>
            <w:tcW w:w="0" w:type="auto"/>
            <w:hideMark/>
          </w:tcPr>
          <w:p w14:paraId="0AC40BE1"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PCS Score</w:t>
            </w:r>
          </w:p>
        </w:tc>
        <w:tc>
          <w:tcPr>
            <w:tcW w:w="0" w:type="auto"/>
            <w:hideMark/>
          </w:tcPr>
          <w:p w14:paraId="1E087D06"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102</w:t>
            </w:r>
          </w:p>
        </w:tc>
        <w:tc>
          <w:tcPr>
            <w:tcW w:w="0" w:type="auto"/>
            <w:hideMark/>
          </w:tcPr>
          <w:p w14:paraId="46B11131"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-0.28</w:t>
            </w:r>
          </w:p>
        </w:tc>
        <w:tc>
          <w:tcPr>
            <w:tcW w:w="0" w:type="auto"/>
            <w:hideMark/>
          </w:tcPr>
          <w:p w14:paraId="11ED5F9E"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b/>
                <w:bCs/>
                <w:color w:val="000000" w:themeColor="text1"/>
                <w:sz w:val="20"/>
                <w:szCs w:val="20"/>
              </w:rPr>
            </w:pPr>
            <w:r w:rsidRPr="00BB330F">
              <w:rPr>
                <w:rFonts w:cs="Times New Roman"/>
                <w:b/>
                <w:bCs/>
                <w:color w:val="000000" w:themeColor="text1"/>
                <w:sz w:val="20"/>
                <w:szCs w:val="20"/>
              </w:rPr>
              <w:t>0.005</w:t>
            </w:r>
          </w:p>
        </w:tc>
        <w:tc>
          <w:tcPr>
            <w:tcW w:w="0" w:type="auto"/>
            <w:hideMark/>
          </w:tcPr>
          <w:p w14:paraId="5A79E991"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b/>
                <w:bCs/>
                <w:color w:val="000000" w:themeColor="text1"/>
                <w:sz w:val="20"/>
                <w:szCs w:val="20"/>
              </w:rPr>
            </w:pPr>
            <w:r w:rsidRPr="00BB330F">
              <w:rPr>
                <w:rFonts w:cs="Times New Roman"/>
                <w:b/>
                <w:bCs/>
                <w:color w:val="000000" w:themeColor="text1"/>
                <w:sz w:val="20"/>
                <w:szCs w:val="20"/>
              </w:rPr>
              <w:t>0.013</w:t>
            </w:r>
          </w:p>
        </w:tc>
      </w:tr>
      <w:tr w:rsidR="003625A7" w:rsidRPr="00BB330F" w14:paraId="416C4CEF" w14:textId="77777777" w:rsidTr="00341AD1">
        <w:tc>
          <w:tcPr>
            <w:cnfStyle w:val="001000000000" w:firstRow="0" w:lastRow="0" w:firstColumn="1" w:lastColumn="0" w:oddVBand="0" w:evenVBand="0" w:oddHBand="0" w:evenHBand="0" w:firstRowFirstColumn="0" w:firstRowLastColumn="0" w:lastRowFirstColumn="0" w:lastRowLastColumn="0"/>
            <w:tcW w:w="0" w:type="auto"/>
            <w:hideMark/>
          </w:tcPr>
          <w:p w14:paraId="7DCC4770" w14:textId="77777777" w:rsidR="003625A7" w:rsidRPr="00BB330F" w:rsidRDefault="003625A7" w:rsidP="00341AD1">
            <w:pPr>
              <w:rPr>
                <w:rFonts w:cs="Times New Roman"/>
                <w:color w:val="000000" w:themeColor="text1"/>
                <w:sz w:val="20"/>
                <w:szCs w:val="20"/>
              </w:rPr>
            </w:pPr>
            <w:r w:rsidRPr="00BB330F">
              <w:rPr>
                <w:rFonts w:cs="Times New Roman"/>
                <w:color w:val="000000" w:themeColor="text1"/>
                <w:sz w:val="20"/>
                <w:szCs w:val="20"/>
              </w:rPr>
              <w:t>Fatigue Ratio</w:t>
            </w:r>
          </w:p>
        </w:tc>
        <w:tc>
          <w:tcPr>
            <w:tcW w:w="0" w:type="auto"/>
            <w:hideMark/>
          </w:tcPr>
          <w:p w14:paraId="20DD7E63"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PCS Score</w:t>
            </w:r>
          </w:p>
        </w:tc>
        <w:tc>
          <w:tcPr>
            <w:tcW w:w="0" w:type="auto"/>
            <w:hideMark/>
          </w:tcPr>
          <w:p w14:paraId="6C46689D"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102</w:t>
            </w:r>
          </w:p>
        </w:tc>
        <w:tc>
          <w:tcPr>
            <w:tcW w:w="0" w:type="auto"/>
            <w:hideMark/>
          </w:tcPr>
          <w:p w14:paraId="64284844"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0.15</w:t>
            </w:r>
          </w:p>
        </w:tc>
        <w:tc>
          <w:tcPr>
            <w:tcW w:w="0" w:type="auto"/>
            <w:hideMark/>
          </w:tcPr>
          <w:p w14:paraId="786954DB"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0.145</w:t>
            </w:r>
          </w:p>
        </w:tc>
        <w:tc>
          <w:tcPr>
            <w:tcW w:w="0" w:type="auto"/>
            <w:hideMark/>
          </w:tcPr>
          <w:p w14:paraId="7BE954EF"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0.197</w:t>
            </w:r>
          </w:p>
        </w:tc>
      </w:tr>
      <w:tr w:rsidR="003625A7" w:rsidRPr="00BB330F" w14:paraId="19081C71" w14:textId="77777777" w:rsidTr="00341AD1">
        <w:tc>
          <w:tcPr>
            <w:cnfStyle w:val="001000000000" w:firstRow="0" w:lastRow="0" w:firstColumn="1" w:lastColumn="0" w:oddVBand="0" w:evenVBand="0" w:oddHBand="0" w:evenHBand="0" w:firstRowFirstColumn="0" w:firstRowLastColumn="0" w:lastRowFirstColumn="0" w:lastRowLastColumn="0"/>
            <w:tcW w:w="0" w:type="auto"/>
            <w:hideMark/>
          </w:tcPr>
          <w:p w14:paraId="72D04D41" w14:textId="77777777" w:rsidR="003625A7" w:rsidRPr="00BB330F" w:rsidRDefault="003625A7" w:rsidP="00341AD1">
            <w:pPr>
              <w:rPr>
                <w:rFonts w:cs="Times New Roman"/>
                <w:color w:val="000000" w:themeColor="text1"/>
                <w:sz w:val="20"/>
                <w:szCs w:val="20"/>
              </w:rPr>
            </w:pPr>
            <w:r w:rsidRPr="00BB330F">
              <w:rPr>
                <w:rFonts w:cs="Times New Roman"/>
                <w:color w:val="000000" w:themeColor="text1"/>
                <w:sz w:val="20"/>
                <w:szCs w:val="20"/>
              </w:rPr>
              <w:t>Recovery</w:t>
            </w:r>
          </w:p>
        </w:tc>
        <w:tc>
          <w:tcPr>
            <w:tcW w:w="0" w:type="auto"/>
            <w:hideMark/>
          </w:tcPr>
          <w:p w14:paraId="3C30AE0D"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PCS Score</w:t>
            </w:r>
          </w:p>
        </w:tc>
        <w:tc>
          <w:tcPr>
            <w:tcW w:w="0" w:type="auto"/>
            <w:hideMark/>
          </w:tcPr>
          <w:p w14:paraId="3291F0BB"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96</w:t>
            </w:r>
          </w:p>
        </w:tc>
        <w:tc>
          <w:tcPr>
            <w:tcW w:w="0" w:type="auto"/>
            <w:hideMark/>
          </w:tcPr>
          <w:p w14:paraId="23CCFEC4"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-0.20</w:t>
            </w:r>
          </w:p>
        </w:tc>
        <w:tc>
          <w:tcPr>
            <w:tcW w:w="0" w:type="auto"/>
            <w:hideMark/>
          </w:tcPr>
          <w:p w14:paraId="0A566DF6"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0.057</w:t>
            </w:r>
          </w:p>
        </w:tc>
        <w:tc>
          <w:tcPr>
            <w:tcW w:w="0" w:type="auto"/>
            <w:hideMark/>
          </w:tcPr>
          <w:p w14:paraId="30C53828"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0.085</w:t>
            </w:r>
          </w:p>
        </w:tc>
      </w:tr>
      <w:tr w:rsidR="003625A7" w:rsidRPr="00BB330F" w14:paraId="56BFC8A7" w14:textId="77777777" w:rsidTr="00341AD1">
        <w:tc>
          <w:tcPr>
            <w:cnfStyle w:val="001000000000" w:firstRow="0" w:lastRow="0" w:firstColumn="1" w:lastColumn="0" w:oddVBand="0" w:evenVBand="0" w:oddHBand="0" w:evenHBand="0" w:firstRowFirstColumn="0" w:firstRowLastColumn="0" w:lastRowFirstColumn="0" w:lastRowLastColumn="0"/>
            <w:tcW w:w="0" w:type="auto"/>
            <w:hideMark/>
          </w:tcPr>
          <w:p w14:paraId="6737E095" w14:textId="77777777" w:rsidR="003625A7" w:rsidRPr="00BB330F" w:rsidRDefault="003625A7" w:rsidP="00341AD1">
            <w:pPr>
              <w:rPr>
                <w:rFonts w:cs="Times New Roman"/>
                <w:color w:val="000000" w:themeColor="text1"/>
                <w:sz w:val="20"/>
                <w:szCs w:val="20"/>
              </w:rPr>
            </w:pPr>
            <w:r w:rsidRPr="00BB330F">
              <w:rPr>
                <w:rFonts w:cs="Times New Roman"/>
                <w:color w:val="000000" w:themeColor="text1"/>
                <w:sz w:val="20"/>
                <w:szCs w:val="20"/>
              </w:rPr>
              <w:t>Fmean</w:t>
            </w:r>
          </w:p>
        </w:tc>
        <w:tc>
          <w:tcPr>
            <w:tcW w:w="0" w:type="auto"/>
            <w:hideMark/>
          </w:tcPr>
          <w:p w14:paraId="65AFA38C"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C19-YRS</w:t>
            </w:r>
          </w:p>
        </w:tc>
        <w:tc>
          <w:tcPr>
            <w:tcW w:w="0" w:type="auto"/>
            <w:hideMark/>
          </w:tcPr>
          <w:p w14:paraId="1E220F86"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92</w:t>
            </w:r>
          </w:p>
        </w:tc>
        <w:tc>
          <w:tcPr>
            <w:tcW w:w="0" w:type="auto"/>
            <w:hideMark/>
          </w:tcPr>
          <w:p w14:paraId="1BBA3D1B"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-0.30</w:t>
            </w:r>
          </w:p>
        </w:tc>
        <w:tc>
          <w:tcPr>
            <w:tcW w:w="0" w:type="auto"/>
            <w:hideMark/>
          </w:tcPr>
          <w:p w14:paraId="52C6FBD7"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b/>
                <w:bCs/>
                <w:color w:val="000000" w:themeColor="text1"/>
                <w:sz w:val="20"/>
                <w:szCs w:val="20"/>
              </w:rPr>
            </w:pPr>
            <w:r w:rsidRPr="00BB330F">
              <w:rPr>
                <w:rFonts w:cs="Times New Roman"/>
                <w:b/>
                <w:bCs/>
                <w:color w:val="000000" w:themeColor="text1"/>
                <w:sz w:val="20"/>
                <w:szCs w:val="20"/>
              </w:rPr>
              <w:t>0.004</w:t>
            </w:r>
          </w:p>
        </w:tc>
        <w:tc>
          <w:tcPr>
            <w:tcW w:w="0" w:type="auto"/>
            <w:hideMark/>
          </w:tcPr>
          <w:p w14:paraId="36B84870"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b/>
                <w:bCs/>
                <w:color w:val="000000" w:themeColor="text1"/>
                <w:sz w:val="20"/>
                <w:szCs w:val="20"/>
              </w:rPr>
            </w:pPr>
            <w:r w:rsidRPr="00BB330F">
              <w:rPr>
                <w:rFonts w:cs="Times New Roman"/>
                <w:b/>
                <w:bCs/>
                <w:color w:val="000000" w:themeColor="text1"/>
                <w:sz w:val="20"/>
                <w:szCs w:val="20"/>
              </w:rPr>
              <w:t>0.011</w:t>
            </w:r>
          </w:p>
        </w:tc>
      </w:tr>
      <w:tr w:rsidR="003625A7" w:rsidRPr="00BB330F" w14:paraId="35239067" w14:textId="77777777" w:rsidTr="00341AD1">
        <w:tc>
          <w:tcPr>
            <w:cnfStyle w:val="001000000000" w:firstRow="0" w:lastRow="0" w:firstColumn="1" w:lastColumn="0" w:oddVBand="0" w:evenVBand="0" w:oddHBand="0" w:evenHBand="0" w:firstRowFirstColumn="0" w:firstRowLastColumn="0" w:lastRowFirstColumn="0" w:lastRowLastColumn="0"/>
            <w:tcW w:w="0" w:type="auto"/>
            <w:hideMark/>
          </w:tcPr>
          <w:p w14:paraId="168191F3" w14:textId="77777777" w:rsidR="003625A7" w:rsidRPr="00BB330F" w:rsidRDefault="003625A7" w:rsidP="00341AD1">
            <w:pPr>
              <w:rPr>
                <w:rFonts w:cs="Times New Roman"/>
                <w:color w:val="000000" w:themeColor="text1"/>
                <w:sz w:val="20"/>
                <w:szCs w:val="20"/>
              </w:rPr>
            </w:pPr>
            <w:r w:rsidRPr="00BB330F">
              <w:rPr>
                <w:rFonts w:cs="Times New Roman"/>
                <w:color w:val="000000" w:themeColor="text1"/>
                <w:sz w:val="20"/>
                <w:szCs w:val="20"/>
              </w:rPr>
              <w:t>Fatigue Ratio</w:t>
            </w:r>
          </w:p>
        </w:tc>
        <w:tc>
          <w:tcPr>
            <w:tcW w:w="0" w:type="auto"/>
            <w:hideMark/>
          </w:tcPr>
          <w:p w14:paraId="03C8E49B"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C19-YRS</w:t>
            </w:r>
          </w:p>
        </w:tc>
        <w:tc>
          <w:tcPr>
            <w:tcW w:w="0" w:type="auto"/>
            <w:hideMark/>
          </w:tcPr>
          <w:p w14:paraId="4CF6D32B"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92</w:t>
            </w:r>
          </w:p>
        </w:tc>
        <w:tc>
          <w:tcPr>
            <w:tcW w:w="0" w:type="auto"/>
            <w:hideMark/>
          </w:tcPr>
          <w:p w14:paraId="340FEFB0"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0.31</w:t>
            </w:r>
          </w:p>
        </w:tc>
        <w:tc>
          <w:tcPr>
            <w:tcW w:w="0" w:type="auto"/>
            <w:hideMark/>
          </w:tcPr>
          <w:p w14:paraId="626B0F53"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b/>
                <w:bCs/>
                <w:color w:val="000000" w:themeColor="text1"/>
                <w:sz w:val="20"/>
                <w:szCs w:val="20"/>
              </w:rPr>
            </w:pPr>
            <w:r w:rsidRPr="00BB330F">
              <w:rPr>
                <w:rFonts w:cs="Times New Roman"/>
                <w:b/>
                <w:bCs/>
                <w:color w:val="000000" w:themeColor="text1"/>
                <w:sz w:val="20"/>
                <w:szCs w:val="20"/>
              </w:rPr>
              <w:t>0.003</w:t>
            </w:r>
          </w:p>
        </w:tc>
        <w:tc>
          <w:tcPr>
            <w:tcW w:w="0" w:type="auto"/>
            <w:hideMark/>
          </w:tcPr>
          <w:p w14:paraId="4037BB91"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b/>
                <w:bCs/>
                <w:color w:val="000000" w:themeColor="text1"/>
                <w:sz w:val="20"/>
                <w:szCs w:val="20"/>
              </w:rPr>
            </w:pPr>
            <w:r w:rsidRPr="00BB330F">
              <w:rPr>
                <w:rFonts w:cs="Times New Roman"/>
                <w:b/>
                <w:bCs/>
                <w:color w:val="000000" w:themeColor="text1"/>
                <w:sz w:val="20"/>
                <w:szCs w:val="20"/>
              </w:rPr>
              <w:t>0.011</w:t>
            </w:r>
          </w:p>
        </w:tc>
      </w:tr>
      <w:tr w:rsidR="003625A7" w:rsidRPr="00BB330F" w14:paraId="6E3E4BE5" w14:textId="77777777" w:rsidTr="00341AD1">
        <w:tc>
          <w:tcPr>
            <w:cnfStyle w:val="001000000000" w:firstRow="0" w:lastRow="0" w:firstColumn="1" w:lastColumn="0" w:oddVBand="0" w:evenVBand="0" w:oddHBand="0" w:evenHBand="0" w:firstRowFirstColumn="0" w:firstRowLastColumn="0" w:lastRowFirstColumn="0" w:lastRowLastColumn="0"/>
            <w:tcW w:w="0" w:type="auto"/>
            <w:hideMark/>
          </w:tcPr>
          <w:p w14:paraId="30679A62" w14:textId="77777777" w:rsidR="003625A7" w:rsidRPr="00BB330F" w:rsidRDefault="003625A7" w:rsidP="00341AD1">
            <w:pPr>
              <w:rPr>
                <w:rFonts w:cs="Times New Roman"/>
                <w:color w:val="000000" w:themeColor="text1"/>
                <w:sz w:val="20"/>
                <w:szCs w:val="20"/>
              </w:rPr>
            </w:pPr>
            <w:r w:rsidRPr="00BB330F">
              <w:rPr>
                <w:rFonts w:cs="Times New Roman"/>
                <w:color w:val="000000" w:themeColor="text1"/>
                <w:sz w:val="20"/>
                <w:szCs w:val="20"/>
              </w:rPr>
              <w:t>Recovery</w:t>
            </w:r>
          </w:p>
        </w:tc>
        <w:tc>
          <w:tcPr>
            <w:tcW w:w="0" w:type="auto"/>
            <w:hideMark/>
          </w:tcPr>
          <w:p w14:paraId="119A68B6"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C19-YRS</w:t>
            </w:r>
          </w:p>
        </w:tc>
        <w:tc>
          <w:tcPr>
            <w:tcW w:w="0" w:type="auto"/>
            <w:hideMark/>
          </w:tcPr>
          <w:p w14:paraId="6BAFD00D"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86</w:t>
            </w:r>
          </w:p>
        </w:tc>
        <w:tc>
          <w:tcPr>
            <w:tcW w:w="0" w:type="auto"/>
            <w:hideMark/>
          </w:tcPr>
          <w:p w14:paraId="52CD7CEE"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-0.28</w:t>
            </w:r>
          </w:p>
        </w:tc>
        <w:tc>
          <w:tcPr>
            <w:tcW w:w="0" w:type="auto"/>
            <w:hideMark/>
          </w:tcPr>
          <w:p w14:paraId="303E9A31"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b/>
                <w:bCs/>
                <w:color w:val="000000" w:themeColor="text1"/>
                <w:sz w:val="20"/>
                <w:szCs w:val="20"/>
              </w:rPr>
            </w:pPr>
            <w:r w:rsidRPr="00BB330F">
              <w:rPr>
                <w:rFonts w:cs="Times New Roman"/>
                <w:b/>
                <w:bCs/>
                <w:color w:val="000000" w:themeColor="text1"/>
                <w:sz w:val="20"/>
                <w:szCs w:val="20"/>
              </w:rPr>
              <w:t>0.009</w:t>
            </w:r>
          </w:p>
        </w:tc>
        <w:tc>
          <w:tcPr>
            <w:tcW w:w="0" w:type="auto"/>
            <w:hideMark/>
          </w:tcPr>
          <w:p w14:paraId="6CAE1A92"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b/>
                <w:bCs/>
                <w:color w:val="000000" w:themeColor="text1"/>
                <w:sz w:val="20"/>
                <w:szCs w:val="20"/>
              </w:rPr>
            </w:pPr>
            <w:r w:rsidRPr="00BB330F">
              <w:rPr>
                <w:rFonts w:cs="Times New Roman"/>
                <w:b/>
                <w:bCs/>
                <w:color w:val="000000" w:themeColor="text1"/>
                <w:sz w:val="20"/>
                <w:szCs w:val="20"/>
              </w:rPr>
              <w:t>0.017</w:t>
            </w:r>
          </w:p>
        </w:tc>
      </w:tr>
      <w:tr w:rsidR="003625A7" w:rsidRPr="00BB330F" w14:paraId="73ABD064" w14:textId="77777777" w:rsidTr="00341AD1">
        <w:tc>
          <w:tcPr>
            <w:cnfStyle w:val="001000000000" w:firstRow="0" w:lastRow="0" w:firstColumn="1" w:lastColumn="0" w:oddVBand="0" w:evenVBand="0" w:oddHBand="0" w:evenHBand="0" w:firstRowFirstColumn="0" w:firstRowLastColumn="0" w:lastRowFirstColumn="0" w:lastRowLastColumn="0"/>
            <w:tcW w:w="0" w:type="auto"/>
            <w:hideMark/>
          </w:tcPr>
          <w:p w14:paraId="66F28FF1" w14:textId="77777777" w:rsidR="003625A7" w:rsidRPr="00BB330F" w:rsidRDefault="003625A7" w:rsidP="00341AD1">
            <w:pPr>
              <w:rPr>
                <w:rFonts w:cs="Times New Roman"/>
                <w:color w:val="000000" w:themeColor="text1"/>
                <w:sz w:val="20"/>
                <w:szCs w:val="20"/>
              </w:rPr>
            </w:pPr>
            <w:r w:rsidRPr="00BB330F">
              <w:rPr>
                <w:rFonts w:cs="Times New Roman"/>
                <w:color w:val="000000" w:themeColor="text1"/>
                <w:sz w:val="20"/>
                <w:szCs w:val="20"/>
              </w:rPr>
              <w:t>Fmean</w:t>
            </w:r>
          </w:p>
        </w:tc>
        <w:tc>
          <w:tcPr>
            <w:tcW w:w="0" w:type="auto"/>
            <w:hideMark/>
          </w:tcPr>
          <w:p w14:paraId="02890538"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GAD7</w:t>
            </w:r>
          </w:p>
        </w:tc>
        <w:tc>
          <w:tcPr>
            <w:tcW w:w="0" w:type="auto"/>
            <w:hideMark/>
          </w:tcPr>
          <w:p w14:paraId="5D99E1B3"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100</w:t>
            </w:r>
          </w:p>
        </w:tc>
        <w:tc>
          <w:tcPr>
            <w:tcW w:w="0" w:type="auto"/>
            <w:hideMark/>
          </w:tcPr>
          <w:p w14:paraId="73747E3F"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-0.13</w:t>
            </w:r>
          </w:p>
        </w:tc>
        <w:tc>
          <w:tcPr>
            <w:tcW w:w="0" w:type="auto"/>
            <w:hideMark/>
          </w:tcPr>
          <w:p w14:paraId="571C2F25"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0.213</w:t>
            </w:r>
          </w:p>
        </w:tc>
        <w:tc>
          <w:tcPr>
            <w:tcW w:w="0" w:type="auto"/>
            <w:hideMark/>
          </w:tcPr>
          <w:p w14:paraId="6F498CCF"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0.246</w:t>
            </w:r>
          </w:p>
        </w:tc>
      </w:tr>
      <w:tr w:rsidR="003625A7" w:rsidRPr="00BB330F" w14:paraId="4D986137" w14:textId="77777777" w:rsidTr="00341AD1">
        <w:tc>
          <w:tcPr>
            <w:cnfStyle w:val="001000000000" w:firstRow="0" w:lastRow="0" w:firstColumn="1" w:lastColumn="0" w:oddVBand="0" w:evenVBand="0" w:oddHBand="0" w:evenHBand="0" w:firstRowFirstColumn="0" w:firstRowLastColumn="0" w:lastRowFirstColumn="0" w:lastRowLastColumn="0"/>
            <w:tcW w:w="0" w:type="auto"/>
            <w:hideMark/>
          </w:tcPr>
          <w:p w14:paraId="21667B73" w14:textId="77777777" w:rsidR="003625A7" w:rsidRPr="00BB330F" w:rsidRDefault="003625A7" w:rsidP="00341AD1">
            <w:pPr>
              <w:rPr>
                <w:rFonts w:cs="Times New Roman"/>
                <w:color w:val="000000" w:themeColor="text1"/>
                <w:sz w:val="20"/>
                <w:szCs w:val="20"/>
              </w:rPr>
            </w:pPr>
            <w:r w:rsidRPr="00BB330F">
              <w:rPr>
                <w:rFonts w:cs="Times New Roman"/>
                <w:color w:val="000000" w:themeColor="text1"/>
                <w:sz w:val="20"/>
                <w:szCs w:val="20"/>
              </w:rPr>
              <w:t>Fatigue Ratio</w:t>
            </w:r>
          </w:p>
        </w:tc>
        <w:tc>
          <w:tcPr>
            <w:tcW w:w="0" w:type="auto"/>
            <w:hideMark/>
          </w:tcPr>
          <w:p w14:paraId="739AACA3"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GAD7</w:t>
            </w:r>
          </w:p>
        </w:tc>
        <w:tc>
          <w:tcPr>
            <w:tcW w:w="0" w:type="auto"/>
            <w:hideMark/>
          </w:tcPr>
          <w:p w14:paraId="0FDDDC75"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100</w:t>
            </w:r>
          </w:p>
        </w:tc>
        <w:tc>
          <w:tcPr>
            <w:tcW w:w="0" w:type="auto"/>
            <w:hideMark/>
          </w:tcPr>
          <w:p w14:paraId="4D5F35EA"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0.11</w:t>
            </w:r>
          </w:p>
        </w:tc>
        <w:tc>
          <w:tcPr>
            <w:tcW w:w="0" w:type="auto"/>
            <w:hideMark/>
          </w:tcPr>
          <w:p w14:paraId="58A441CD"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0.288</w:t>
            </w:r>
          </w:p>
        </w:tc>
        <w:tc>
          <w:tcPr>
            <w:tcW w:w="0" w:type="auto"/>
            <w:hideMark/>
          </w:tcPr>
          <w:p w14:paraId="307D2F9D"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0.309</w:t>
            </w:r>
          </w:p>
        </w:tc>
      </w:tr>
      <w:tr w:rsidR="003625A7" w:rsidRPr="00BB330F" w14:paraId="10F49CEE" w14:textId="77777777" w:rsidTr="00341AD1">
        <w:tc>
          <w:tcPr>
            <w:cnfStyle w:val="001000000000" w:firstRow="0" w:lastRow="0" w:firstColumn="1" w:lastColumn="0" w:oddVBand="0" w:evenVBand="0" w:oddHBand="0" w:evenHBand="0" w:firstRowFirstColumn="0" w:firstRowLastColumn="0" w:lastRowFirstColumn="0" w:lastRowLastColumn="0"/>
            <w:tcW w:w="0" w:type="auto"/>
            <w:hideMark/>
          </w:tcPr>
          <w:p w14:paraId="69D66A3F" w14:textId="77777777" w:rsidR="003625A7" w:rsidRPr="00BB330F" w:rsidRDefault="003625A7" w:rsidP="00341AD1">
            <w:pPr>
              <w:rPr>
                <w:rFonts w:cs="Times New Roman"/>
                <w:color w:val="000000" w:themeColor="text1"/>
                <w:sz w:val="20"/>
                <w:szCs w:val="20"/>
              </w:rPr>
            </w:pPr>
            <w:r w:rsidRPr="00BB330F">
              <w:rPr>
                <w:rFonts w:cs="Times New Roman"/>
                <w:color w:val="000000" w:themeColor="text1"/>
                <w:sz w:val="20"/>
                <w:szCs w:val="20"/>
              </w:rPr>
              <w:t>Recovery</w:t>
            </w:r>
          </w:p>
        </w:tc>
        <w:tc>
          <w:tcPr>
            <w:tcW w:w="0" w:type="auto"/>
            <w:hideMark/>
          </w:tcPr>
          <w:p w14:paraId="61B6E8F9"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GAD7</w:t>
            </w:r>
          </w:p>
        </w:tc>
        <w:tc>
          <w:tcPr>
            <w:tcW w:w="0" w:type="auto"/>
            <w:hideMark/>
          </w:tcPr>
          <w:p w14:paraId="41147C7D"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94</w:t>
            </w:r>
          </w:p>
        </w:tc>
        <w:tc>
          <w:tcPr>
            <w:tcW w:w="0" w:type="auto"/>
            <w:hideMark/>
          </w:tcPr>
          <w:p w14:paraId="49F88DB1"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-0.13</w:t>
            </w:r>
          </w:p>
        </w:tc>
        <w:tc>
          <w:tcPr>
            <w:tcW w:w="0" w:type="auto"/>
            <w:hideMark/>
          </w:tcPr>
          <w:p w14:paraId="5F60A7AD"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0.200</w:t>
            </w:r>
          </w:p>
        </w:tc>
        <w:tc>
          <w:tcPr>
            <w:tcW w:w="0" w:type="auto"/>
            <w:hideMark/>
          </w:tcPr>
          <w:p w14:paraId="1A0D72AA"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0.246</w:t>
            </w:r>
          </w:p>
        </w:tc>
      </w:tr>
      <w:tr w:rsidR="003625A7" w:rsidRPr="00BB330F" w14:paraId="3B536F7C" w14:textId="77777777" w:rsidTr="00341AD1">
        <w:tc>
          <w:tcPr>
            <w:cnfStyle w:val="001000000000" w:firstRow="0" w:lastRow="0" w:firstColumn="1" w:lastColumn="0" w:oddVBand="0" w:evenVBand="0" w:oddHBand="0" w:evenHBand="0" w:firstRowFirstColumn="0" w:firstRowLastColumn="0" w:lastRowFirstColumn="0" w:lastRowLastColumn="0"/>
            <w:tcW w:w="0" w:type="auto"/>
            <w:hideMark/>
          </w:tcPr>
          <w:p w14:paraId="133520A5" w14:textId="77777777" w:rsidR="003625A7" w:rsidRPr="00BB330F" w:rsidRDefault="003625A7" w:rsidP="00341AD1">
            <w:pPr>
              <w:rPr>
                <w:rFonts w:cs="Times New Roman"/>
                <w:color w:val="000000" w:themeColor="text1"/>
                <w:sz w:val="20"/>
                <w:szCs w:val="20"/>
              </w:rPr>
            </w:pPr>
            <w:r w:rsidRPr="00BB330F">
              <w:rPr>
                <w:rFonts w:cs="Times New Roman"/>
                <w:color w:val="000000" w:themeColor="text1"/>
                <w:sz w:val="20"/>
                <w:szCs w:val="20"/>
              </w:rPr>
              <w:t>Fmean</w:t>
            </w:r>
          </w:p>
        </w:tc>
        <w:tc>
          <w:tcPr>
            <w:tcW w:w="0" w:type="auto"/>
            <w:hideMark/>
          </w:tcPr>
          <w:p w14:paraId="783206AC"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PHQ9</w:t>
            </w:r>
          </w:p>
        </w:tc>
        <w:tc>
          <w:tcPr>
            <w:tcW w:w="0" w:type="auto"/>
            <w:hideMark/>
          </w:tcPr>
          <w:p w14:paraId="3236DF2F"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100</w:t>
            </w:r>
          </w:p>
        </w:tc>
        <w:tc>
          <w:tcPr>
            <w:tcW w:w="0" w:type="auto"/>
            <w:hideMark/>
          </w:tcPr>
          <w:p w14:paraId="7E1CDAB9"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-0.30</w:t>
            </w:r>
          </w:p>
        </w:tc>
        <w:tc>
          <w:tcPr>
            <w:tcW w:w="0" w:type="auto"/>
            <w:hideMark/>
          </w:tcPr>
          <w:p w14:paraId="33FFE471"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b/>
                <w:bCs/>
                <w:color w:val="000000" w:themeColor="text1"/>
                <w:sz w:val="20"/>
                <w:szCs w:val="20"/>
              </w:rPr>
            </w:pPr>
            <w:r w:rsidRPr="00BB330F">
              <w:rPr>
                <w:rFonts w:cs="Times New Roman"/>
                <w:b/>
                <w:bCs/>
                <w:color w:val="000000" w:themeColor="text1"/>
                <w:sz w:val="20"/>
                <w:szCs w:val="20"/>
              </w:rPr>
              <w:t>0.002</w:t>
            </w:r>
          </w:p>
        </w:tc>
        <w:tc>
          <w:tcPr>
            <w:tcW w:w="0" w:type="auto"/>
            <w:hideMark/>
          </w:tcPr>
          <w:p w14:paraId="7AEB98D7"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b/>
                <w:bCs/>
                <w:color w:val="000000" w:themeColor="text1"/>
                <w:sz w:val="20"/>
                <w:szCs w:val="20"/>
              </w:rPr>
            </w:pPr>
            <w:r w:rsidRPr="00BB330F">
              <w:rPr>
                <w:rFonts w:cs="Times New Roman"/>
                <w:b/>
                <w:bCs/>
                <w:color w:val="000000" w:themeColor="text1"/>
                <w:sz w:val="20"/>
                <w:szCs w:val="20"/>
              </w:rPr>
              <w:t>0.011</w:t>
            </w:r>
          </w:p>
        </w:tc>
      </w:tr>
      <w:tr w:rsidR="003625A7" w:rsidRPr="00BB330F" w14:paraId="0C47369B" w14:textId="77777777" w:rsidTr="00341AD1">
        <w:tc>
          <w:tcPr>
            <w:cnfStyle w:val="001000000000" w:firstRow="0" w:lastRow="0" w:firstColumn="1" w:lastColumn="0" w:oddVBand="0" w:evenVBand="0" w:oddHBand="0" w:evenHBand="0" w:firstRowFirstColumn="0" w:firstRowLastColumn="0" w:lastRowFirstColumn="0" w:lastRowLastColumn="0"/>
            <w:tcW w:w="0" w:type="auto"/>
            <w:hideMark/>
          </w:tcPr>
          <w:p w14:paraId="0AE8B9CC" w14:textId="77777777" w:rsidR="003625A7" w:rsidRPr="00BB330F" w:rsidRDefault="003625A7" w:rsidP="00341AD1">
            <w:pPr>
              <w:rPr>
                <w:rFonts w:cs="Times New Roman"/>
                <w:color w:val="000000" w:themeColor="text1"/>
                <w:sz w:val="20"/>
                <w:szCs w:val="20"/>
              </w:rPr>
            </w:pPr>
            <w:r w:rsidRPr="00BB330F">
              <w:rPr>
                <w:rFonts w:cs="Times New Roman"/>
                <w:color w:val="000000" w:themeColor="text1"/>
                <w:sz w:val="20"/>
                <w:szCs w:val="20"/>
              </w:rPr>
              <w:t>Fatigue Ratio</w:t>
            </w:r>
          </w:p>
        </w:tc>
        <w:tc>
          <w:tcPr>
            <w:tcW w:w="0" w:type="auto"/>
            <w:hideMark/>
          </w:tcPr>
          <w:p w14:paraId="1D2C811B"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PHQ9</w:t>
            </w:r>
          </w:p>
        </w:tc>
        <w:tc>
          <w:tcPr>
            <w:tcW w:w="0" w:type="auto"/>
            <w:hideMark/>
          </w:tcPr>
          <w:p w14:paraId="4F61B2E9"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100</w:t>
            </w:r>
          </w:p>
        </w:tc>
        <w:tc>
          <w:tcPr>
            <w:tcW w:w="0" w:type="auto"/>
            <w:hideMark/>
          </w:tcPr>
          <w:p w14:paraId="72198722"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0.26</w:t>
            </w:r>
          </w:p>
        </w:tc>
        <w:tc>
          <w:tcPr>
            <w:tcW w:w="0" w:type="auto"/>
            <w:hideMark/>
          </w:tcPr>
          <w:p w14:paraId="5862122B"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b/>
                <w:bCs/>
                <w:color w:val="000000" w:themeColor="text1"/>
                <w:sz w:val="20"/>
                <w:szCs w:val="20"/>
              </w:rPr>
            </w:pPr>
            <w:r w:rsidRPr="00BB330F">
              <w:rPr>
                <w:rFonts w:cs="Times New Roman"/>
                <w:b/>
                <w:bCs/>
                <w:color w:val="000000" w:themeColor="text1"/>
                <w:sz w:val="20"/>
                <w:szCs w:val="20"/>
              </w:rPr>
              <w:t>0.009</w:t>
            </w:r>
          </w:p>
        </w:tc>
        <w:tc>
          <w:tcPr>
            <w:tcW w:w="0" w:type="auto"/>
            <w:hideMark/>
          </w:tcPr>
          <w:p w14:paraId="455FEE56"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b/>
                <w:bCs/>
                <w:color w:val="000000" w:themeColor="text1"/>
                <w:sz w:val="20"/>
                <w:szCs w:val="20"/>
              </w:rPr>
            </w:pPr>
            <w:r w:rsidRPr="00BB330F">
              <w:rPr>
                <w:rFonts w:cs="Times New Roman"/>
                <w:b/>
                <w:bCs/>
                <w:color w:val="000000" w:themeColor="text1"/>
                <w:sz w:val="20"/>
                <w:szCs w:val="20"/>
              </w:rPr>
              <w:t>0.017</w:t>
            </w:r>
          </w:p>
        </w:tc>
      </w:tr>
      <w:tr w:rsidR="003625A7" w:rsidRPr="00BB330F" w14:paraId="03EB9885" w14:textId="77777777" w:rsidTr="00341AD1">
        <w:tc>
          <w:tcPr>
            <w:cnfStyle w:val="001000000000" w:firstRow="0" w:lastRow="0" w:firstColumn="1" w:lastColumn="0" w:oddVBand="0" w:evenVBand="0" w:oddHBand="0" w:evenHBand="0" w:firstRowFirstColumn="0" w:firstRowLastColumn="0" w:lastRowFirstColumn="0" w:lastRowLastColumn="0"/>
            <w:tcW w:w="0" w:type="auto"/>
            <w:hideMark/>
          </w:tcPr>
          <w:p w14:paraId="23069839" w14:textId="77777777" w:rsidR="003625A7" w:rsidRPr="00BB330F" w:rsidRDefault="003625A7" w:rsidP="00341AD1">
            <w:pPr>
              <w:rPr>
                <w:rFonts w:cs="Times New Roman"/>
                <w:color w:val="000000" w:themeColor="text1"/>
                <w:sz w:val="20"/>
                <w:szCs w:val="20"/>
              </w:rPr>
            </w:pPr>
            <w:r w:rsidRPr="00BB330F">
              <w:rPr>
                <w:rFonts w:cs="Times New Roman"/>
                <w:color w:val="000000" w:themeColor="text1"/>
                <w:sz w:val="20"/>
                <w:szCs w:val="20"/>
              </w:rPr>
              <w:lastRenderedPageBreak/>
              <w:t>Recovery</w:t>
            </w:r>
          </w:p>
        </w:tc>
        <w:tc>
          <w:tcPr>
            <w:tcW w:w="0" w:type="auto"/>
            <w:hideMark/>
          </w:tcPr>
          <w:p w14:paraId="4F0A9A39"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PHQ9</w:t>
            </w:r>
          </w:p>
        </w:tc>
        <w:tc>
          <w:tcPr>
            <w:tcW w:w="0" w:type="auto"/>
            <w:hideMark/>
          </w:tcPr>
          <w:p w14:paraId="64CB5C8A"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94</w:t>
            </w:r>
          </w:p>
        </w:tc>
        <w:tc>
          <w:tcPr>
            <w:tcW w:w="0" w:type="auto"/>
            <w:hideMark/>
          </w:tcPr>
          <w:p w14:paraId="68AA002F"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-0.20</w:t>
            </w:r>
          </w:p>
        </w:tc>
        <w:tc>
          <w:tcPr>
            <w:tcW w:w="0" w:type="auto"/>
            <w:hideMark/>
          </w:tcPr>
          <w:p w14:paraId="5CD5F40C"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0.053</w:t>
            </w:r>
          </w:p>
        </w:tc>
        <w:tc>
          <w:tcPr>
            <w:tcW w:w="0" w:type="auto"/>
            <w:hideMark/>
          </w:tcPr>
          <w:p w14:paraId="17005C8F"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0.085</w:t>
            </w:r>
          </w:p>
        </w:tc>
      </w:tr>
      <w:tr w:rsidR="003625A7" w:rsidRPr="00BB330F" w14:paraId="66B389E5" w14:textId="77777777" w:rsidTr="00341AD1">
        <w:tc>
          <w:tcPr>
            <w:cnfStyle w:val="001000000000" w:firstRow="0" w:lastRow="0" w:firstColumn="1" w:lastColumn="0" w:oddVBand="0" w:evenVBand="0" w:oddHBand="0" w:evenHBand="0" w:firstRowFirstColumn="0" w:firstRowLastColumn="0" w:lastRowFirstColumn="0" w:lastRowLastColumn="0"/>
            <w:tcW w:w="0" w:type="auto"/>
            <w:hideMark/>
          </w:tcPr>
          <w:p w14:paraId="0046CD22" w14:textId="77777777" w:rsidR="003625A7" w:rsidRPr="00BB330F" w:rsidRDefault="003625A7" w:rsidP="00341AD1">
            <w:pPr>
              <w:rPr>
                <w:rFonts w:cs="Times New Roman"/>
                <w:color w:val="000000" w:themeColor="text1"/>
                <w:sz w:val="20"/>
                <w:szCs w:val="20"/>
              </w:rPr>
            </w:pPr>
            <w:r w:rsidRPr="00BB330F">
              <w:rPr>
                <w:rFonts w:cs="Times New Roman"/>
                <w:color w:val="000000" w:themeColor="text1"/>
                <w:sz w:val="20"/>
                <w:szCs w:val="20"/>
              </w:rPr>
              <w:t>Fmean</w:t>
            </w:r>
          </w:p>
        </w:tc>
        <w:tc>
          <w:tcPr>
            <w:tcW w:w="0" w:type="auto"/>
            <w:hideMark/>
          </w:tcPr>
          <w:p w14:paraId="37384846"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FSS</w:t>
            </w:r>
          </w:p>
        </w:tc>
        <w:tc>
          <w:tcPr>
            <w:tcW w:w="0" w:type="auto"/>
            <w:hideMark/>
          </w:tcPr>
          <w:p w14:paraId="053984BE"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101</w:t>
            </w:r>
          </w:p>
        </w:tc>
        <w:tc>
          <w:tcPr>
            <w:tcW w:w="0" w:type="auto"/>
            <w:hideMark/>
          </w:tcPr>
          <w:p w14:paraId="0AA630B0"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-0.31</w:t>
            </w:r>
          </w:p>
        </w:tc>
        <w:tc>
          <w:tcPr>
            <w:tcW w:w="0" w:type="auto"/>
            <w:hideMark/>
          </w:tcPr>
          <w:p w14:paraId="24A6843D"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b/>
                <w:bCs/>
                <w:color w:val="000000" w:themeColor="text1"/>
                <w:sz w:val="20"/>
                <w:szCs w:val="20"/>
              </w:rPr>
            </w:pPr>
            <w:r w:rsidRPr="00BB330F">
              <w:rPr>
                <w:rFonts w:cs="Times New Roman"/>
                <w:b/>
                <w:bCs/>
                <w:color w:val="000000" w:themeColor="text1"/>
                <w:sz w:val="20"/>
                <w:szCs w:val="20"/>
              </w:rPr>
              <w:t>0.001</w:t>
            </w:r>
          </w:p>
        </w:tc>
        <w:tc>
          <w:tcPr>
            <w:tcW w:w="0" w:type="auto"/>
            <w:hideMark/>
          </w:tcPr>
          <w:p w14:paraId="232BE9C2"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b/>
                <w:bCs/>
                <w:color w:val="000000" w:themeColor="text1"/>
                <w:sz w:val="20"/>
                <w:szCs w:val="20"/>
              </w:rPr>
            </w:pPr>
            <w:r w:rsidRPr="00BB330F">
              <w:rPr>
                <w:rFonts w:cs="Times New Roman"/>
                <w:b/>
                <w:bCs/>
                <w:color w:val="000000" w:themeColor="text1"/>
                <w:sz w:val="20"/>
                <w:szCs w:val="20"/>
              </w:rPr>
              <w:t>0.011</w:t>
            </w:r>
          </w:p>
        </w:tc>
      </w:tr>
      <w:tr w:rsidR="003625A7" w:rsidRPr="00BB330F" w14:paraId="4AF338AA" w14:textId="77777777" w:rsidTr="00341AD1">
        <w:tc>
          <w:tcPr>
            <w:cnfStyle w:val="001000000000" w:firstRow="0" w:lastRow="0" w:firstColumn="1" w:lastColumn="0" w:oddVBand="0" w:evenVBand="0" w:oddHBand="0" w:evenHBand="0" w:firstRowFirstColumn="0" w:firstRowLastColumn="0" w:lastRowFirstColumn="0" w:lastRowLastColumn="0"/>
            <w:tcW w:w="0" w:type="auto"/>
            <w:hideMark/>
          </w:tcPr>
          <w:p w14:paraId="10BE0EE7" w14:textId="77777777" w:rsidR="003625A7" w:rsidRPr="00BB330F" w:rsidRDefault="003625A7" w:rsidP="00341AD1">
            <w:pPr>
              <w:rPr>
                <w:rFonts w:cs="Times New Roman"/>
                <w:color w:val="000000" w:themeColor="text1"/>
                <w:sz w:val="20"/>
                <w:szCs w:val="20"/>
              </w:rPr>
            </w:pPr>
            <w:r w:rsidRPr="00BB330F">
              <w:rPr>
                <w:rFonts w:cs="Times New Roman"/>
                <w:color w:val="000000" w:themeColor="text1"/>
                <w:sz w:val="20"/>
                <w:szCs w:val="20"/>
              </w:rPr>
              <w:t>Fatigue Ratio</w:t>
            </w:r>
          </w:p>
        </w:tc>
        <w:tc>
          <w:tcPr>
            <w:tcW w:w="0" w:type="auto"/>
            <w:hideMark/>
          </w:tcPr>
          <w:p w14:paraId="664E7F4B"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FSS</w:t>
            </w:r>
          </w:p>
        </w:tc>
        <w:tc>
          <w:tcPr>
            <w:tcW w:w="0" w:type="auto"/>
            <w:hideMark/>
          </w:tcPr>
          <w:p w14:paraId="6C76561B"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101</w:t>
            </w:r>
          </w:p>
        </w:tc>
        <w:tc>
          <w:tcPr>
            <w:tcW w:w="0" w:type="auto"/>
            <w:hideMark/>
          </w:tcPr>
          <w:p w14:paraId="12D23F4D"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0.35</w:t>
            </w:r>
          </w:p>
        </w:tc>
        <w:tc>
          <w:tcPr>
            <w:tcW w:w="0" w:type="auto"/>
            <w:hideMark/>
          </w:tcPr>
          <w:p w14:paraId="26D31942"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b/>
                <w:bCs/>
                <w:color w:val="000000" w:themeColor="text1"/>
                <w:sz w:val="20"/>
                <w:szCs w:val="20"/>
              </w:rPr>
            </w:pPr>
            <w:r w:rsidRPr="00BB330F">
              <w:rPr>
                <w:rFonts w:cs="Times New Roman"/>
                <w:b/>
                <w:bCs/>
                <w:color w:val="000000" w:themeColor="text1"/>
                <w:sz w:val="20"/>
                <w:szCs w:val="20"/>
              </w:rPr>
              <w:t>&lt;0.001</w:t>
            </w:r>
          </w:p>
        </w:tc>
        <w:tc>
          <w:tcPr>
            <w:tcW w:w="0" w:type="auto"/>
            <w:hideMark/>
          </w:tcPr>
          <w:p w14:paraId="0B7CB9DE"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b/>
                <w:bCs/>
                <w:color w:val="000000" w:themeColor="text1"/>
                <w:sz w:val="20"/>
                <w:szCs w:val="20"/>
              </w:rPr>
            </w:pPr>
            <w:r w:rsidRPr="00BB330F">
              <w:rPr>
                <w:rFonts w:cs="Times New Roman"/>
                <w:b/>
                <w:bCs/>
                <w:color w:val="000000" w:themeColor="text1"/>
                <w:sz w:val="20"/>
                <w:szCs w:val="20"/>
              </w:rPr>
              <w:t>0.005</w:t>
            </w:r>
          </w:p>
        </w:tc>
      </w:tr>
      <w:tr w:rsidR="003625A7" w:rsidRPr="00BB330F" w14:paraId="68DE9E8E" w14:textId="77777777" w:rsidTr="00341AD1">
        <w:tc>
          <w:tcPr>
            <w:cnfStyle w:val="001000000000" w:firstRow="0" w:lastRow="0" w:firstColumn="1" w:lastColumn="0" w:oddVBand="0" w:evenVBand="0" w:oddHBand="0" w:evenHBand="0" w:firstRowFirstColumn="0" w:firstRowLastColumn="0" w:lastRowFirstColumn="0" w:lastRowLastColumn="0"/>
            <w:tcW w:w="0" w:type="auto"/>
            <w:hideMark/>
          </w:tcPr>
          <w:p w14:paraId="6FD1A261" w14:textId="77777777" w:rsidR="003625A7" w:rsidRPr="00BB330F" w:rsidRDefault="003625A7" w:rsidP="00341AD1">
            <w:pPr>
              <w:rPr>
                <w:rFonts w:cs="Times New Roman"/>
                <w:color w:val="000000" w:themeColor="text1"/>
                <w:sz w:val="20"/>
                <w:szCs w:val="20"/>
              </w:rPr>
            </w:pPr>
            <w:r w:rsidRPr="00BB330F">
              <w:rPr>
                <w:rFonts w:cs="Times New Roman"/>
                <w:color w:val="000000" w:themeColor="text1"/>
                <w:sz w:val="20"/>
                <w:szCs w:val="20"/>
              </w:rPr>
              <w:t>Recovery</w:t>
            </w:r>
          </w:p>
        </w:tc>
        <w:tc>
          <w:tcPr>
            <w:tcW w:w="0" w:type="auto"/>
            <w:hideMark/>
          </w:tcPr>
          <w:p w14:paraId="584F4E29"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FSS</w:t>
            </w:r>
          </w:p>
        </w:tc>
        <w:tc>
          <w:tcPr>
            <w:tcW w:w="0" w:type="auto"/>
            <w:hideMark/>
          </w:tcPr>
          <w:p w14:paraId="75765C86"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95</w:t>
            </w:r>
          </w:p>
        </w:tc>
        <w:tc>
          <w:tcPr>
            <w:tcW w:w="0" w:type="auto"/>
            <w:hideMark/>
          </w:tcPr>
          <w:p w14:paraId="58C87485"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-0.05</w:t>
            </w:r>
          </w:p>
        </w:tc>
        <w:tc>
          <w:tcPr>
            <w:tcW w:w="0" w:type="auto"/>
            <w:hideMark/>
          </w:tcPr>
          <w:p w14:paraId="1D2AE51D"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0.610</w:t>
            </w:r>
          </w:p>
        </w:tc>
        <w:tc>
          <w:tcPr>
            <w:tcW w:w="0" w:type="auto"/>
            <w:hideMark/>
          </w:tcPr>
          <w:p w14:paraId="11A4585D"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0.610</w:t>
            </w:r>
          </w:p>
        </w:tc>
      </w:tr>
      <w:tr w:rsidR="003625A7" w:rsidRPr="00BB330F" w14:paraId="1F541EAC" w14:textId="77777777" w:rsidTr="00341AD1">
        <w:tc>
          <w:tcPr>
            <w:cnfStyle w:val="001000000000" w:firstRow="0" w:lastRow="0" w:firstColumn="1" w:lastColumn="0" w:oddVBand="0" w:evenVBand="0" w:oddHBand="0" w:evenHBand="0" w:firstRowFirstColumn="0" w:firstRowLastColumn="0" w:lastRowFirstColumn="0" w:lastRowLastColumn="0"/>
            <w:tcW w:w="9006" w:type="dxa"/>
            <w:gridSpan w:val="6"/>
          </w:tcPr>
          <w:p w14:paraId="3F75A552" w14:textId="77777777" w:rsidR="003625A7" w:rsidRPr="00BB330F" w:rsidRDefault="003625A7" w:rsidP="00341AD1">
            <w:pPr>
              <w:jc w:val="center"/>
              <w:rPr>
                <w:rFonts w:cs="Times New Roman"/>
                <w:color w:val="000000" w:themeColor="text1"/>
                <w:sz w:val="20"/>
                <w:szCs w:val="20"/>
              </w:rPr>
            </w:pPr>
            <w:r w:rsidRPr="00BB330F">
              <w:rPr>
                <w:rFonts w:cs="Times New Roman"/>
                <w:color w:val="000000" w:themeColor="text1"/>
                <w:sz w:val="20"/>
                <w:szCs w:val="20"/>
              </w:rPr>
              <w:t>FU</w:t>
            </w:r>
          </w:p>
        </w:tc>
      </w:tr>
      <w:tr w:rsidR="003625A7" w:rsidRPr="00BB330F" w14:paraId="488BC88C" w14:textId="77777777" w:rsidTr="00341AD1">
        <w:tc>
          <w:tcPr>
            <w:cnfStyle w:val="001000000000" w:firstRow="0" w:lastRow="0" w:firstColumn="1" w:lastColumn="0" w:oddVBand="0" w:evenVBand="0" w:oddHBand="0" w:evenHBand="0" w:firstRowFirstColumn="0" w:firstRowLastColumn="0" w:lastRowFirstColumn="0" w:lastRowLastColumn="0"/>
            <w:tcW w:w="0" w:type="auto"/>
            <w:hideMark/>
          </w:tcPr>
          <w:p w14:paraId="792964D4" w14:textId="77777777" w:rsidR="003625A7" w:rsidRPr="00BB330F" w:rsidRDefault="003625A7" w:rsidP="00341AD1">
            <w:pPr>
              <w:rPr>
                <w:rFonts w:cs="Times New Roman"/>
                <w:color w:val="000000" w:themeColor="text1"/>
                <w:sz w:val="20"/>
                <w:szCs w:val="20"/>
              </w:rPr>
            </w:pPr>
            <w:r w:rsidRPr="00BB330F">
              <w:rPr>
                <w:rFonts w:cs="Times New Roman"/>
                <w:color w:val="000000" w:themeColor="text1"/>
                <w:sz w:val="20"/>
                <w:szCs w:val="20"/>
              </w:rPr>
              <w:t>Fmean</w:t>
            </w:r>
          </w:p>
        </w:tc>
        <w:tc>
          <w:tcPr>
            <w:tcW w:w="0" w:type="auto"/>
            <w:hideMark/>
          </w:tcPr>
          <w:p w14:paraId="440E09A2"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PCS Score</w:t>
            </w:r>
          </w:p>
        </w:tc>
        <w:tc>
          <w:tcPr>
            <w:tcW w:w="0" w:type="auto"/>
            <w:hideMark/>
          </w:tcPr>
          <w:p w14:paraId="699465FD"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82</w:t>
            </w:r>
          </w:p>
        </w:tc>
        <w:tc>
          <w:tcPr>
            <w:tcW w:w="0" w:type="auto"/>
            <w:hideMark/>
          </w:tcPr>
          <w:p w14:paraId="7D198874"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-0.33</w:t>
            </w:r>
          </w:p>
        </w:tc>
        <w:tc>
          <w:tcPr>
            <w:tcW w:w="0" w:type="auto"/>
            <w:hideMark/>
          </w:tcPr>
          <w:p w14:paraId="5794B968"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b/>
                <w:bCs/>
                <w:color w:val="000000" w:themeColor="text1"/>
                <w:sz w:val="20"/>
                <w:szCs w:val="20"/>
              </w:rPr>
            </w:pPr>
            <w:r w:rsidRPr="00BB330F">
              <w:rPr>
                <w:rFonts w:cs="Times New Roman"/>
                <w:b/>
                <w:bCs/>
                <w:color w:val="000000" w:themeColor="text1"/>
                <w:sz w:val="20"/>
                <w:szCs w:val="20"/>
              </w:rPr>
              <w:t>0.003</w:t>
            </w:r>
          </w:p>
        </w:tc>
        <w:tc>
          <w:tcPr>
            <w:tcW w:w="0" w:type="auto"/>
            <w:hideMark/>
          </w:tcPr>
          <w:p w14:paraId="7F99C0F1"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0.039</w:t>
            </w:r>
          </w:p>
        </w:tc>
      </w:tr>
      <w:tr w:rsidR="003625A7" w:rsidRPr="00BB330F" w14:paraId="4606A3F2" w14:textId="77777777" w:rsidTr="00341AD1">
        <w:tc>
          <w:tcPr>
            <w:cnfStyle w:val="001000000000" w:firstRow="0" w:lastRow="0" w:firstColumn="1" w:lastColumn="0" w:oddVBand="0" w:evenVBand="0" w:oddHBand="0" w:evenHBand="0" w:firstRowFirstColumn="0" w:firstRowLastColumn="0" w:lastRowFirstColumn="0" w:lastRowLastColumn="0"/>
            <w:tcW w:w="0" w:type="auto"/>
            <w:hideMark/>
          </w:tcPr>
          <w:p w14:paraId="35998B63" w14:textId="77777777" w:rsidR="003625A7" w:rsidRPr="00BB330F" w:rsidRDefault="003625A7" w:rsidP="00341AD1">
            <w:pPr>
              <w:rPr>
                <w:rFonts w:cs="Times New Roman"/>
                <w:color w:val="000000" w:themeColor="text1"/>
                <w:sz w:val="20"/>
                <w:szCs w:val="20"/>
              </w:rPr>
            </w:pPr>
            <w:r w:rsidRPr="00BB330F">
              <w:rPr>
                <w:rFonts w:cs="Times New Roman"/>
                <w:color w:val="000000" w:themeColor="text1"/>
                <w:sz w:val="20"/>
                <w:szCs w:val="20"/>
              </w:rPr>
              <w:t>Fatigue Ratio</w:t>
            </w:r>
          </w:p>
        </w:tc>
        <w:tc>
          <w:tcPr>
            <w:tcW w:w="0" w:type="auto"/>
            <w:hideMark/>
          </w:tcPr>
          <w:p w14:paraId="5E85175A"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PCS Score</w:t>
            </w:r>
          </w:p>
        </w:tc>
        <w:tc>
          <w:tcPr>
            <w:tcW w:w="0" w:type="auto"/>
            <w:hideMark/>
          </w:tcPr>
          <w:p w14:paraId="32DDAEFD"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82</w:t>
            </w:r>
          </w:p>
        </w:tc>
        <w:tc>
          <w:tcPr>
            <w:tcW w:w="0" w:type="auto"/>
            <w:hideMark/>
          </w:tcPr>
          <w:p w14:paraId="7D8EEAD6"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0.11</w:t>
            </w:r>
          </w:p>
        </w:tc>
        <w:tc>
          <w:tcPr>
            <w:tcW w:w="0" w:type="auto"/>
            <w:hideMark/>
          </w:tcPr>
          <w:p w14:paraId="6ED40628"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0.344</w:t>
            </w:r>
          </w:p>
        </w:tc>
        <w:tc>
          <w:tcPr>
            <w:tcW w:w="0" w:type="auto"/>
            <w:hideMark/>
          </w:tcPr>
          <w:p w14:paraId="56FD1475"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0.430</w:t>
            </w:r>
          </w:p>
        </w:tc>
      </w:tr>
      <w:tr w:rsidR="003625A7" w:rsidRPr="00BB330F" w14:paraId="07DB5D2A" w14:textId="77777777" w:rsidTr="00341AD1">
        <w:tc>
          <w:tcPr>
            <w:cnfStyle w:val="001000000000" w:firstRow="0" w:lastRow="0" w:firstColumn="1" w:lastColumn="0" w:oddVBand="0" w:evenVBand="0" w:oddHBand="0" w:evenHBand="0" w:firstRowFirstColumn="0" w:firstRowLastColumn="0" w:lastRowFirstColumn="0" w:lastRowLastColumn="0"/>
            <w:tcW w:w="0" w:type="auto"/>
            <w:hideMark/>
          </w:tcPr>
          <w:p w14:paraId="07CC53C8" w14:textId="77777777" w:rsidR="003625A7" w:rsidRPr="00BB330F" w:rsidRDefault="003625A7" w:rsidP="00341AD1">
            <w:pPr>
              <w:rPr>
                <w:rFonts w:cs="Times New Roman"/>
                <w:color w:val="000000" w:themeColor="text1"/>
                <w:sz w:val="20"/>
                <w:szCs w:val="20"/>
              </w:rPr>
            </w:pPr>
            <w:r w:rsidRPr="00BB330F">
              <w:rPr>
                <w:rFonts w:cs="Times New Roman"/>
                <w:color w:val="000000" w:themeColor="text1"/>
                <w:sz w:val="20"/>
                <w:szCs w:val="20"/>
              </w:rPr>
              <w:t>Recovery</w:t>
            </w:r>
          </w:p>
        </w:tc>
        <w:tc>
          <w:tcPr>
            <w:tcW w:w="0" w:type="auto"/>
            <w:hideMark/>
          </w:tcPr>
          <w:p w14:paraId="44B6E377"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PCS Score</w:t>
            </w:r>
          </w:p>
        </w:tc>
        <w:tc>
          <w:tcPr>
            <w:tcW w:w="0" w:type="auto"/>
            <w:hideMark/>
          </w:tcPr>
          <w:p w14:paraId="374134D5"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79</w:t>
            </w:r>
          </w:p>
        </w:tc>
        <w:tc>
          <w:tcPr>
            <w:tcW w:w="0" w:type="auto"/>
            <w:hideMark/>
          </w:tcPr>
          <w:p w14:paraId="5B9498BB"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-0.23</w:t>
            </w:r>
          </w:p>
        </w:tc>
        <w:tc>
          <w:tcPr>
            <w:tcW w:w="0" w:type="auto"/>
            <w:hideMark/>
          </w:tcPr>
          <w:p w14:paraId="6EB43777"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b/>
                <w:bCs/>
                <w:color w:val="000000" w:themeColor="text1"/>
                <w:sz w:val="20"/>
                <w:szCs w:val="20"/>
              </w:rPr>
            </w:pPr>
            <w:r w:rsidRPr="00BB330F">
              <w:rPr>
                <w:rFonts w:cs="Times New Roman"/>
                <w:b/>
                <w:bCs/>
                <w:color w:val="000000" w:themeColor="text1"/>
                <w:sz w:val="20"/>
                <w:szCs w:val="20"/>
              </w:rPr>
              <w:t>0.045</w:t>
            </w:r>
          </w:p>
        </w:tc>
        <w:tc>
          <w:tcPr>
            <w:tcW w:w="0" w:type="auto"/>
            <w:hideMark/>
          </w:tcPr>
          <w:p w14:paraId="12C0C1E6"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0.085</w:t>
            </w:r>
          </w:p>
        </w:tc>
      </w:tr>
      <w:tr w:rsidR="003625A7" w:rsidRPr="00BB330F" w14:paraId="256C0A61" w14:textId="77777777" w:rsidTr="00341AD1">
        <w:tc>
          <w:tcPr>
            <w:cnfStyle w:val="001000000000" w:firstRow="0" w:lastRow="0" w:firstColumn="1" w:lastColumn="0" w:oddVBand="0" w:evenVBand="0" w:oddHBand="0" w:evenHBand="0" w:firstRowFirstColumn="0" w:firstRowLastColumn="0" w:lastRowFirstColumn="0" w:lastRowLastColumn="0"/>
            <w:tcW w:w="0" w:type="auto"/>
            <w:hideMark/>
          </w:tcPr>
          <w:p w14:paraId="0591C81D" w14:textId="77777777" w:rsidR="003625A7" w:rsidRPr="00BB330F" w:rsidRDefault="003625A7" w:rsidP="00341AD1">
            <w:pPr>
              <w:rPr>
                <w:rFonts w:cs="Times New Roman"/>
                <w:color w:val="000000" w:themeColor="text1"/>
                <w:sz w:val="20"/>
                <w:szCs w:val="20"/>
              </w:rPr>
            </w:pPr>
            <w:r w:rsidRPr="00BB330F">
              <w:rPr>
                <w:rFonts w:cs="Times New Roman"/>
                <w:color w:val="000000" w:themeColor="text1"/>
                <w:sz w:val="20"/>
                <w:szCs w:val="20"/>
              </w:rPr>
              <w:t>Fmean</w:t>
            </w:r>
          </w:p>
        </w:tc>
        <w:tc>
          <w:tcPr>
            <w:tcW w:w="0" w:type="auto"/>
            <w:hideMark/>
          </w:tcPr>
          <w:p w14:paraId="44B6A852"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C19-YRS</w:t>
            </w:r>
          </w:p>
        </w:tc>
        <w:tc>
          <w:tcPr>
            <w:tcW w:w="0" w:type="auto"/>
            <w:hideMark/>
          </w:tcPr>
          <w:p w14:paraId="2E643CF0"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60</w:t>
            </w:r>
          </w:p>
        </w:tc>
        <w:tc>
          <w:tcPr>
            <w:tcW w:w="0" w:type="auto"/>
            <w:hideMark/>
          </w:tcPr>
          <w:p w14:paraId="56829349"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-0.18</w:t>
            </w:r>
          </w:p>
        </w:tc>
        <w:tc>
          <w:tcPr>
            <w:tcW w:w="0" w:type="auto"/>
            <w:hideMark/>
          </w:tcPr>
          <w:p w14:paraId="6A593806"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0.177</w:t>
            </w:r>
          </w:p>
        </w:tc>
        <w:tc>
          <w:tcPr>
            <w:tcW w:w="0" w:type="auto"/>
            <w:hideMark/>
          </w:tcPr>
          <w:p w14:paraId="7BC73C95"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0.241</w:t>
            </w:r>
          </w:p>
        </w:tc>
      </w:tr>
      <w:tr w:rsidR="003625A7" w:rsidRPr="00BB330F" w14:paraId="285824E9" w14:textId="77777777" w:rsidTr="00341AD1">
        <w:tc>
          <w:tcPr>
            <w:cnfStyle w:val="001000000000" w:firstRow="0" w:lastRow="0" w:firstColumn="1" w:lastColumn="0" w:oddVBand="0" w:evenVBand="0" w:oddHBand="0" w:evenHBand="0" w:firstRowFirstColumn="0" w:firstRowLastColumn="0" w:lastRowFirstColumn="0" w:lastRowLastColumn="0"/>
            <w:tcW w:w="0" w:type="auto"/>
            <w:hideMark/>
          </w:tcPr>
          <w:p w14:paraId="3CD6F472" w14:textId="77777777" w:rsidR="003625A7" w:rsidRPr="00BB330F" w:rsidRDefault="003625A7" w:rsidP="00341AD1">
            <w:pPr>
              <w:rPr>
                <w:rFonts w:cs="Times New Roman"/>
                <w:color w:val="000000" w:themeColor="text1"/>
                <w:sz w:val="20"/>
                <w:szCs w:val="20"/>
              </w:rPr>
            </w:pPr>
            <w:r w:rsidRPr="00BB330F">
              <w:rPr>
                <w:rFonts w:cs="Times New Roman"/>
                <w:color w:val="000000" w:themeColor="text1"/>
                <w:sz w:val="20"/>
                <w:szCs w:val="20"/>
              </w:rPr>
              <w:t>Fatigue Ratio</w:t>
            </w:r>
          </w:p>
        </w:tc>
        <w:tc>
          <w:tcPr>
            <w:tcW w:w="0" w:type="auto"/>
            <w:hideMark/>
          </w:tcPr>
          <w:p w14:paraId="1D6C7EA6"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C19-YRS</w:t>
            </w:r>
          </w:p>
        </w:tc>
        <w:tc>
          <w:tcPr>
            <w:tcW w:w="0" w:type="auto"/>
            <w:hideMark/>
          </w:tcPr>
          <w:p w14:paraId="664379D9"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60</w:t>
            </w:r>
          </w:p>
        </w:tc>
        <w:tc>
          <w:tcPr>
            <w:tcW w:w="0" w:type="auto"/>
            <w:hideMark/>
          </w:tcPr>
          <w:p w14:paraId="45A667FA"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0.07</w:t>
            </w:r>
          </w:p>
        </w:tc>
        <w:tc>
          <w:tcPr>
            <w:tcW w:w="0" w:type="auto"/>
            <w:hideMark/>
          </w:tcPr>
          <w:p w14:paraId="1BEFBC1D"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0.584</w:t>
            </w:r>
          </w:p>
        </w:tc>
        <w:tc>
          <w:tcPr>
            <w:tcW w:w="0" w:type="auto"/>
            <w:hideMark/>
          </w:tcPr>
          <w:p w14:paraId="5710534A"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0.631</w:t>
            </w:r>
          </w:p>
        </w:tc>
      </w:tr>
      <w:tr w:rsidR="003625A7" w:rsidRPr="00BB330F" w14:paraId="5F0982F0" w14:textId="77777777" w:rsidTr="00341AD1">
        <w:tc>
          <w:tcPr>
            <w:cnfStyle w:val="001000000000" w:firstRow="0" w:lastRow="0" w:firstColumn="1" w:lastColumn="0" w:oddVBand="0" w:evenVBand="0" w:oddHBand="0" w:evenHBand="0" w:firstRowFirstColumn="0" w:firstRowLastColumn="0" w:lastRowFirstColumn="0" w:lastRowLastColumn="0"/>
            <w:tcW w:w="0" w:type="auto"/>
            <w:hideMark/>
          </w:tcPr>
          <w:p w14:paraId="588CCF1E" w14:textId="77777777" w:rsidR="003625A7" w:rsidRPr="00BB330F" w:rsidRDefault="003625A7" w:rsidP="00341AD1">
            <w:pPr>
              <w:rPr>
                <w:rFonts w:cs="Times New Roman"/>
                <w:color w:val="000000" w:themeColor="text1"/>
                <w:sz w:val="20"/>
                <w:szCs w:val="20"/>
              </w:rPr>
            </w:pPr>
            <w:r w:rsidRPr="00BB330F">
              <w:rPr>
                <w:rFonts w:cs="Times New Roman"/>
                <w:color w:val="000000" w:themeColor="text1"/>
                <w:sz w:val="20"/>
                <w:szCs w:val="20"/>
              </w:rPr>
              <w:t>Recovery</w:t>
            </w:r>
          </w:p>
        </w:tc>
        <w:tc>
          <w:tcPr>
            <w:tcW w:w="0" w:type="auto"/>
            <w:hideMark/>
          </w:tcPr>
          <w:p w14:paraId="2CF28EE3"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C19-YRS</w:t>
            </w:r>
          </w:p>
        </w:tc>
        <w:tc>
          <w:tcPr>
            <w:tcW w:w="0" w:type="auto"/>
            <w:hideMark/>
          </w:tcPr>
          <w:p w14:paraId="70605DE6"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59</w:t>
            </w:r>
          </w:p>
        </w:tc>
        <w:tc>
          <w:tcPr>
            <w:tcW w:w="0" w:type="auto"/>
            <w:hideMark/>
          </w:tcPr>
          <w:p w14:paraId="3BFF2CAD"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-0.25</w:t>
            </w:r>
          </w:p>
        </w:tc>
        <w:tc>
          <w:tcPr>
            <w:tcW w:w="0" w:type="auto"/>
            <w:hideMark/>
          </w:tcPr>
          <w:p w14:paraId="4761C6E2"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0.055</w:t>
            </w:r>
          </w:p>
        </w:tc>
        <w:tc>
          <w:tcPr>
            <w:tcW w:w="0" w:type="auto"/>
            <w:hideMark/>
          </w:tcPr>
          <w:p w14:paraId="0D17A45F"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0.092</w:t>
            </w:r>
          </w:p>
        </w:tc>
      </w:tr>
      <w:tr w:rsidR="003625A7" w:rsidRPr="00BB330F" w14:paraId="7E179F3C" w14:textId="77777777" w:rsidTr="00341AD1">
        <w:tc>
          <w:tcPr>
            <w:cnfStyle w:val="001000000000" w:firstRow="0" w:lastRow="0" w:firstColumn="1" w:lastColumn="0" w:oddVBand="0" w:evenVBand="0" w:oddHBand="0" w:evenHBand="0" w:firstRowFirstColumn="0" w:firstRowLastColumn="0" w:lastRowFirstColumn="0" w:lastRowLastColumn="0"/>
            <w:tcW w:w="0" w:type="auto"/>
            <w:hideMark/>
          </w:tcPr>
          <w:p w14:paraId="0AF11465" w14:textId="77777777" w:rsidR="003625A7" w:rsidRPr="00BB330F" w:rsidRDefault="003625A7" w:rsidP="00341AD1">
            <w:pPr>
              <w:rPr>
                <w:rFonts w:cs="Times New Roman"/>
                <w:color w:val="000000" w:themeColor="text1"/>
                <w:sz w:val="20"/>
                <w:szCs w:val="20"/>
              </w:rPr>
            </w:pPr>
            <w:r w:rsidRPr="00BB330F">
              <w:rPr>
                <w:rFonts w:cs="Times New Roman"/>
                <w:color w:val="000000" w:themeColor="text1"/>
                <w:sz w:val="20"/>
                <w:szCs w:val="20"/>
              </w:rPr>
              <w:t>Fmean</w:t>
            </w:r>
          </w:p>
        </w:tc>
        <w:tc>
          <w:tcPr>
            <w:tcW w:w="0" w:type="auto"/>
            <w:hideMark/>
          </w:tcPr>
          <w:p w14:paraId="5DA82D0C"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GAD7</w:t>
            </w:r>
          </w:p>
        </w:tc>
        <w:tc>
          <w:tcPr>
            <w:tcW w:w="0" w:type="auto"/>
            <w:hideMark/>
          </w:tcPr>
          <w:p w14:paraId="17D514B5"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80</w:t>
            </w:r>
          </w:p>
        </w:tc>
        <w:tc>
          <w:tcPr>
            <w:tcW w:w="0" w:type="auto"/>
            <w:hideMark/>
          </w:tcPr>
          <w:p w14:paraId="64881415"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-0.05</w:t>
            </w:r>
          </w:p>
        </w:tc>
        <w:tc>
          <w:tcPr>
            <w:tcW w:w="0" w:type="auto"/>
            <w:hideMark/>
          </w:tcPr>
          <w:p w14:paraId="53774989"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0.669</w:t>
            </w:r>
          </w:p>
        </w:tc>
        <w:tc>
          <w:tcPr>
            <w:tcW w:w="0" w:type="auto"/>
            <w:hideMark/>
          </w:tcPr>
          <w:p w14:paraId="224CF9CB"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0.669</w:t>
            </w:r>
          </w:p>
        </w:tc>
      </w:tr>
      <w:tr w:rsidR="003625A7" w:rsidRPr="00BB330F" w14:paraId="1F24530E" w14:textId="77777777" w:rsidTr="00341AD1">
        <w:tc>
          <w:tcPr>
            <w:cnfStyle w:val="001000000000" w:firstRow="0" w:lastRow="0" w:firstColumn="1" w:lastColumn="0" w:oddVBand="0" w:evenVBand="0" w:oddHBand="0" w:evenHBand="0" w:firstRowFirstColumn="0" w:firstRowLastColumn="0" w:lastRowFirstColumn="0" w:lastRowLastColumn="0"/>
            <w:tcW w:w="0" w:type="auto"/>
            <w:hideMark/>
          </w:tcPr>
          <w:p w14:paraId="6B44AD5E" w14:textId="77777777" w:rsidR="003625A7" w:rsidRPr="00BB330F" w:rsidRDefault="003625A7" w:rsidP="00341AD1">
            <w:pPr>
              <w:rPr>
                <w:rFonts w:cs="Times New Roman"/>
                <w:color w:val="000000" w:themeColor="text1"/>
                <w:sz w:val="20"/>
                <w:szCs w:val="20"/>
              </w:rPr>
            </w:pPr>
            <w:r w:rsidRPr="00BB330F">
              <w:rPr>
                <w:rFonts w:cs="Times New Roman"/>
                <w:color w:val="000000" w:themeColor="text1"/>
                <w:sz w:val="20"/>
                <w:szCs w:val="20"/>
              </w:rPr>
              <w:t>Fatigue Ratio</w:t>
            </w:r>
          </w:p>
        </w:tc>
        <w:tc>
          <w:tcPr>
            <w:tcW w:w="0" w:type="auto"/>
            <w:hideMark/>
          </w:tcPr>
          <w:p w14:paraId="44BBD0A1"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GAD7</w:t>
            </w:r>
          </w:p>
        </w:tc>
        <w:tc>
          <w:tcPr>
            <w:tcW w:w="0" w:type="auto"/>
            <w:hideMark/>
          </w:tcPr>
          <w:p w14:paraId="743F9676"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80</w:t>
            </w:r>
          </w:p>
        </w:tc>
        <w:tc>
          <w:tcPr>
            <w:tcW w:w="0" w:type="auto"/>
            <w:hideMark/>
          </w:tcPr>
          <w:p w14:paraId="467C353D"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0.06</w:t>
            </w:r>
          </w:p>
        </w:tc>
        <w:tc>
          <w:tcPr>
            <w:tcW w:w="0" w:type="auto"/>
            <w:hideMark/>
          </w:tcPr>
          <w:p w14:paraId="26132F1E"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0.588</w:t>
            </w:r>
          </w:p>
        </w:tc>
        <w:tc>
          <w:tcPr>
            <w:tcW w:w="0" w:type="auto"/>
            <w:hideMark/>
          </w:tcPr>
          <w:p w14:paraId="49035017"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0.631</w:t>
            </w:r>
          </w:p>
        </w:tc>
      </w:tr>
      <w:tr w:rsidR="003625A7" w:rsidRPr="00BB330F" w14:paraId="75E6C2E3" w14:textId="77777777" w:rsidTr="00341AD1">
        <w:tc>
          <w:tcPr>
            <w:cnfStyle w:val="001000000000" w:firstRow="0" w:lastRow="0" w:firstColumn="1" w:lastColumn="0" w:oddVBand="0" w:evenVBand="0" w:oddHBand="0" w:evenHBand="0" w:firstRowFirstColumn="0" w:firstRowLastColumn="0" w:lastRowFirstColumn="0" w:lastRowLastColumn="0"/>
            <w:tcW w:w="0" w:type="auto"/>
            <w:hideMark/>
          </w:tcPr>
          <w:p w14:paraId="4F930B9D" w14:textId="77777777" w:rsidR="003625A7" w:rsidRPr="00BB330F" w:rsidRDefault="003625A7" w:rsidP="00341AD1">
            <w:pPr>
              <w:rPr>
                <w:rFonts w:cs="Times New Roman"/>
                <w:color w:val="000000" w:themeColor="text1"/>
                <w:sz w:val="20"/>
                <w:szCs w:val="20"/>
              </w:rPr>
            </w:pPr>
            <w:r w:rsidRPr="00BB330F">
              <w:rPr>
                <w:rFonts w:cs="Times New Roman"/>
                <w:color w:val="000000" w:themeColor="text1"/>
                <w:sz w:val="20"/>
                <w:szCs w:val="20"/>
              </w:rPr>
              <w:t>Recovery</w:t>
            </w:r>
          </w:p>
        </w:tc>
        <w:tc>
          <w:tcPr>
            <w:tcW w:w="0" w:type="auto"/>
            <w:hideMark/>
          </w:tcPr>
          <w:p w14:paraId="57316378"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GAD7</w:t>
            </w:r>
          </w:p>
        </w:tc>
        <w:tc>
          <w:tcPr>
            <w:tcW w:w="0" w:type="auto"/>
            <w:hideMark/>
          </w:tcPr>
          <w:p w14:paraId="1CC1DFD7"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77</w:t>
            </w:r>
          </w:p>
        </w:tc>
        <w:tc>
          <w:tcPr>
            <w:tcW w:w="0" w:type="auto"/>
            <w:hideMark/>
          </w:tcPr>
          <w:p w14:paraId="54B50E80"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-0.23</w:t>
            </w:r>
          </w:p>
        </w:tc>
        <w:tc>
          <w:tcPr>
            <w:tcW w:w="0" w:type="auto"/>
            <w:hideMark/>
          </w:tcPr>
          <w:p w14:paraId="40FA24B5"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b/>
                <w:bCs/>
                <w:color w:val="000000" w:themeColor="text1"/>
                <w:sz w:val="20"/>
                <w:szCs w:val="20"/>
              </w:rPr>
            </w:pPr>
            <w:r w:rsidRPr="00BB330F">
              <w:rPr>
                <w:rFonts w:cs="Times New Roman"/>
                <w:b/>
                <w:bCs/>
                <w:color w:val="000000" w:themeColor="text1"/>
                <w:sz w:val="20"/>
                <w:szCs w:val="20"/>
              </w:rPr>
              <w:t>0.042</w:t>
            </w:r>
          </w:p>
        </w:tc>
        <w:tc>
          <w:tcPr>
            <w:tcW w:w="0" w:type="auto"/>
            <w:hideMark/>
          </w:tcPr>
          <w:p w14:paraId="575F1649"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0.085</w:t>
            </w:r>
          </w:p>
        </w:tc>
      </w:tr>
      <w:tr w:rsidR="003625A7" w:rsidRPr="00BB330F" w14:paraId="76E75E5C" w14:textId="77777777" w:rsidTr="00341AD1">
        <w:tc>
          <w:tcPr>
            <w:cnfStyle w:val="001000000000" w:firstRow="0" w:lastRow="0" w:firstColumn="1" w:lastColumn="0" w:oddVBand="0" w:evenVBand="0" w:oddHBand="0" w:evenHBand="0" w:firstRowFirstColumn="0" w:firstRowLastColumn="0" w:lastRowFirstColumn="0" w:lastRowLastColumn="0"/>
            <w:tcW w:w="0" w:type="auto"/>
            <w:hideMark/>
          </w:tcPr>
          <w:p w14:paraId="30CF6C89" w14:textId="77777777" w:rsidR="003625A7" w:rsidRPr="00BB330F" w:rsidRDefault="003625A7" w:rsidP="00341AD1">
            <w:pPr>
              <w:rPr>
                <w:rFonts w:cs="Times New Roman"/>
                <w:color w:val="000000" w:themeColor="text1"/>
                <w:sz w:val="20"/>
                <w:szCs w:val="20"/>
              </w:rPr>
            </w:pPr>
            <w:r w:rsidRPr="00BB330F">
              <w:rPr>
                <w:rFonts w:cs="Times New Roman"/>
                <w:color w:val="000000" w:themeColor="text1"/>
                <w:sz w:val="20"/>
                <w:szCs w:val="20"/>
              </w:rPr>
              <w:t>Fmean</w:t>
            </w:r>
          </w:p>
        </w:tc>
        <w:tc>
          <w:tcPr>
            <w:tcW w:w="0" w:type="auto"/>
            <w:hideMark/>
          </w:tcPr>
          <w:p w14:paraId="2083972B"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PHQ9</w:t>
            </w:r>
          </w:p>
        </w:tc>
        <w:tc>
          <w:tcPr>
            <w:tcW w:w="0" w:type="auto"/>
            <w:hideMark/>
          </w:tcPr>
          <w:p w14:paraId="734B0677"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80</w:t>
            </w:r>
          </w:p>
        </w:tc>
        <w:tc>
          <w:tcPr>
            <w:tcW w:w="0" w:type="auto"/>
            <w:hideMark/>
          </w:tcPr>
          <w:p w14:paraId="2043E5C3"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-0.27</w:t>
            </w:r>
          </w:p>
        </w:tc>
        <w:tc>
          <w:tcPr>
            <w:tcW w:w="0" w:type="auto"/>
            <w:hideMark/>
          </w:tcPr>
          <w:p w14:paraId="67D23E48"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b/>
                <w:bCs/>
                <w:color w:val="000000" w:themeColor="text1"/>
                <w:sz w:val="20"/>
                <w:szCs w:val="20"/>
              </w:rPr>
            </w:pPr>
            <w:r w:rsidRPr="00BB330F">
              <w:rPr>
                <w:rFonts w:cs="Times New Roman"/>
                <w:b/>
                <w:bCs/>
                <w:color w:val="000000" w:themeColor="text1"/>
                <w:sz w:val="20"/>
                <w:szCs w:val="20"/>
              </w:rPr>
              <w:t>0.017</w:t>
            </w:r>
          </w:p>
        </w:tc>
        <w:tc>
          <w:tcPr>
            <w:tcW w:w="0" w:type="auto"/>
            <w:hideMark/>
          </w:tcPr>
          <w:p w14:paraId="07AC4533"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0.063</w:t>
            </w:r>
          </w:p>
        </w:tc>
      </w:tr>
      <w:tr w:rsidR="003625A7" w:rsidRPr="00BB330F" w14:paraId="0B212E69" w14:textId="77777777" w:rsidTr="00341AD1">
        <w:tc>
          <w:tcPr>
            <w:cnfStyle w:val="001000000000" w:firstRow="0" w:lastRow="0" w:firstColumn="1" w:lastColumn="0" w:oddVBand="0" w:evenVBand="0" w:oddHBand="0" w:evenHBand="0" w:firstRowFirstColumn="0" w:firstRowLastColumn="0" w:lastRowFirstColumn="0" w:lastRowLastColumn="0"/>
            <w:tcW w:w="0" w:type="auto"/>
            <w:hideMark/>
          </w:tcPr>
          <w:p w14:paraId="251BEF67" w14:textId="77777777" w:rsidR="003625A7" w:rsidRPr="00BB330F" w:rsidRDefault="003625A7" w:rsidP="00341AD1">
            <w:pPr>
              <w:rPr>
                <w:rFonts w:cs="Times New Roman"/>
                <w:color w:val="000000" w:themeColor="text1"/>
                <w:sz w:val="20"/>
                <w:szCs w:val="20"/>
              </w:rPr>
            </w:pPr>
            <w:r w:rsidRPr="00BB330F">
              <w:rPr>
                <w:rFonts w:cs="Times New Roman"/>
                <w:color w:val="000000" w:themeColor="text1"/>
                <w:sz w:val="20"/>
                <w:szCs w:val="20"/>
              </w:rPr>
              <w:t>Fatigue Ratio</w:t>
            </w:r>
          </w:p>
        </w:tc>
        <w:tc>
          <w:tcPr>
            <w:tcW w:w="0" w:type="auto"/>
            <w:hideMark/>
          </w:tcPr>
          <w:p w14:paraId="3BBBFF2F"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PHQ9</w:t>
            </w:r>
          </w:p>
        </w:tc>
        <w:tc>
          <w:tcPr>
            <w:tcW w:w="0" w:type="auto"/>
            <w:hideMark/>
          </w:tcPr>
          <w:p w14:paraId="363993D4"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80</w:t>
            </w:r>
          </w:p>
        </w:tc>
        <w:tc>
          <w:tcPr>
            <w:tcW w:w="0" w:type="auto"/>
            <w:hideMark/>
          </w:tcPr>
          <w:p w14:paraId="59E8F91E"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0.23</w:t>
            </w:r>
          </w:p>
        </w:tc>
        <w:tc>
          <w:tcPr>
            <w:tcW w:w="0" w:type="auto"/>
            <w:hideMark/>
          </w:tcPr>
          <w:p w14:paraId="59A9CA37"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b/>
                <w:bCs/>
                <w:color w:val="000000" w:themeColor="text1"/>
                <w:sz w:val="20"/>
                <w:szCs w:val="20"/>
              </w:rPr>
            </w:pPr>
            <w:r w:rsidRPr="00BB330F">
              <w:rPr>
                <w:rFonts w:cs="Times New Roman"/>
                <w:b/>
                <w:bCs/>
                <w:color w:val="000000" w:themeColor="text1"/>
                <w:sz w:val="20"/>
                <w:szCs w:val="20"/>
              </w:rPr>
              <w:t>0.042</w:t>
            </w:r>
          </w:p>
        </w:tc>
        <w:tc>
          <w:tcPr>
            <w:tcW w:w="0" w:type="auto"/>
            <w:hideMark/>
          </w:tcPr>
          <w:p w14:paraId="61BF8369"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0.085</w:t>
            </w:r>
          </w:p>
        </w:tc>
      </w:tr>
      <w:tr w:rsidR="003625A7" w:rsidRPr="00BB330F" w14:paraId="6CB4779D" w14:textId="77777777" w:rsidTr="00341AD1">
        <w:tc>
          <w:tcPr>
            <w:cnfStyle w:val="001000000000" w:firstRow="0" w:lastRow="0" w:firstColumn="1" w:lastColumn="0" w:oddVBand="0" w:evenVBand="0" w:oddHBand="0" w:evenHBand="0" w:firstRowFirstColumn="0" w:firstRowLastColumn="0" w:lastRowFirstColumn="0" w:lastRowLastColumn="0"/>
            <w:tcW w:w="0" w:type="auto"/>
            <w:hideMark/>
          </w:tcPr>
          <w:p w14:paraId="12FE2EC4" w14:textId="77777777" w:rsidR="003625A7" w:rsidRPr="00BB330F" w:rsidRDefault="003625A7" w:rsidP="00341AD1">
            <w:pPr>
              <w:rPr>
                <w:rFonts w:cs="Times New Roman"/>
                <w:color w:val="000000" w:themeColor="text1"/>
                <w:sz w:val="20"/>
                <w:szCs w:val="20"/>
              </w:rPr>
            </w:pPr>
            <w:r w:rsidRPr="00BB330F">
              <w:rPr>
                <w:rFonts w:cs="Times New Roman"/>
                <w:color w:val="000000" w:themeColor="text1"/>
                <w:sz w:val="20"/>
                <w:szCs w:val="20"/>
              </w:rPr>
              <w:t>Recovery</w:t>
            </w:r>
          </w:p>
        </w:tc>
        <w:tc>
          <w:tcPr>
            <w:tcW w:w="0" w:type="auto"/>
            <w:hideMark/>
          </w:tcPr>
          <w:p w14:paraId="3C54C6A8"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PHQ9</w:t>
            </w:r>
          </w:p>
        </w:tc>
        <w:tc>
          <w:tcPr>
            <w:tcW w:w="0" w:type="auto"/>
            <w:hideMark/>
          </w:tcPr>
          <w:p w14:paraId="1B55F061"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77</w:t>
            </w:r>
          </w:p>
        </w:tc>
        <w:tc>
          <w:tcPr>
            <w:tcW w:w="0" w:type="auto"/>
            <w:hideMark/>
          </w:tcPr>
          <w:p w14:paraId="4AF36871"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-0.24</w:t>
            </w:r>
          </w:p>
        </w:tc>
        <w:tc>
          <w:tcPr>
            <w:tcW w:w="0" w:type="auto"/>
            <w:hideMark/>
          </w:tcPr>
          <w:p w14:paraId="76FAA185"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b/>
                <w:bCs/>
                <w:color w:val="000000" w:themeColor="text1"/>
                <w:sz w:val="20"/>
                <w:szCs w:val="20"/>
              </w:rPr>
            </w:pPr>
            <w:r w:rsidRPr="00BB330F">
              <w:rPr>
                <w:rFonts w:cs="Times New Roman"/>
                <w:b/>
                <w:bCs/>
                <w:color w:val="000000" w:themeColor="text1"/>
                <w:sz w:val="20"/>
                <w:szCs w:val="20"/>
              </w:rPr>
              <w:t>0.035</w:t>
            </w:r>
          </w:p>
        </w:tc>
        <w:tc>
          <w:tcPr>
            <w:tcW w:w="0" w:type="auto"/>
            <w:hideMark/>
          </w:tcPr>
          <w:p w14:paraId="08136FCB"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0.085</w:t>
            </w:r>
          </w:p>
        </w:tc>
      </w:tr>
      <w:tr w:rsidR="003625A7" w:rsidRPr="00BB330F" w14:paraId="4DE5C59F" w14:textId="77777777" w:rsidTr="00341AD1">
        <w:tc>
          <w:tcPr>
            <w:cnfStyle w:val="001000000000" w:firstRow="0" w:lastRow="0" w:firstColumn="1" w:lastColumn="0" w:oddVBand="0" w:evenVBand="0" w:oddHBand="0" w:evenHBand="0" w:firstRowFirstColumn="0" w:firstRowLastColumn="0" w:lastRowFirstColumn="0" w:lastRowLastColumn="0"/>
            <w:tcW w:w="0" w:type="auto"/>
            <w:hideMark/>
          </w:tcPr>
          <w:p w14:paraId="625DBD11" w14:textId="77777777" w:rsidR="003625A7" w:rsidRPr="00BB330F" w:rsidRDefault="003625A7" w:rsidP="00341AD1">
            <w:pPr>
              <w:rPr>
                <w:rFonts w:cs="Times New Roman"/>
                <w:color w:val="000000" w:themeColor="text1"/>
                <w:sz w:val="20"/>
                <w:szCs w:val="20"/>
              </w:rPr>
            </w:pPr>
            <w:r w:rsidRPr="00BB330F">
              <w:rPr>
                <w:rFonts w:cs="Times New Roman"/>
                <w:color w:val="000000" w:themeColor="text1"/>
                <w:sz w:val="20"/>
                <w:szCs w:val="20"/>
              </w:rPr>
              <w:t>Fmean</w:t>
            </w:r>
          </w:p>
        </w:tc>
        <w:tc>
          <w:tcPr>
            <w:tcW w:w="0" w:type="auto"/>
            <w:hideMark/>
          </w:tcPr>
          <w:p w14:paraId="412B18C1"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FSS</w:t>
            </w:r>
          </w:p>
        </w:tc>
        <w:tc>
          <w:tcPr>
            <w:tcW w:w="0" w:type="auto"/>
            <w:hideMark/>
          </w:tcPr>
          <w:p w14:paraId="2D618D50"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80</w:t>
            </w:r>
          </w:p>
        </w:tc>
        <w:tc>
          <w:tcPr>
            <w:tcW w:w="0" w:type="auto"/>
            <w:hideMark/>
          </w:tcPr>
          <w:p w14:paraId="127710CE"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-0.30</w:t>
            </w:r>
          </w:p>
        </w:tc>
        <w:tc>
          <w:tcPr>
            <w:tcW w:w="0" w:type="auto"/>
            <w:hideMark/>
          </w:tcPr>
          <w:p w14:paraId="7CCC6109"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b/>
                <w:bCs/>
                <w:color w:val="000000" w:themeColor="text1"/>
                <w:sz w:val="20"/>
                <w:szCs w:val="20"/>
              </w:rPr>
            </w:pPr>
            <w:r w:rsidRPr="00BB330F">
              <w:rPr>
                <w:rFonts w:cs="Times New Roman"/>
                <w:b/>
                <w:bCs/>
                <w:color w:val="000000" w:themeColor="text1"/>
                <w:sz w:val="20"/>
                <w:szCs w:val="20"/>
              </w:rPr>
              <w:t>0.006</w:t>
            </w:r>
          </w:p>
        </w:tc>
        <w:tc>
          <w:tcPr>
            <w:tcW w:w="0" w:type="auto"/>
            <w:hideMark/>
          </w:tcPr>
          <w:p w14:paraId="47B38AEF"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0.047</w:t>
            </w:r>
          </w:p>
        </w:tc>
      </w:tr>
      <w:tr w:rsidR="003625A7" w:rsidRPr="00BB330F" w14:paraId="1BB51CD5" w14:textId="77777777" w:rsidTr="00341AD1">
        <w:tc>
          <w:tcPr>
            <w:cnfStyle w:val="001000000000" w:firstRow="0" w:lastRow="0" w:firstColumn="1" w:lastColumn="0" w:oddVBand="0" w:evenVBand="0" w:oddHBand="0" w:evenHBand="0" w:firstRowFirstColumn="0" w:firstRowLastColumn="0" w:lastRowFirstColumn="0" w:lastRowLastColumn="0"/>
            <w:tcW w:w="0" w:type="auto"/>
            <w:hideMark/>
          </w:tcPr>
          <w:p w14:paraId="02DB3397" w14:textId="77777777" w:rsidR="003625A7" w:rsidRPr="00BB330F" w:rsidRDefault="003625A7" w:rsidP="00341AD1">
            <w:pPr>
              <w:rPr>
                <w:rFonts w:cs="Times New Roman"/>
                <w:color w:val="000000" w:themeColor="text1"/>
                <w:sz w:val="20"/>
                <w:szCs w:val="20"/>
              </w:rPr>
            </w:pPr>
            <w:r w:rsidRPr="00BB330F">
              <w:rPr>
                <w:rFonts w:cs="Times New Roman"/>
                <w:color w:val="000000" w:themeColor="text1"/>
                <w:sz w:val="20"/>
                <w:szCs w:val="20"/>
              </w:rPr>
              <w:t>Fatigue Ratio</w:t>
            </w:r>
          </w:p>
        </w:tc>
        <w:tc>
          <w:tcPr>
            <w:tcW w:w="0" w:type="auto"/>
            <w:hideMark/>
          </w:tcPr>
          <w:p w14:paraId="2E56DEA1"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FSS</w:t>
            </w:r>
          </w:p>
        </w:tc>
        <w:tc>
          <w:tcPr>
            <w:tcW w:w="0" w:type="auto"/>
            <w:hideMark/>
          </w:tcPr>
          <w:p w14:paraId="55A797DD"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80</w:t>
            </w:r>
          </w:p>
        </w:tc>
        <w:tc>
          <w:tcPr>
            <w:tcW w:w="0" w:type="auto"/>
            <w:hideMark/>
          </w:tcPr>
          <w:p w14:paraId="1979CDCF"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0.28</w:t>
            </w:r>
          </w:p>
        </w:tc>
        <w:tc>
          <w:tcPr>
            <w:tcW w:w="0" w:type="auto"/>
            <w:hideMark/>
          </w:tcPr>
          <w:p w14:paraId="70D92D7A"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b/>
                <w:bCs/>
                <w:color w:val="000000" w:themeColor="text1"/>
                <w:sz w:val="20"/>
                <w:szCs w:val="20"/>
              </w:rPr>
            </w:pPr>
            <w:r w:rsidRPr="00BB330F">
              <w:rPr>
                <w:rFonts w:cs="Times New Roman"/>
                <w:b/>
                <w:bCs/>
                <w:color w:val="000000" w:themeColor="text1"/>
                <w:sz w:val="20"/>
                <w:szCs w:val="20"/>
              </w:rPr>
              <w:t>0.013</w:t>
            </w:r>
          </w:p>
        </w:tc>
        <w:tc>
          <w:tcPr>
            <w:tcW w:w="0" w:type="auto"/>
            <w:hideMark/>
          </w:tcPr>
          <w:p w14:paraId="56B292C3"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0.063</w:t>
            </w:r>
          </w:p>
        </w:tc>
      </w:tr>
      <w:tr w:rsidR="003625A7" w:rsidRPr="00BB330F" w14:paraId="4EC49386" w14:textId="77777777" w:rsidTr="00341AD1">
        <w:tc>
          <w:tcPr>
            <w:cnfStyle w:val="001000000000" w:firstRow="0" w:lastRow="0" w:firstColumn="1" w:lastColumn="0" w:oddVBand="0" w:evenVBand="0" w:oddHBand="0" w:evenHBand="0" w:firstRowFirstColumn="0" w:firstRowLastColumn="0" w:lastRowFirstColumn="0" w:lastRowLastColumn="0"/>
            <w:tcW w:w="0" w:type="auto"/>
            <w:hideMark/>
          </w:tcPr>
          <w:p w14:paraId="0E1FD0A1" w14:textId="77777777" w:rsidR="003625A7" w:rsidRPr="00BB330F" w:rsidRDefault="003625A7" w:rsidP="00341AD1">
            <w:pPr>
              <w:rPr>
                <w:rFonts w:cs="Times New Roman"/>
                <w:color w:val="000000" w:themeColor="text1"/>
                <w:sz w:val="20"/>
                <w:szCs w:val="20"/>
              </w:rPr>
            </w:pPr>
            <w:r w:rsidRPr="00BB330F">
              <w:rPr>
                <w:rFonts w:cs="Times New Roman"/>
                <w:color w:val="000000" w:themeColor="text1"/>
                <w:sz w:val="20"/>
                <w:szCs w:val="20"/>
              </w:rPr>
              <w:t>Recovery</w:t>
            </w:r>
          </w:p>
        </w:tc>
        <w:tc>
          <w:tcPr>
            <w:tcW w:w="0" w:type="auto"/>
            <w:hideMark/>
          </w:tcPr>
          <w:p w14:paraId="75935B45"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FSS</w:t>
            </w:r>
          </w:p>
        </w:tc>
        <w:tc>
          <w:tcPr>
            <w:tcW w:w="0" w:type="auto"/>
            <w:hideMark/>
          </w:tcPr>
          <w:p w14:paraId="31215B68"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77</w:t>
            </w:r>
          </w:p>
        </w:tc>
        <w:tc>
          <w:tcPr>
            <w:tcW w:w="0" w:type="auto"/>
            <w:hideMark/>
          </w:tcPr>
          <w:p w14:paraId="67BC697D"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-0.18</w:t>
            </w:r>
          </w:p>
        </w:tc>
        <w:tc>
          <w:tcPr>
            <w:tcW w:w="0" w:type="auto"/>
            <w:hideMark/>
          </w:tcPr>
          <w:p w14:paraId="4227CFE7" w14:textId="77777777" w:rsidR="003625A7" w:rsidRPr="00BB330F" w:rsidRDefault="003625A7" w:rsidP="00341AD1">
            <w:pPr>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0.129</w:t>
            </w:r>
          </w:p>
        </w:tc>
        <w:tc>
          <w:tcPr>
            <w:tcW w:w="0" w:type="auto"/>
            <w:hideMark/>
          </w:tcPr>
          <w:p w14:paraId="0C5FB58D" w14:textId="77777777" w:rsidR="003625A7" w:rsidRPr="00BB330F" w:rsidRDefault="003625A7" w:rsidP="00341AD1">
            <w:pPr>
              <w:keepNext/>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0.194</w:t>
            </w:r>
          </w:p>
        </w:tc>
      </w:tr>
    </w:tbl>
    <w:p w14:paraId="665C6973" w14:textId="1F68F373" w:rsidR="003625A7" w:rsidRPr="0054367B" w:rsidRDefault="003625A7" w:rsidP="003625A7">
      <w:pPr>
        <w:pStyle w:val="Beschriftung1"/>
        <w:rPr>
          <w:rFonts w:ascii="Times New Roman" w:hAnsi="Times New Roman" w:cs="Times New Roman"/>
          <w:sz w:val="24"/>
          <w:szCs w:val="24"/>
        </w:rPr>
      </w:pPr>
      <w:bookmarkStart w:id="5" w:name="_Toc212714085"/>
      <w:r w:rsidRPr="0054367B">
        <w:rPr>
          <w:rFonts w:ascii="Times New Roman" w:hAnsi="Times New Roman" w:cs="Times New Roman"/>
          <w:b/>
          <w:bCs/>
          <w:sz w:val="24"/>
          <w:szCs w:val="24"/>
        </w:rPr>
        <w:t xml:space="preserve">Supplementary Table </w:t>
      </w:r>
      <w:r w:rsidRPr="0054367B">
        <w:rPr>
          <w:rFonts w:ascii="Times New Roman" w:hAnsi="Times New Roman" w:cs="Times New Roman"/>
          <w:b/>
          <w:bCs/>
          <w:sz w:val="24"/>
          <w:szCs w:val="24"/>
        </w:rPr>
        <w:fldChar w:fldCharType="begin"/>
      </w:r>
      <w:r w:rsidRPr="0054367B">
        <w:rPr>
          <w:rFonts w:ascii="Times New Roman" w:hAnsi="Times New Roman" w:cs="Times New Roman"/>
          <w:b/>
          <w:bCs/>
          <w:sz w:val="24"/>
          <w:szCs w:val="24"/>
        </w:rPr>
        <w:instrText xml:space="preserve"> SEQ Supplementary_Table \* ARABIC </w:instrText>
      </w:r>
      <w:r w:rsidRPr="0054367B">
        <w:rPr>
          <w:rFonts w:ascii="Times New Roman" w:hAnsi="Times New Roman" w:cs="Times New Roman"/>
          <w:b/>
          <w:bCs/>
          <w:sz w:val="24"/>
          <w:szCs w:val="24"/>
        </w:rPr>
        <w:fldChar w:fldCharType="separate"/>
      </w:r>
      <w:r w:rsidR="00FE267B">
        <w:rPr>
          <w:rFonts w:ascii="Times New Roman" w:hAnsi="Times New Roman" w:cs="Times New Roman"/>
          <w:b/>
          <w:bCs/>
          <w:noProof/>
          <w:sz w:val="24"/>
          <w:szCs w:val="24"/>
        </w:rPr>
        <w:t>4</w:t>
      </w:r>
      <w:r w:rsidRPr="0054367B">
        <w:rPr>
          <w:rFonts w:ascii="Times New Roman" w:hAnsi="Times New Roman" w:cs="Times New Roman"/>
          <w:b/>
          <w:bCs/>
          <w:sz w:val="24"/>
          <w:szCs w:val="24"/>
        </w:rPr>
        <w:fldChar w:fldCharType="end"/>
      </w:r>
      <w:r w:rsidRPr="0054367B">
        <w:rPr>
          <w:rFonts w:ascii="Times New Roman" w:hAnsi="Times New Roman" w:cs="Times New Roman"/>
          <w:b/>
          <w:bCs/>
          <w:sz w:val="24"/>
          <w:szCs w:val="24"/>
        </w:rPr>
        <w:t>:</w:t>
      </w:r>
      <w:r w:rsidRPr="0054367B">
        <w:rPr>
          <w:rFonts w:ascii="Times New Roman" w:hAnsi="Times New Roman" w:cs="Times New Roman"/>
          <w:sz w:val="24"/>
          <w:szCs w:val="24"/>
        </w:rPr>
        <w:t xml:space="preserve"> Spearman correlations (ρ) between HGS parameters and PROMs at BL and six-month FU in the PCS cohort. Negative ρ values indicate that lower physical performance is associated with higher symptom severity.</w:t>
      </w:r>
      <w:r w:rsidRPr="0054367B">
        <w:rPr>
          <w:rStyle w:val="apple-converted-space"/>
          <w:rFonts w:ascii="Times New Roman" w:hAnsi="Times New Roman" w:cs="Times New Roman"/>
          <w:sz w:val="24"/>
          <w:szCs w:val="24"/>
        </w:rPr>
        <w:t xml:space="preserve"> </w:t>
      </w:r>
      <w:r w:rsidRPr="0054367B">
        <w:rPr>
          <w:rStyle w:val="Hervorhebung"/>
          <w:rFonts w:cs="Times New Roman"/>
          <w:i w:val="0"/>
          <w:iCs/>
          <w:sz w:val="24"/>
          <w:szCs w:val="24"/>
        </w:rPr>
        <w:t>p-</w:t>
      </w:r>
      <w:r w:rsidRPr="0054367B">
        <w:rPr>
          <w:rFonts w:ascii="Times New Roman" w:hAnsi="Times New Roman" w:cs="Times New Roman"/>
          <w:sz w:val="24"/>
          <w:szCs w:val="24"/>
        </w:rPr>
        <w:t>values are corrected for multiple testing using the Benjamini–Hochberg false-discovery rate (FDR).</w:t>
      </w:r>
      <w:bookmarkEnd w:id="5"/>
      <w:r w:rsidRPr="0054367B">
        <w:rPr>
          <w:rFonts w:ascii="Times New Roman" w:hAnsi="Times New Roman" w:cs="Times New Roman"/>
          <w:sz w:val="24"/>
          <w:szCs w:val="24"/>
        </w:rPr>
        <w:t xml:space="preserve"> </w:t>
      </w:r>
    </w:p>
    <w:p w14:paraId="02463E97" w14:textId="77777777" w:rsidR="003625A7" w:rsidRPr="00BB330F" w:rsidRDefault="003625A7" w:rsidP="003625A7">
      <w:r w:rsidRPr="00BB330F">
        <w:lastRenderedPageBreak/>
        <w:t>Univariate linear regression models (Supplementary Table 5) examined BL Fmean, fatigue ratio, and recovery as predictors of FU PROMs (FSS, PHQ-9, GAD-7, PCS Score, and C19-YRS). Lower BL Fmean predicted higher fatigue (</w:t>
      </w:r>
      <w:r w:rsidRPr="00BB330F">
        <w:rPr>
          <w:rStyle w:val="Hervorhebung"/>
          <w:rFonts w:cs="Times New Roman"/>
          <w:i w:val="0"/>
          <w:iCs w:val="0"/>
          <w:color w:val="000000" w:themeColor="text1"/>
        </w:rPr>
        <w:t>p</w:t>
      </w:r>
      <w:r w:rsidRPr="00BB330F">
        <w:rPr>
          <w:rStyle w:val="apple-converted-space"/>
          <w:rFonts w:cs="Times New Roman"/>
          <w:color w:val="000000" w:themeColor="text1"/>
        </w:rPr>
        <w:t xml:space="preserve"> </w:t>
      </w:r>
      <w:r w:rsidRPr="00BB330F">
        <w:t>= 0.016), depressive symptoms (</w:t>
      </w:r>
      <w:r w:rsidRPr="00BB330F">
        <w:rPr>
          <w:rStyle w:val="Hervorhebung"/>
          <w:rFonts w:cs="Times New Roman"/>
          <w:i w:val="0"/>
          <w:iCs w:val="0"/>
          <w:color w:val="000000" w:themeColor="text1"/>
        </w:rPr>
        <w:t>p</w:t>
      </w:r>
      <w:r w:rsidRPr="00BB330F">
        <w:rPr>
          <w:rStyle w:val="apple-converted-space"/>
          <w:rFonts w:cs="Times New Roman"/>
          <w:color w:val="000000" w:themeColor="text1"/>
        </w:rPr>
        <w:t xml:space="preserve"> </w:t>
      </w:r>
      <w:r w:rsidRPr="00BB330F">
        <w:t>= 0.002), PCS scores (</w:t>
      </w:r>
      <w:r w:rsidRPr="00BB330F">
        <w:rPr>
          <w:rStyle w:val="Hervorhebung"/>
          <w:rFonts w:cs="Times New Roman"/>
          <w:i w:val="0"/>
          <w:iCs w:val="0"/>
          <w:color w:val="000000" w:themeColor="text1"/>
        </w:rPr>
        <w:t>p</w:t>
      </w:r>
      <w:r w:rsidRPr="00BB330F">
        <w:rPr>
          <w:rStyle w:val="apple-converted-space"/>
          <w:rFonts w:cs="Times New Roman"/>
          <w:color w:val="000000" w:themeColor="text1"/>
        </w:rPr>
        <w:t xml:space="preserve"> </w:t>
      </w:r>
      <w:r w:rsidRPr="00BB330F">
        <w:t>= 0.004), and C19-YRS severity (</w:t>
      </w:r>
      <w:r w:rsidRPr="00BB330F">
        <w:rPr>
          <w:rStyle w:val="Hervorhebung"/>
          <w:rFonts w:cs="Times New Roman"/>
          <w:i w:val="0"/>
          <w:iCs w:val="0"/>
          <w:color w:val="000000" w:themeColor="text1"/>
        </w:rPr>
        <w:t>p</w:t>
      </w:r>
      <w:r w:rsidRPr="00BB330F">
        <w:rPr>
          <w:rStyle w:val="apple-converted-space"/>
          <w:rFonts w:cs="Times New Roman"/>
          <w:color w:val="000000" w:themeColor="text1"/>
        </w:rPr>
        <w:t xml:space="preserve"> </w:t>
      </w:r>
      <w:r w:rsidRPr="00BB330F">
        <w:t>= 0.015). Higher fatigue ratio was associated with greater fatigue (</w:t>
      </w:r>
      <w:r w:rsidRPr="00BB330F">
        <w:rPr>
          <w:rStyle w:val="Hervorhebung"/>
          <w:rFonts w:cs="Times New Roman"/>
          <w:i w:val="0"/>
          <w:iCs w:val="0"/>
          <w:color w:val="000000" w:themeColor="text1"/>
        </w:rPr>
        <w:t>p</w:t>
      </w:r>
      <w:r w:rsidRPr="00BB330F">
        <w:rPr>
          <w:rStyle w:val="apple-converted-space"/>
          <w:rFonts w:cs="Times New Roman"/>
          <w:color w:val="000000" w:themeColor="text1"/>
        </w:rPr>
        <w:t xml:space="preserve"> </w:t>
      </w:r>
      <w:r w:rsidRPr="00BB330F">
        <w:t>= 0.006), depression (</w:t>
      </w:r>
      <w:r w:rsidRPr="00BB330F">
        <w:rPr>
          <w:rStyle w:val="Hervorhebung"/>
          <w:rFonts w:cs="Times New Roman"/>
          <w:i w:val="0"/>
          <w:iCs w:val="0"/>
          <w:color w:val="000000" w:themeColor="text1"/>
        </w:rPr>
        <w:t>p</w:t>
      </w:r>
      <w:r w:rsidRPr="00BB330F">
        <w:rPr>
          <w:rStyle w:val="apple-converted-space"/>
          <w:rFonts w:cs="Times New Roman"/>
          <w:color w:val="000000" w:themeColor="text1"/>
        </w:rPr>
        <w:t xml:space="preserve"> </w:t>
      </w:r>
      <w:r w:rsidRPr="00BB330F">
        <w:t>= 0.035), and PCS symptom burden (</w:t>
      </w:r>
      <w:r w:rsidRPr="00BB330F">
        <w:rPr>
          <w:rStyle w:val="Hervorhebung"/>
          <w:rFonts w:cs="Times New Roman"/>
          <w:i w:val="0"/>
          <w:iCs w:val="0"/>
          <w:color w:val="000000" w:themeColor="text1"/>
        </w:rPr>
        <w:t>p</w:t>
      </w:r>
      <w:r w:rsidRPr="00BB330F">
        <w:t>= 0.039). Higher recovery predicted fewer depressive symptoms (</w:t>
      </w:r>
      <w:r w:rsidRPr="00BB330F">
        <w:rPr>
          <w:rStyle w:val="Hervorhebung"/>
          <w:rFonts w:cs="Times New Roman"/>
          <w:i w:val="0"/>
          <w:iCs w:val="0"/>
          <w:color w:val="000000" w:themeColor="text1"/>
        </w:rPr>
        <w:t>p</w:t>
      </w:r>
      <w:r w:rsidRPr="00BB330F">
        <w:rPr>
          <w:rStyle w:val="apple-converted-space"/>
          <w:rFonts w:cs="Times New Roman"/>
          <w:color w:val="000000" w:themeColor="text1"/>
        </w:rPr>
        <w:t xml:space="preserve"> </w:t>
      </w:r>
      <w:r w:rsidRPr="00BB330F">
        <w:t>= 0.015) and lower PCS scores (</w:t>
      </w:r>
      <w:r w:rsidRPr="00BB330F">
        <w:rPr>
          <w:rStyle w:val="Hervorhebung"/>
          <w:rFonts w:cs="Times New Roman"/>
          <w:i w:val="0"/>
          <w:iCs w:val="0"/>
          <w:color w:val="000000" w:themeColor="text1"/>
        </w:rPr>
        <w:t>p</w:t>
      </w:r>
      <w:r w:rsidRPr="00BB330F">
        <w:rPr>
          <w:rStyle w:val="apple-converted-space"/>
          <w:rFonts w:cs="Times New Roman"/>
          <w:color w:val="000000" w:themeColor="text1"/>
        </w:rPr>
        <w:t xml:space="preserve"> </w:t>
      </w:r>
      <w:r w:rsidRPr="00BB330F">
        <w:t>= 0.043), with trends for fatigue and C19-YRS (both</w:t>
      </w:r>
      <w:r w:rsidRPr="00BB330F">
        <w:rPr>
          <w:rStyle w:val="apple-converted-space"/>
          <w:rFonts w:cs="Times New Roman"/>
          <w:color w:val="000000" w:themeColor="text1"/>
        </w:rPr>
        <w:t xml:space="preserve"> </w:t>
      </w:r>
      <w:r w:rsidRPr="00BB330F">
        <w:rPr>
          <w:rStyle w:val="Hervorhebung"/>
          <w:rFonts w:cs="Times New Roman"/>
          <w:i w:val="0"/>
          <w:iCs w:val="0"/>
          <w:color w:val="000000" w:themeColor="text1"/>
        </w:rPr>
        <w:t>p</w:t>
      </w:r>
      <w:r w:rsidRPr="00BB330F">
        <w:rPr>
          <w:rStyle w:val="apple-converted-space"/>
          <w:rFonts w:cs="Times New Roman"/>
          <w:color w:val="000000" w:themeColor="text1"/>
        </w:rPr>
        <w:t xml:space="preserve"> </w:t>
      </w:r>
      <w:r w:rsidRPr="00BB330F">
        <w:t>&lt; 0.06). No significant associations were found for anxiety (all</w:t>
      </w:r>
      <w:r w:rsidRPr="00BB330F">
        <w:rPr>
          <w:rStyle w:val="apple-converted-space"/>
          <w:rFonts w:cs="Times New Roman"/>
          <w:color w:val="000000" w:themeColor="text1"/>
        </w:rPr>
        <w:t xml:space="preserve"> </w:t>
      </w:r>
      <w:r w:rsidRPr="00BB330F">
        <w:rPr>
          <w:rStyle w:val="Hervorhebung"/>
          <w:rFonts w:cs="Times New Roman"/>
          <w:i w:val="0"/>
          <w:iCs w:val="0"/>
          <w:color w:val="000000" w:themeColor="text1"/>
        </w:rPr>
        <w:t>p</w:t>
      </w:r>
      <w:r w:rsidRPr="00BB330F">
        <w:rPr>
          <w:rStyle w:val="apple-converted-space"/>
          <w:rFonts w:cs="Times New Roman"/>
          <w:color w:val="000000" w:themeColor="text1"/>
        </w:rPr>
        <w:t xml:space="preserve"> </w:t>
      </w:r>
      <w:r w:rsidRPr="00BB330F">
        <w:t>&gt; 0.17).</w:t>
      </w:r>
    </w:p>
    <w:tbl>
      <w:tblPr>
        <w:tblStyle w:val="Gitternetztabelle1hell"/>
        <w:tblW w:w="5000" w:type="pct"/>
        <w:tblLook w:val="04A0" w:firstRow="1" w:lastRow="0" w:firstColumn="1" w:lastColumn="0" w:noHBand="0" w:noVBand="1"/>
      </w:tblPr>
      <w:tblGrid>
        <w:gridCol w:w="2699"/>
        <w:gridCol w:w="2513"/>
        <w:gridCol w:w="2606"/>
        <w:gridCol w:w="1174"/>
        <w:gridCol w:w="775"/>
      </w:tblGrid>
      <w:tr w:rsidR="003625A7" w:rsidRPr="00BB330F" w14:paraId="4035181C" w14:textId="77777777" w:rsidTr="00341A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1" w:type="pct"/>
            <w:hideMark/>
          </w:tcPr>
          <w:p w14:paraId="5BDBEA37" w14:textId="77777777" w:rsidR="003625A7" w:rsidRPr="00BB330F" w:rsidRDefault="003625A7" w:rsidP="00341AD1">
            <w:pPr>
              <w:jc w:val="center"/>
              <w:rPr>
                <w:rFonts w:cs="Times New Roman"/>
                <w:color w:val="000000" w:themeColor="text1"/>
                <w:sz w:val="20"/>
                <w:szCs w:val="20"/>
              </w:rPr>
            </w:pPr>
            <w:r w:rsidRPr="00BB330F">
              <w:rPr>
                <w:rFonts w:cs="Times New Roman"/>
                <w:color w:val="000000" w:themeColor="text1"/>
                <w:sz w:val="20"/>
                <w:szCs w:val="20"/>
              </w:rPr>
              <w:t>FU PROM</w:t>
            </w:r>
          </w:p>
        </w:tc>
        <w:tc>
          <w:tcPr>
            <w:tcW w:w="1286" w:type="pct"/>
            <w:hideMark/>
          </w:tcPr>
          <w:p w14:paraId="1EB52523" w14:textId="77777777" w:rsidR="003625A7" w:rsidRPr="00BB330F" w:rsidRDefault="003625A7" w:rsidP="00341AD1">
            <w:pPr>
              <w:jc w:val="center"/>
              <w:cnfStyle w:val="100000000000" w:firstRow="1"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BL predictor</w:t>
            </w:r>
          </w:p>
        </w:tc>
        <w:tc>
          <w:tcPr>
            <w:tcW w:w="1334" w:type="pct"/>
            <w:hideMark/>
          </w:tcPr>
          <w:p w14:paraId="265E8270" w14:textId="77777777" w:rsidR="003625A7" w:rsidRPr="00BB330F" w:rsidRDefault="003625A7" w:rsidP="00341AD1">
            <w:pPr>
              <w:jc w:val="center"/>
              <w:cnfStyle w:val="100000000000" w:firstRow="1"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β (95% CI)</w:t>
            </w:r>
          </w:p>
        </w:tc>
        <w:tc>
          <w:tcPr>
            <w:tcW w:w="601" w:type="pct"/>
            <w:hideMark/>
          </w:tcPr>
          <w:p w14:paraId="12BECA8C" w14:textId="77777777" w:rsidR="003625A7" w:rsidRPr="00BB330F" w:rsidRDefault="003625A7" w:rsidP="00341AD1">
            <w:pPr>
              <w:jc w:val="center"/>
              <w:cnfStyle w:val="100000000000" w:firstRow="1"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p-value</w:t>
            </w:r>
          </w:p>
        </w:tc>
        <w:tc>
          <w:tcPr>
            <w:tcW w:w="397" w:type="pct"/>
            <w:hideMark/>
          </w:tcPr>
          <w:p w14:paraId="3C6D17C1" w14:textId="77777777" w:rsidR="003625A7" w:rsidRPr="00BB330F" w:rsidRDefault="003625A7" w:rsidP="00341AD1">
            <w:pPr>
              <w:jc w:val="center"/>
              <w:cnfStyle w:val="100000000000" w:firstRow="1"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R²</w:t>
            </w:r>
          </w:p>
        </w:tc>
      </w:tr>
      <w:tr w:rsidR="003625A7" w:rsidRPr="00BB330F" w14:paraId="6EFCEDD8" w14:textId="77777777" w:rsidTr="00341AD1">
        <w:tc>
          <w:tcPr>
            <w:cnfStyle w:val="001000000000" w:firstRow="0" w:lastRow="0" w:firstColumn="1" w:lastColumn="0" w:oddVBand="0" w:evenVBand="0" w:oddHBand="0" w:evenHBand="0" w:firstRowFirstColumn="0" w:firstRowLastColumn="0" w:lastRowFirstColumn="0" w:lastRowLastColumn="0"/>
            <w:tcW w:w="1381" w:type="pct"/>
            <w:hideMark/>
          </w:tcPr>
          <w:p w14:paraId="4FEAD193" w14:textId="77777777" w:rsidR="003625A7" w:rsidRPr="00BB330F" w:rsidRDefault="003625A7" w:rsidP="00341AD1">
            <w:pPr>
              <w:jc w:val="center"/>
              <w:rPr>
                <w:rFonts w:cs="Times New Roman"/>
                <w:color w:val="000000" w:themeColor="text1"/>
                <w:sz w:val="20"/>
                <w:szCs w:val="20"/>
              </w:rPr>
            </w:pPr>
            <w:r w:rsidRPr="00BB330F">
              <w:rPr>
                <w:rFonts w:cs="Times New Roman"/>
                <w:color w:val="000000" w:themeColor="text1"/>
                <w:sz w:val="20"/>
                <w:szCs w:val="20"/>
              </w:rPr>
              <w:t>FSS (Fatigue)</w:t>
            </w:r>
          </w:p>
        </w:tc>
        <w:tc>
          <w:tcPr>
            <w:tcW w:w="1286" w:type="pct"/>
            <w:hideMark/>
          </w:tcPr>
          <w:p w14:paraId="7E76C15A"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Handgrip strength</w:t>
            </w:r>
          </w:p>
        </w:tc>
        <w:tc>
          <w:tcPr>
            <w:tcW w:w="1334" w:type="pct"/>
            <w:hideMark/>
          </w:tcPr>
          <w:p w14:paraId="2CE48871"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-0.03 (-0.05, -0.01)</w:t>
            </w:r>
          </w:p>
        </w:tc>
        <w:tc>
          <w:tcPr>
            <w:tcW w:w="601" w:type="pct"/>
            <w:hideMark/>
          </w:tcPr>
          <w:p w14:paraId="56531C5C"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b/>
                <w:bCs/>
                <w:color w:val="000000" w:themeColor="text1"/>
                <w:sz w:val="20"/>
                <w:szCs w:val="20"/>
              </w:rPr>
            </w:pPr>
            <w:r w:rsidRPr="00BB330F">
              <w:rPr>
                <w:rFonts w:cs="Times New Roman"/>
                <w:b/>
                <w:bCs/>
                <w:color w:val="000000" w:themeColor="text1"/>
                <w:sz w:val="20"/>
                <w:szCs w:val="20"/>
              </w:rPr>
              <w:t>0.016</w:t>
            </w:r>
          </w:p>
        </w:tc>
        <w:tc>
          <w:tcPr>
            <w:tcW w:w="397" w:type="pct"/>
            <w:hideMark/>
          </w:tcPr>
          <w:p w14:paraId="4D73CFEF"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0.07</w:t>
            </w:r>
          </w:p>
        </w:tc>
      </w:tr>
      <w:tr w:rsidR="003625A7" w:rsidRPr="00BB330F" w14:paraId="74BF5667" w14:textId="77777777" w:rsidTr="00341AD1">
        <w:tc>
          <w:tcPr>
            <w:cnfStyle w:val="001000000000" w:firstRow="0" w:lastRow="0" w:firstColumn="1" w:lastColumn="0" w:oddVBand="0" w:evenVBand="0" w:oddHBand="0" w:evenHBand="0" w:firstRowFirstColumn="0" w:firstRowLastColumn="0" w:lastRowFirstColumn="0" w:lastRowLastColumn="0"/>
            <w:tcW w:w="1381" w:type="pct"/>
            <w:hideMark/>
          </w:tcPr>
          <w:p w14:paraId="783D787E" w14:textId="77777777" w:rsidR="003625A7" w:rsidRPr="00BB330F" w:rsidRDefault="003625A7" w:rsidP="00341AD1">
            <w:pPr>
              <w:jc w:val="center"/>
              <w:rPr>
                <w:rFonts w:cs="Times New Roman"/>
                <w:color w:val="000000" w:themeColor="text1"/>
                <w:sz w:val="20"/>
                <w:szCs w:val="20"/>
              </w:rPr>
            </w:pPr>
          </w:p>
        </w:tc>
        <w:tc>
          <w:tcPr>
            <w:tcW w:w="1286" w:type="pct"/>
            <w:hideMark/>
          </w:tcPr>
          <w:p w14:paraId="694471BB"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Fatigue Ratio</w:t>
            </w:r>
          </w:p>
        </w:tc>
        <w:tc>
          <w:tcPr>
            <w:tcW w:w="1334" w:type="pct"/>
            <w:hideMark/>
          </w:tcPr>
          <w:p w14:paraId="01CC0BCC"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1.69 (0.51, 2.88)</w:t>
            </w:r>
          </w:p>
        </w:tc>
        <w:tc>
          <w:tcPr>
            <w:tcW w:w="601" w:type="pct"/>
            <w:hideMark/>
          </w:tcPr>
          <w:p w14:paraId="0BED4410"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b/>
                <w:bCs/>
                <w:color w:val="000000" w:themeColor="text1"/>
                <w:sz w:val="20"/>
                <w:szCs w:val="20"/>
              </w:rPr>
            </w:pPr>
            <w:r w:rsidRPr="00BB330F">
              <w:rPr>
                <w:rFonts w:cs="Times New Roman"/>
                <w:b/>
                <w:bCs/>
                <w:color w:val="000000" w:themeColor="text1"/>
                <w:sz w:val="20"/>
                <w:szCs w:val="20"/>
              </w:rPr>
              <w:t>0.006</w:t>
            </w:r>
          </w:p>
        </w:tc>
        <w:tc>
          <w:tcPr>
            <w:tcW w:w="397" w:type="pct"/>
            <w:hideMark/>
          </w:tcPr>
          <w:p w14:paraId="2858E113"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0.09</w:t>
            </w:r>
          </w:p>
        </w:tc>
      </w:tr>
      <w:tr w:rsidR="003625A7" w:rsidRPr="00BB330F" w14:paraId="6B45B274" w14:textId="77777777" w:rsidTr="00341AD1">
        <w:tc>
          <w:tcPr>
            <w:cnfStyle w:val="001000000000" w:firstRow="0" w:lastRow="0" w:firstColumn="1" w:lastColumn="0" w:oddVBand="0" w:evenVBand="0" w:oddHBand="0" w:evenHBand="0" w:firstRowFirstColumn="0" w:firstRowLastColumn="0" w:lastRowFirstColumn="0" w:lastRowLastColumn="0"/>
            <w:tcW w:w="1381" w:type="pct"/>
            <w:hideMark/>
          </w:tcPr>
          <w:p w14:paraId="6B62AD6E" w14:textId="77777777" w:rsidR="003625A7" w:rsidRPr="00BB330F" w:rsidRDefault="003625A7" w:rsidP="00341AD1">
            <w:pPr>
              <w:jc w:val="center"/>
              <w:rPr>
                <w:rFonts w:cs="Times New Roman"/>
                <w:color w:val="000000" w:themeColor="text1"/>
                <w:sz w:val="20"/>
                <w:szCs w:val="20"/>
              </w:rPr>
            </w:pPr>
          </w:p>
        </w:tc>
        <w:tc>
          <w:tcPr>
            <w:tcW w:w="1286" w:type="pct"/>
            <w:hideMark/>
          </w:tcPr>
          <w:p w14:paraId="43A44EB8"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Recovery</w:t>
            </w:r>
          </w:p>
        </w:tc>
        <w:tc>
          <w:tcPr>
            <w:tcW w:w="1334" w:type="pct"/>
            <w:hideMark/>
          </w:tcPr>
          <w:p w14:paraId="116CC921"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-1.79 (-3.62, 0.04)</w:t>
            </w:r>
          </w:p>
        </w:tc>
        <w:tc>
          <w:tcPr>
            <w:tcW w:w="601" w:type="pct"/>
            <w:hideMark/>
          </w:tcPr>
          <w:p w14:paraId="156CBA21"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0.059</w:t>
            </w:r>
          </w:p>
        </w:tc>
        <w:tc>
          <w:tcPr>
            <w:tcW w:w="397" w:type="pct"/>
            <w:hideMark/>
          </w:tcPr>
          <w:p w14:paraId="072D2DE1"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0.05</w:t>
            </w:r>
          </w:p>
        </w:tc>
      </w:tr>
      <w:tr w:rsidR="003625A7" w:rsidRPr="00BB330F" w14:paraId="1FA08E7A" w14:textId="77777777" w:rsidTr="00341AD1">
        <w:tc>
          <w:tcPr>
            <w:cnfStyle w:val="001000000000" w:firstRow="0" w:lastRow="0" w:firstColumn="1" w:lastColumn="0" w:oddVBand="0" w:evenVBand="0" w:oddHBand="0" w:evenHBand="0" w:firstRowFirstColumn="0" w:firstRowLastColumn="0" w:lastRowFirstColumn="0" w:lastRowLastColumn="0"/>
            <w:tcW w:w="1381" w:type="pct"/>
            <w:hideMark/>
          </w:tcPr>
          <w:p w14:paraId="6BDC024D" w14:textId="77777777" w:rsidR="003625A7" w:rsidRPr="00BB330F" w:rsidRDefault="003625A7" w:rsidP="00341AD1">
            <w:pPr>
              <w:jc w:val="center"/>
              <w:rPr>
                <w:rFonts w:cs="Times New Roman"/>
                <w:color w:val="000000" w:themeColor="text1"/>
                <w:sz w:val="20"/>
                <w:szCs w:val="20"/>
              </w:rPr>
            </w:pPr>
            <w:r w:rsidRPr="00BB330F">
              <w:rPr>
                <w:rFonts w:cs="Times New Roman"/>
                <w:color w:val="000000" w:themeColor="text1"/>
                <w:sz w:val="20"/>
                <w:szCs w:val="20"/>
              </w:rPr>
              <w:t>PHQ-9 (Depression)</w:t>
            </w:r>
          </w:p>
        </w:tc>
        <w:tc>
          <w:tcPr>
            <w:tcW w:w="1286" w:type="pct"/>
            <w:hideMark/>
          </w:tcPr>
          <w:p w14:paraId="72512F0B"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Handgrip strength</w:t>
            </w:r>
          </w:p>
        </w:tc>
        <w:tc>
          <w:tcPr>
            <w:tcW w:w="1334" w:type="pct"/>
            <w:hideMark/>
          </w:tcPr>
          <w:p w14:paraId="2F86A891"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-0.12 (-0.20, -0.05)</w:t>
            </w:r>
          </w:p>
        </w:tc>
        <w:tc>
          <w:tcPr>
            <w:tcW w:w="601" w:type="pct"/>
            <w:hideMark/>
          </w:tcPr>
          <w:p w14:paraId="5BFD87FC"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b/>
                <w:bCs/>
                <w:color w:val="000000" w:themeColor="text1"/>
                <w:sz w:val="20"/>
                <w:szCs w:val="20"/>
              </w:rPr>
            </w:pPr>
            <w:r w:rsidRPr="00BB330F">
              <w:rPr>
                <w:rFonts w:cs="Times New Roman"/>
                <w:b/>
                <w:bCs/>
                <w:color w:val="000000" w:themeColor="text1"/>
                <w:sz w:val="20"/>
                <w:szCs w:val="20"/>
              </w:rPr>
              <w:t>0.002</w:t>
            </w:r>
          </w:p>
        </w:tc>
        <w:tc>
          <w:tcPr>
            <w:tcW w:w="397" w:type="pct"/>
            <w:hideMark/>
          </w:tcPr>
          <w:p w14:paraId="2856A910"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0.11</w:t>
            </w:r>
          </w:p>
        </w:tc>
      </w:tr>
      <w:tr w:rsidR="003625A7" w:rsidRPr="00BB330F" w14:paraId="1A5BEF1D" w14:textId="77777777" w:rsidTr="00341AD1">
        <w:tc>
          <w:tcPr>
            <w:cnfStyle w:val="001000000000" w:firstRow="0" w:lastRow="0" w:firstColumn="1" w:lastColumn="0" w:oddVBand="0" w:evenVBand="0" w:oddHBand="0" w:evenHBand="0" w:firstRowFirstColumn="0" w:firstRowLastColumn="0" w:lastRowFirstColumn="0" w:lastRowLastColumn="0"/>
            <w:tcW w:w="1381" w:type="pct"/>
            <w:hideMark/>
          </w:tcPr>
          <w:p w14:paraId="6D86929E" w14:textId="77777777" w:rsidR="003625A7" w:rsidRPr="00BB330F" w:rsidRDefault="003625A7" w:rsidP="00341AD1">
            <w:pPr>
              <w:jc w:val="center"/>
              <w:rPr>
                <w:rFonts w:cs="Times New Roman"/>
                <w:color w:val="000000" w:themeColor="text1"/>
                <w:sz w:val="20"/>
                <w:szCs w:val="20"/>
              </w:rPr>
            </w:pPr>
          </w:p>
        </w:tc>
        <w:tc>
          <w:tcPr>
            <w:tcW w:w="1286" w:type="pct"/>
            <w:hideMark/>
          </w:tcPr>
          <w:p w14:paraId="5EB3AF5B"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Fatigue Ratio</w:t>
            </w:r>
          </w:p>
        </w:tc>
        <w:tc>
          <w:tcPr>
            <w:tcW w:w="1334" w:type="pct"/>
            <w:hideMark/>
          </w:tcPr>
          <w:p w14:paraId="2E5B2EEB"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4.23 (0.36, 8.10)</w:t>
            </w:r>
          </w:p>
        </w:tc>
        <w:tc>
          <w:tcPr>
            <w:tcW w:w="601" w:type="pct"/>
            <w:hideMark/>
          </w:tcPr>
          <w:p w14:paraId="7B23C6AF"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b/>
                <w:bCs/>
                <w:color w:val="000000" w:themeColor="text1"/>
                <w:sz w:val="20"/>
                <w:szCs w:val="20"/>
              </w:rPr>
            </w:pPr>
            <w:r w:rsidRPr="00BB330F">
              <w:rPr>
                <w:rFonts w:cs="Times New Roman"/>
                <w:b/>
                <w:bCs/>
                <w:color w:val="000000" w:themeColor="text1"/>
                <w:sz w:val="20"/>
                <w:szCs w:val="20"/>
              </w:rPr>
              <w:t>0.035</w:t>
            </w:r>
          </w:p>
        </w:tc>
        <w:tc>
          <w:tcPr>
            <w:tcW w:w="397" w:type="pct"/>
            <w:hideMark/>
          </w:tcPr>
          <w:p w14:paraId="268A1532"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0.05</w:t>
            </w:r>
          </w:p>
        </w:tc>
      </w:tr>
      <w:tr w:rsidR="003625A7" w:rsidRPr="00BB330F" w14:paraId="2BF114F5" w14:textId="77777777" w:rsidTr="00341AD1">
        <w:tc>
          <w:tcPr>
            <w:cnfStyle w:val="001000000000" w:firstRow="0" w:lastRow="0" w:firstColumn="1" w:lastColumn="0" w:oddVBand="0" w:evenVBand="0" w:oddHBand="0" w:evenHBand="0" w:firstRowFirstColumn="0" w:firstRowLastColumn="0" w:lastRowFirstColumn="0" w:lastRowLastColumn="0"/>
            <w:tcW w:w="1381" w:type="pct"/>
            <w:hideMark/>
          </w:tcPr>
          <w:p w14:paraId="53F0FE1B" w14:textId="77777777" w:rsidR="003625A7" w:rsidRPr="00BB330F" w:rsidRDefault="003625A7" w:rsidP="00341AD1">
            <w:pPr>
              <w:jc w:val="center"/>
              <w:rPr>
                <w:rFonts w:cs="Times New Roman"/>
                <w:color w:val="000000" w:themeColor="text1"/>
                <w:sz w:val="20"/>
                <w:szCs w:val="20"/>
              </w:rPr>
            </w:pPr>
          </w:p>
        </w:tc>
        <w:tc>
          <w:tcPr>
            <w:tcW w:w="1286" w:type="pct"/>
            <w:hideMark/>
          </w:tcPr>
          <w:p w14:paraId="5F513217"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Recovery</w:t>
            </w:r>
          </w:p>
        </w:tc>
        <w:tc>
          <w:tcPr>
            <w:tcW w:w="1334" w:type="pct"/>
            <w:hideMark/>
          </w:tcPr>
          <w:p w14:paraId="48FB85DB"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-6.97 (-12.5, -1.49)</w:t>
            </w:r>
          </w:p>
        </w:tc>
        <w:tc>
          <w:tcPr>
            <w:tcW w:w="601" w:type="pct"/>
            <w:hideMark/>
          </w:tcPr>
          <w:p w14:paraId="744AF2CE"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b/>
                <w:bCs/>
                <w:color w:val="000000" w:themeColor="text1"/>
                <w:sz w:val="20"/>
                <w:szCs w:val="20"/>
              </w:rPr>
            </w:pPr>
            <w:r w:rsidRPr="00BB330F">
              <w:rPr>
                <w:rFonts w:cs="Times New Roman"/>
                <w:b/>
                <w:bCs/>
                <w:color w:val="000000" w:themeColor="text1"/>
                <w:sz w:val="20"/>
                <w:szCs w:val="20"/>
              </w:rPr>
              <w:t>0.015</w:t>
            </w:r>
          </w:p>
        </w:tc>
        <w:tc>
          <w:tcPr>
            <w:tcW w:w="397" w:type="pct"/>
            <w:hideMark/>
          </w:tcPr>
          <w:p w14:paraId="7A51B747"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0.07</w:t>
            </w:r>
          </w:p>
        </w:tc>
      </w:tr>
      <w:tr w:rsidR="003625A7" w:rsidRPr="00BB330F" w14:paraId="0992ED5C" w14:textId="77777777" w:rsidTr="00341AD1">
        <w:tc>
          <w:tcPr>
            <w:cnfStyle w:val="001000000000" w:firstRow="0" w:lastRow="0" w:firstColumn="1" w:lastColumn="0" w:oddVBand="0" w:evenVBand="0" w:oddHBand="0" w:evenHBand="0" w:firstRowFirstColumn="0" w:firstRowLastColumn="0" w:lastRowFirstColumn="0" w:lastRowLastColumn="0"/>
            <w:tcW w:w="1381" w:type="pct"/>
            <w:hideMark/>
          </w:tcPr>
          <w:p w14:paraId="5ABDBFB6" w14:textId="77777777" w:rsidR="003625A7" w:rsidRPr="00BB330F" w:rsidRDefault="003625A7" w:rsidP="00341AD1">
            <w:pPr>
              <w:jc w:val="center"/>
              <w:rPr>
                <w:rFonts w:cs="Times New Roman"/>
                <w:color w:val="000000" w:themeColor="text1"/>
                <w:sz w:val="20"/>
                <w:szCs w:val="20"/>
              </w:rPr>
            </w:pPr>
            <w:r w:rsidRPr="00BB330F">
              <w:rPr>
                <w:rFonts w:cs="Times New Roman"/>
                <w:color w:val="000000" w:themeColor="text1"/>
                <w:sz w:val="20"/>
                <w:szCs w:val="20"/>
              </w:rPr>
              <w:t>GAD-7 (Anxiety)</w:t>
            </w:r>
          </w:p>
        </w:tc>
        <w:tc>
          <w:tcPr>
            <w:tcW w:w="1286" w:type="pct"/>
            <w:hideMark/>
          </w:tcPr>
          <w:p w14:paraId="3C70989C"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Handgrip strength</w:t>
            </w:r>
          </w:p>
        </w:tc>
        <w:tc>
          <w:tcPr>
            <w:tcW w:w="1334" w:type="pct"/>
            <w:hideMark/>
          </w:tcPr>
          <w:p w14:paraId="469B7D4D"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-0.05 (-0.12, 0.02)</w:t>
            </w:r>
          </w:p>
        </w:tc>
        <w:tc>
          <w:tcPr>
            <w:tcW w:w="601" w:type="pct"/>
            <w:hideMark/>
          </w:tcPr>
          <w:p w14:paraId="5622CAA3"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0.178</w:t>
            </w:r>
          </w:p>
        </w:tc>
        <w:tc>
          <w:tcPr>
            <w:tcW w:w="397" w:type="pct"/>
            <w:hideMark/>
          </w:tcPr>
          <w:p w14:paraId="0FC4BCFD"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0.02</w:t>
            </w:r>
          </w:p>
        </w:tc>
      </w:tr>
      <w:tr w:rsidR="003625A7" w:rsidRPr="00BB330F" w14:paraId="18870B1A" w14:textId="77777777" w:rsidTr="00341AD1">
        <w:tc>
          <w:tcPr>
            <w:cnfStyle w:val="001000000000" w:firstRow="0" w:lastRow="0" w:firstColumn="1" w:lastColumn="0" w:oddVBand="0" w:evenVBand="0" w:oddHBand="0" w:evenHBand="0" w:firstRowFirstColumn="0" w:firstRowLastColumn="0" w:lastRowFirstColumn="0" w:lastRowLastColumn="0"/>
            <w:tcW w:w="1381" w:type="pct"/>
            <w:hideMark/>
          </w:tcPr>
          <w:p w14:paraId="64A8A5C8" w14:textId="77777777" w:rsidR="003625A7" w:rsidRPr="00BB330F" w:rsidRDefault="003625A7" w:rsidP="00341AD1">
            <w:pPr>
              <w:jc w:val="center"/>
              <w:rPr>
                <w:rFonts w:cs="Times New Roman"/>
                <w:color w:val="000000" w:themeColor="text1"/>
                <w:sz w:val="20"/>
                <w:szCs w:val="20"/>
              </w:rPr>
            </w:pPr>
          </w:p>
        </w:tc>
        <w:tc>
          <w:tcPr>
            <w:tcW w:w="1286" w:type="pct"/>
            <w:hideMark/>
          </w:tcPr>
          <w:p w14:paraId="34ECCECF"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Fatigue Ratio</w:t>
            </w:r>
          </w:p>
        </w:tc>
        <w:tc>
          <w:tcPr>
            <w:tcW w:w="1334" w:type="pct"/>
            <w:hideMark/>
          </w:tcPr>
          <w:p w14:paraId="7BC6BD47"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1.31 (-2.24, 4.87)</w:t>
            </w:r>
          </w:p>
        </w:tc>
        <w:tc>
          <w:tcPr>
            <w:tcW w:w="601" w:type="pct"/>
            <w:hideMark/>
          </w:tcPr>
          <w:p w14:paraId="12584415"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0.471</w:t>
            </w:r>
          </w:p>
        </w:tc>
        <w:tc>
          <w:tcPr>
            <w:tcW w:w="397" w:type="pct"/>
            <w:hideMark/>
          </w:tcPr>
          <w:p w14:paraId="5F3893B2"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0.01</w:t>
            </w:r>
          </w:p>
        </w:tc>
      </w:tr>
      <w:tr w:rsidR="003625A7" w:rsidRPr="00BB330F" w14:paraId="4B0286DA" w14:textId="77777777" w:rsidTr="00341AD1">
        <w:tc>
          <w:tcPr>
            <w:cnfStyle w:val="001000000000" w:firstRow="0" w:lastRow="0" w:firstColumn="1" w:lastColumn="0" w:oddVBand="0" w:evenVBand="0" w:oddHBand="0" w:evenHBand="0" w:firstRowFirstColumn="0" w:firstRowLastColumn="0" w:lastRowFirstColumn="0" w:lastRowLastColumn="0"/>
            <w:tcW w:w="1381" w:type="pct"/>
            <w:hideMark/>
          </w:tcPr>
          <w:p w14:paraId="0FC1AC74" w14:textId="77777777" w:rsidR="003625A7" w:rsidRPr="00BB330F" w:rsidRDefault="003625A7" w:rsidP="00341AD1">
            <w:pPr>
              <w:jc w:val="center"/>
              <w:rPr>
                <w:rFonts w:cs="Times New Roman"/>
                <w:color w:val="000000" w:themeColor="text1"/>
                <w:sz w:val="20"/>
                <w:szCs w:val="20"/>
              </w:rPr>
            </w:pPr>
          </w:p>
        </w:tc>
        <w:tc>
          <w:tcPr>
            <w:tcW w:w="1286" w:type="pct"/>
            <w:hideMark/>
          </w:tcPr>
          <w:p w14:paraId="1401A6F9"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Recovery</w:t>
            </w:r>
          </w:p>
        </w:tc>
        <w:tc>
          <w:tcPr>
            <w:tcW w:w="1334" w:type="pct"/>
            <w:hideMark/>
          </w:tcPr>
          <w:p w14:paraId="1E6F6737"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-0.07 (-5.17, 5.02)</w:t>
            </w:r>
          </w:p>
        </w:tc>
        <w:tc>
          <w:tcPr>
            <w:tcW w:w="601" w:type="pct"/>
            <w:hideMark/>
          </w:tcPr>
          <w:p w14:paraId="32D76AC5"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0.977</w:t>
            </w:r>
          </w:p>
        </w:tc>
        <w:tc>
          <w:tcPr>
            <w:tcW w:w="397" w:type="pct"/>
            <w:hideMark/>
          </w:tcPr>
          <w:p w14:paraId="0D27CD7A"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0.00</w:t>
            </w:r>
          </w:p>
        </w:tc>
      </w:tr>
      <w:tr w:rsidR="003625A7" w:rsidRPr="00BB330F" w14:paraId="08C17F49" w14:textId="77777777" w:rsidTr="00341AD1">
        <w:tc>
          <w:tcPr>
            <w:cnfStyle w:val="001000000000" w:firstRow="0" w:lastRow="0" w:firstColumn="1" w:lastColumn="0" w:oddVBand="0" w:evenVBand="0" w:oddHBand="0" w:evenHBand="0" w:firstRowFirstColumn="0" w:firstRowLastColumn="0" w:lastRowFirstColumn="0" w:lastRowLastColumn="0"/>
            <w:tcW w:w="1381" w:type="pct"/>
            <w:hideMark/>
          </w:tcPr>
          <w:p w14:paraId="3AFC489D" w14:textId="77777777" w:rsidR="003625A7" w:rsidRPr="00BB330F" w:rsidRDefault="003625A7" w:rsidP="00341AD1">
            <w:pPr>
              <w:jc w:val="center"/>
              <w:rPr>
                <w:rFonts w:cs="Times New Roman"/>
                <w:color w:val="000000" w:themeColor="text1"/>
                <w:sz w:val="20"/>
                <w:szCs w:val="20"/>
              </w:rPr>
            </w:pPr>
            <w:r w:rsidRPr="00BB330F">
              <w:rPr>
                <w:rFonts w:cs="Times New Roman"/>
                <w:color w:val="000000" w:themeColor="text1"/>
                <w:sz w:val="20"/>
                <w:szCs w:val="20"/>
              </w:rPr>
              <w:t>PCS Score</w:t>
            </w:r>
          </w:p>
        </w:tc>
        <w:tc>
          <w:tcPr>
            <w:tcW w:w="1286" w:type="pct"/>
            <w:hideMark/>
          </w:tcPr>
          <w:p w14:paraId="7B7A8CB1"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Handgrip strength</w:t>
            </w:r>
          </w:p>
        </w:tc>
        <w:tc>
          <w:tcPr>
            <w:tcW w:w="1334" w:type="pct"/>
            <w:hideMark/>
          </w:tcPr>
          <w:p w14:paraId="27746474"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-0.29 (-0.48, -0.10)</w:t>
            </w:r>
          </w:p>
        </w:tc>
        <w:tc>
          <w:tcPr>
            <w:tcW w:w="601" w:type="pct"/>
            <w:hideMark/>
          </w:tcPr>
          <w:p w14:paraId="373E7D40"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b/>
                <w:bCs/>
                <w:color w:val="000000" w:themeColor="text1"/>
                <w:sz w:val="20"/>
                <w:szCs w:val="20"/>
              </w:rPr>
            </w:pPr>
            <w:r w:rsidRPr="00BB330F">
              <w:rPr>
                <w:rFonts w:cs="Times New Roman"/>
                <w:b/>
                <w:bCs/>
                <w:color w:val="000000" w:themeColor="text1"/>
                <w:sz w:val="20"/>
                <w:szCs w:val="20"/>
              </w:rPr>
              <w:t>0.004</w:t>
            </w:r>
          </w:p>
        </w:tc>
        <w:tc>
          <w:tcPr>
            <w:tcW w:w="397" w:type="pct"/>
            <w:hideMark/>
          </w:tcPr>
          <w:p w14:paraId="7357C22F"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0.10</w:t>
            </w:r>
          </w:p>
        </w:tc>
      </w:tr>
      <w:tr w:rsidR="003625A7" w:rsidRPr="00BB330F" w14:paraId="2540EF2A" w14:textId="77777777" w:rsidTr="00341AD1">
        <w:tc>
          <w:tcPr>
            <w:cnfStyle w:val="001000000000" w:firstRow="0" w:lastRow="0" w:firstColumn="1" w:lastColumn="0" w:oddVBand="0" w:evenVBand="0" w:oddHBand="0" w:evenHBand="0" w:firstRowFirstColumn="0" w:firstRowLastColumn="0" w:lastRowFirstColumn="0" w:lastRowLastColumn="0"/>
            <w:tcW w:w="1381" w:type="pct"/>
            <w:hideMark/>
          </w:tcPr>
          <w:p w14:paraId="023CD0E4" w14:textId="77777777" w:rsidR="003625A7" w:rsidRPr="00BB330F" w:rsidRDefault="003625A7" w:rsidP="00341AD1">
            <w:pPr>
              <w:jc w:val="center"/>
              <w:rPr>
                <w:rFonts w:cs="Times New Roman"/>
                <w:color w:val="000000" w:themeColor="text1"/>
                <w:sz w:val="20"/>
                <w:szCs w:val="20"/>
              </w:rPr>
            </w:pPr>
          </w:p>
        </w:tc>
        <w:tc>
          <w:tcPr>
            <w:tcW w:w="1286" w:type="pct"/>
            <w:hideMark/>
          </w:tcPr>
          <w:p w14:paraId="7226653C"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Fatigue Ratio</w:t>
            </w:r>
          </w:p>
        </w:tc>
        <w:tc>
          <w:tcPr>
            <w:tcW w:w="1334" w:type="pct"/>
            <w:hideMark/>
          </w:tcPr>
          <w:p w14:paraId="4606A7A9"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10.8 (0.72, 20.8)</w:t>
            </w:r>
          </w:p>
        </w:tc>
        <w:tc>
          <w:tcPr>
            <w:tcW w:w="601" w:type="pct"/>
            <w:hideMark/>
          </w:tcPr>
          <w:p w14:paraId="085AC85A"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b/>
                <w:bCs/>
                <w:color w:val="000000" w:themeColor="text1"/>
                <w:sz w:val="20"/>
                <w:szCs w:val="20"/>
              </w:rPr>
            </w:pPr>
            <w:r w:rsidRPr="00BB330F">
              <w:rPr>
                <w:rFonts w:cs="Times New Roman"/>
                <w:b/>
                <w:bCs/>
                <w:color w:val="000000" w:themeColor="text1"/>
                <w:sz w:val="20"/>
                <w:szCs w:val="20"/>
              </w:rPr>
              <w:t>0.039</w:t>
            </w:r>
          </w:p>
        </w:tc>
        <w:tc>
          <w:tcPr>
            <w:tcW w:w="397" w:type="pct"/>
            <w:hideMark/>
          </w:tcPr>
          <w:p w14:paraId="1DC4E2E3"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0.05</w:t>
            </w:r>
          </w:p>
        </w:tc>
      </w:tr>
      <w:tr w:rsidR="003625A7" w:rsidRPr="00BB330F" w14:paraId="198D1506" w14:textId="77777777" w:rsidTr="00341AD1">
        <w:tc>
          <w:tcPr>
            <w:cnfStyle w:val="001000000000" w:firstRow="0" w:lastRow="0" w:firstColumn="1" w:lastColumn="0" w:oddVBand="0" w:evenVBand="0" w:oddHBand="0" w:evenHBand="0" w:firstRowFirstColumn="0" w:firstRowLastColumn="0" w:lastRowFirstColumn="0" w:lastRowLastColumn="0"/>
            <w:tcW w:w="1381" w:type="pct"/>
            <w:hideMark/>
          </w:tcPr>
          <w:p w14:paraId="4723E9C9" w14:textId="77777777" w:rsidR="003625A7" w:rsidRPr="00BB330F" w:rsidRDefault="003625A7" w:rsidP="00341AD1">
            <w:pPr>
              <w:jc w:val="center"/>
              <w:rPr>
                <w:rFonts w:cs="Times New Roman"/>
                <w:color w:val="000000" w:themeColor="text1"/>
                <w:sz w:val="20"/>
                <w:szCs w:val="20"/>
              </w:rPr>
            </w:pPr>
          </w:p>
        </w:tc>
        <w:tc>
          <w:tcPr>
            <w:tcW w:w="1286" w:type="pct"/>
            <w:hideMark/>
          </w:tcPr>
          <w:p w14:paraId="47CCA174"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Recovery</w:t>
            </w:r>
          </w:p>
        </w:tc>
        <w:tc>
          <w:tcPr>
            <w:tcW w:w="1334" w:type="pct"/>
            <w:hideMark/>
          </w:tcPr>
          <w:p w14:paraId="105ACC64"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-15.5 (-30.4, -0.7)</w:t>
            </w:r>
          </w:p>
        </w:tc>
        <w:tc>
          <w:tcPr>
            <w:tcW w:w="601" w:type="pct"/>
            <w:hideMark/>
          </w:tcPr>
          <w:p w14:paraId="065FC55D"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b/>
                <w:bCs/>
                <w:color w:val="000000" w:themeColor="text1"/>
                <w:sz w:val="20"/>
                <w:szCs w:val="20"/>
              </w:rPr>
            </w:pPr>
            <w:r w:rsidRPr="00BB330F">
              <w:rPr>
                <w:rFonts w:cs="Times New Roman"/>
                <w:b/>
                <w:bCs/>
                <w:color w:val="000000" w:themeColor="text1"/>
                <w:sz w:val="20"/>
                <w:szCs w:val="20"/>
              </w:rPr>
              <w:t>0.043</w:t>
            </w:r>
          </w:p>
        </w:tc>
        <w:tc>
          <w:tcPr>
            <w:tcW w:w="397" w:type="pct"/>
            <w:hideMark/>
          </w:tcPr>
          <w:p w14:paraId="23233AA2"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0.05</w:t>
            </w:r>
          </w:p>
        </w:tc>
      </w:tr>
      <w:tr w:rsidR="003625A7" w:rsidRPr="00BB330F" w14:paraId="61A88E5D" w14:textId="77777777" w:rsidTr="00341AD1">
        <w:tc>
          <w:tcPr>
            <w:cnfStyle w:val="001000000000" w:firstRow="0" w:lastRow="0" w:firstColumn="1" w:lastColumn="0" w:oddVBand="0" w:evenVBand="0" w:oddHBand="0" w:evenHBand="0" w:firstRowFirstColumn="0" w:firstRowLastColumn="0" w:lastRowFirstColumn="0" w:lastRowLastColumn="0"/>
            <w:tcW w:w="1381" w:type="pct"/>
            <w:hideMark/>
          </w:tcPr>
          <w:p w14:paraId="546C352F" w14:textId="77777777" w:rsidR="003625A7" w:rsidRPr="00BB330F" w:rsidRDefault="003625A7" w:rsidP="00341AD1">
            <w:pPr>
              <w:jc w:val="center"/>
              <w:rPr>
                <w:rFonts w:cs="Times New Roman"/>
                <w:color w:val="000000" w:themeColor="text1"/>
                <w:sz w:val="20"/>
                <w:szCs w:val="20"/>
              </w:rPr>
            </w:pPr>
            <w:r w:rsidRPr="00BB330F">
              <w:rPr>
                <w:rFonts w:cs="Times New Roman"/>
                <w:color w:val="000000" w:themeColor="text1"/>
                <w:sz w:val="20"/>
                <w:szCs w:val="20"/>
              </w:rPr>
              <w:t>C19-YRS</w:t>
            </w:r>
          </w:p>
        </w:tc>
        <w:tc>
          <w:tcPr>
            <w:tcW w:w="1286" w:type="pct"/>
            <w:hideMark/>
          </w:tcPr>
          <w:p w14:paraId="56413A25"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Handgrip strength</w:t>
            </w:r>
          </w:p>
        </w:tc>
        <w:tc>
          <w:tcPr>
            <w:tcW w:w="1334" w:type="pct"/>
            <w:hideMark/>
          </w:tcPr>
          <w:p w14:paraId="1F6070C4"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-0.34 (-0.60, -0.07)</w:t>
            </w:r>
          </w:p>
        </w:tc>
        <w:tc>
          <w:tcPr>
            <w:tcW w:w="601" w:type="pct"/>
            <w:hideMark/>
          </w:tcPr>
          <w:p w14:paraId="51D2C214"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b/>
                <w:bCs/>
                <w:color w:val="000000" w:themeColor="text1"/>
                <w:sz w:val="20"/>
                <w:szCs w:val="20"/>
              </w:rPr>
            </w:pPr>
            <w:r w:rsidRPr="00BB330F">
              <w:rPr>
                <w:rFonts w:cs="Times New Roman"/>
                <w:b/>
                <w:bCs/>
                <w:color w:val="000000" w:themeColor="text1"/>
                <w:sz w:val="20"/>
                <w:szCs w:val="20"/>
              </w:rPr>
              <w:t>0.015</w:t>
            </w:r>
          </w:p>
        </w:tc>
        <w:tc>
          <w:tcPr>
            <w:tcW w:w="397" w:type="pct"/>
            <w:hideMark/>
          </w:tcPr>
          <w:p w14:paraId="1D6C5FEB"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0.09</w:t>
            </w:r>
          </w:p>
        </w:tc>
      </w:tr>
      <w:tr w:rsidR="003625A7" w:rsidRPr="00BB330F" w14:paraId="372A11A8" w14:textId="77777777" w:rsidTr="00341AD1">
        <w:tc>
          <w:tcPr>
            <w:cnfStyle w:val="001000000000" w:firstRow="0" w:lastRow="0" w:firstColumn="1" w:lastColumn="0" w:oddVBand="0" w:evenVBand="0" w:oddHBand="0" w:evenHBand="0" w:firstRowFirstColumn="0" w:firstRowLastColumn="0" w:lastRowFirstColumn="0" w:lastRowLastColumn="0"/>
            <w:tcW w:w="1381" w:type="pct"/>
            <w:hideMark/>
          </w:tcPr>
          <w:p w14:paraId="1A6A7761" w14:textId="77777777" w:rsidR="003625A7" w:rsidRPr="00BB330F" w:rsidRDefault="003625A7" w:rsidP="00341AD1">
            <w:pPr>
              <w:jc w:val="center"/>
              <w:rPr>
                <w:rFonts w:cs="Times New Roman"/>
                <w:color w:val="000000" w:themeColor="text1"/>
                <w:sz w:val="20"/>
                <w:szCs w:val="20"/>
              </w:rPr>
            </w:pPr>
          </w:p>
        </w:tc>
        <w:tc>
          <w:tcPr>
            <w:tcW w:w="1286" w:type="pct"/>
            <w:hideMark/>
          </w:tcPr>
          <w:p w14:paraId="017285CE"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Fatigue Ratio</w:t>
            </w:r>
          </w:p>
        </w:tc>
        <w:tc>
          <w:tcPr>
            <w:tcW w:w="1334" w:type="pct"/>
            <w:hideMark/>
          </w:tcPr>
          <w:p w14:paraId="2183E0D7"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11.6 (-1.6, 24.8)</w:t>
            </w:r>
          </w:p>
        </w:tc>
        <w:tc>
          <w:tcPr>
            <w:tcW w:w="601" w:type="pct"/>
            <w:hideMark/>
          </w:tcPr>
          <w:p w14:paraId="5B556A00"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0.091</w:t>
            </w:r>
          </w:p>
        </w:tc>
        <w:tc>
          <w:tcPr>
            <w:tcW w:w="397" w:type="pct"/>
            <w:hideMark/>
          </w:tcPr>
          <w:p w14:paraId="76D07BCB"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0.05</w:t>
            </w:r>
          </w:p>
        </w:tc>
      </w:tr>
      <w:tr w:rsidR="003625A7" w:rsidRPr="00BB330F" w14:paraId="136D49BC" w14:textId="77777777" w:rsidTr="00341AD1">
        <w:tc>
          <w:tcPr>
            <w:cnfStyle w:val="001000000000" w:firstRow="0" w:lastRow="0" w:firstColumn="1" w:lastColumn="0" w:oddVBand="0" w:evenVBand="0" w:oddHBand="0" w:evenHBand="0" w:firstRowFirstColumn="0" w:firstRowLastColumn="0" w:lastRowFirstColumn="0" w:lastRowLastColumn="0"/>
            <w:tcW w:w="1381" w:type="pct"/>
            <w:hideMark/>
          </w:tcPr>
          <w:p w14:paraId="63F43E0F" w14:textId="77777777" w:rsidR="003625A7" w:rsidRPr="00BB330F" w:rsidRDefault="003625A7" w:rsidP="00341AD1">
            <w:pPr>
              <w:jc w:val="center"/>
              <w:rPr>
                <w:rFonts w:cs="Times New Roman"/>
                <w:color w:val="000000" w:themeColor="text1"/>
                <w:sz w:val="20"/>
                <w:szCs w:val="20"/>
              </w:rPr>
            </w:pPr>
          </w:p>
        </w:tc>
        <w:tc>
          <w:tcPr>
            <w:tcW w:w="1286" w:type="pct"/>
            <w:hideMark/>
          </w:tcPr>
          <w:p w14:paraId="2BFDB219"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Recovery</w:t>
            </w:r>
          </w:p>
        </w:tc>
        <w:tc>
          <w:tcPr>
            <w:tcW w:w="1334" w:type="pct"/>
            <w:hideMark/>
          </w:tcPr>
          <w:p w14:paraId="3EA62B18"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-18.7 (-37.4, 0.10)</w:t>
            </w:r>
          </w:p>
        </w:tc>
        <w:tc>
          <w:tcPr>
            <w:tcW w:w="601" w:type="pct"/>
            <w:hideMark/>
          </w:tcPr>
          <w:p w14:paraId="07D01289"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0.056</w:t>
            </w:r>
          </w:p>
        </w:tc>
        <w:tc>
          <w:tcPr>
            <w:tcW w:w="397" w:type="pct"/>
            <w:hideMark/>
          </w:tcPr>
          <w:p w14:paraId="5463CAF0" w14:textId="77777777" w:rsidR="003625A7" w:rsidRPr="00BB330F" w:rsidRDefault="003625A7" w:rsidP="00341AD1">
            <w:pPr>
              <w:keepNext/>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0.06</w:t>
            </w:r>
          </w:p>
        </w:tc>
      </w:tr>
    </w:tbl>
    <w:p w14:paraId="62B25E07" w14:textId="3533AEFC" w:rsidR="003625A7" w:rsidRPr="0054367B" w:rsidRDefault="003625A7" w:rsidP="003625A7">
      <w:pPr>
        <w:pStyle w:val="Beschriftung1"/>
        <w:rPr>
          <w:rFonts w:ascii="Times New Roman" w:hAnsi="Times New Roman" w:cs="Times New Roman"/>
          <w:sz w:val="24"/>
          <w:szCs w:val="24"/>
        </w:rPr>
      </w:pPr>
      <w:bookmarkStart w:id="6" w:name="_Toc212714087"/>
      <w:r w:rsidRPr="0054367B">
        <w:rPr>
          <w:rFonts w:ascii="Times New Roman" w:hAnsi="Times New Roman" w:cs="Times New Roman"/>
          <w:b/>
          <w:bCs/>
          <w:sz w:val="24"/>
          <w:szCs w:val="24"/>
        </w:rPr>
        <w:t xml:space="preserve">Supplementary Table </w:t>
      </w:r>
      <w:r w:rsidRPr="0054367B">
        <w:rPr>
          <w:rFonts w:ascii="Times New Roman" w:hAnsi="Times New Roman" w:cs="Times New Roman"/>
          <w:b/>
          <w:bCs/>
          <w:sz w:val="24"/>
          <w:szCs w:val="24"/>
        </w:rPr>
        <w:fldChar w:fldCharType="begin"/>
      </w:r>
      <w:r w:rsidRPr="0054367B">
        <w:rPr>
          <w:rFonts w:ascii="Times New Roman" w:hAnsi="Times New Roman" w:cs="Times New Roman"/>
          <w:b/>
          <w:bCs/>
          <w:sz w:val="24"/>
          <w:szCs w:val="24"/>
        </w:rPr>
        <w:instrText xml:space="preserve"> SEQ Supplementary_Table \* ARABIC </w:instrText>
      </w:r>
      <w:r w:rsidRPr="0054367B">
        <w:rPr>
          <w:rFonts w:ascii="Times New Roman" w:hAnsi="Times New Roman" w:cs="Times New Roman"/>
          <w:b/>
          <w:bCs/>
          <w:sz w:val="24"/>
          <w:szCs w:val="24"/>
        </w:rPr>
        <w:fldChar w:fldCharType="separate"/>
      </w:r>
      <w:r w:rsidR="00FE267B">
        <w:rPr>
          <w:rFonts w:ascii="Times New Roman" w:hAnsi="Times New Roman" w:cs="Times New Roman"/>
          <w:b/>
          <w:bCs/>
          <w:noProof/>
          <w:sz w:val="24"/>
          <w:szCs w:val="24"/>
        </w:rPr>
        <w:t>5</w:t>
      </w:r>
      <w:r w:rsidRPr="0054367B">
        <w:rPr>
          <w:rFonts w:ascii="Times New Roman" w:hAnsi="Times New Roman" w:cs="Times New Roman"/>
          <w:b/>
          <w:bCs/>
          <w:sz w:val="24"/>
          <w:szCs w:val="24"/>
        </w:rPr>
        <w:fldChar w:fldCharType="end"/>
      </w:r>
      <w:r w:rsidRPr="0054367B">
        <w:rPr>
          <w:rFonts w:ascii="Times New Roman" w:hAnsi="Times New Roman" w:cs="Times New Roman"/>
          <w:b/>
          <w:bCs/>
          <w:sz w:val="24"/>
          <w:szCs w:val="24"/>
        </w:rPr>
        <w:t>:</w:t>
      </w:r>
      <w:r w:rsidRPr="0054367B">
        <w:rPr>
          <w:rFonts w:ascii="Times New Roman" w:hAnsi="Times New Roman" w:cs="Times New Roman"/>
          <w:sz w:val="24"/>
          <w:szCs w:val="24"/>
        </w:rPr>
        <w:t xml:space="preserve"> Prediction of FU PROMs by BL muscle function parameters among patients with PCS. Values represent unstandardized regression coefficients (β) with 95% confidence intervals and p-values. R² denotes the proportion of variance explained by each model.</w:t>
      </w:r>
      <w:bookmarkEnd w:id="6"/>
    </w:p>
    <w:p w14:paraId="6FCE1D3D" w14:textId="77777777" w:rsidR="003625A7" w:rsidRPr="00BB330F" w:rsidRDefault="003625A7" w:rsidP="003625A7">
      <w:pPr>
        <w:pStyle w:val="Manuskript"/>
        <w:rPr>
          <w:rFonts w:ascii="Times New Roman" w:hAnsi="Times New Roman" w:cs="Times New Roman"/>
          <w:color w:val="000000" w:themeColor="text1"/>
        </w:rPr>
      </w:pPr>
      <w:r w:rsidRPr="00BB330F">
        <w:rPr>
          <w:rFonts w:ascii="Times New Roman" w:hAnsi="Times New Roman" w:cs="Times New Roman"/>
          <w:color w:val="000000" w:themeColor="text1"/>
        </w:rPr>
        <w:lastRenderedPageBreak/>
        <w:t>Multivariable linear regression models adjusted for age, sex, and the corresponding BL PROM were used to assess BL Fmean, fatigue ratio, and recovery as predictors of FU outcomes (Supplementary Table 6). Lower BL Fmean tended to predict higher fatigue (</w:t>
      </w:r>
      <w:r w:rsidRPr="00BB330F">
        <w:rPr>
          <w:rStyle w:val="Hervorhebung"/>
          <w:rFonts w:cs="Times New Roman"/>
          <w:i w:val="0"/>
          <w:iCs w:val="0"/>
          <w:color w:val="000000" w:themeColor="text1"/>
        </w:rPr>
        <w:t>p</w:t>
      </w:r>
      <w:r w:rsidRPr="00BB330F">
        <w:rPr>
          <w:rStyle w:val="apple-converted-space"/>
          <w:rFonts w:ascii="Times New Roman" w:hAnsi="Times New Roman" w:cs="Times New Roman"/>
          <w:color w:val="000000" w:themeColor="text1"/>
        </w:rPr>
        <w:t xml:space="preserve"> </w:t>
      </w:r>
      <w:r w:rsidRPr="00BB330F">
        <w:rPr>
          <w:rFonts w:ascii="Times New Roman" w:hAnsi="Times New Roman" w:cs="Times New Roman"/>
          <w:color w:val="000000" w:themeColor="text1"/>
        </w:rPr>
        <w:t>= 0.052) and predicted depressive symptoms (</w:t>
      </w:r>
      <w:r w:rsidRPr="00BB330F">
        <w:rPr>
          <w:rStyle w:val="Hervorhebung"/>
          <w:rFonts w:cs="Times New Roman"/>
          <w:i w:val="0"/>
          <w:iCs w:val="0"/>
          <w:color w:val="000000" w:themeColor="text1"/>
        </w:rPr>
        <w:t>p</w:t>
      </w:r>
      <w:r w:rsidRPr="00BB330F">
        <w:rPr>
          <w:rStyle w:val="apple-converted-space"/>
          <w:rFonts w:ascii="Times New Roman" w:hAnsi="Times New Roman" w:cs="Times New Roman"/>
          <w:color w:val="000000" w:themeColor="text1"/>
        </w:rPr>
        <w:t xml:space="preserve"> </w:t>
      </w:r>
      <w:r w:rsidRPr="00BB330F">
        <w:rPr>
          <w:rFonts w:ascii="Times New Roman" w:hAnsi="Times New Roman" w:cs="Times New Roman"/>
          <w:color w:val="000000" w:themeColor="text1"/>
        </w:rPr>
        <w:t>= 0.022), with trends for higher PCS and C19-YRS scores (</w:t>
      </w:r>
      <w:r w:rsidRPr="00BB330F">
        <w:rPr>
          <w:rStyle w:val="Hervorhebung"/>
          <w:rFonts w:cs="Times New Roman"/>
          <w:i w:val="0"/>
          <w:iCs w:val="0"/>
          <w:color w:val="000000" w:themeColor="text1"/>
        </w:rPr>
        <w:t>p</w:t>
      </w:r>
      <w:r w:rsidRPr="00BB330F">
        <w:rPr>
          <w:rStyle w:val="apple-converted-space"/>
          <w:rFonts w:ascii="Times New Roman" w:hAnsi="Times New Roman" w:cs="Times New Roman"/>
          <w:color w:val="000000" w:themeColor="text1"/>
        </w:rPr>
        <w:t xml:space="preserve"> </w:t>
      </w:r>
      <w:r w:rsidRPr="00BB330F">
        <w:rPr>
          <w:rFonts w:ascii="Times New Roman" w:hAnsi="Times New Roman" w:cs="Times New Roman"/>
          <w:color w:val="000000" w:themeColor="text1"/>
        </w:rPr>
        <w:t>= 0.12 and</w:t>
      </w:r>
      <w:r w:rsidRPr="00BB330F">
        <w:rPr>
          <w:rStyle w:val="apple-converted-space"/>
          <w:rFonts w:ascii="Times New Roman" w:hAnsi="Times New Roman" w:cs="Times New Roman"/>
          <w:color w:val="000000" w:themeColor="text1"/>
        </w:rPr>
        <w:t xml:space="preserve"> </w:t>
      </w:r>
      <w:r w:rsidRPr="00BB330F">
        <w:rPr>
          <w:rStyle w:val="Hervorhebung"/>
          <w:rFonts w:cs="Times New Roman"/>
          <w:i w:val="0"/>
          <w:iCs w:val="0"/>
          <w:color w:val="000000" w:themeColor="text1"/>
        </w:rPr>
        <w:t>p</w:t>
      </w:r>
      <w:r w:rsidRPr="00BB330F">
        <w:rPr>
          <w:rStyle w:val="apple-converted-space"/>
          <w:rFonts w:ascii="Times New Roman" w:hAnsi="Times New Roman" w:cs="Times New Roman"/>
          <w:color w:val="000000" w:themeColor="text1"/>
        </w:rPr>
        <w:t xml:space="preserve"> </w:t>
      </w:r>
      <w:r w:rsidRPr="00BB330F">
        <w:rPr>
          <w:rFonts w:ascii="Times New Roman" w:hAnsi="Times New Roman" w:cs="Times New Roman"/>
          <w:color w:val="000000" w:themeColor="text1"/>
        </w:rPr>
        <w:t>= 0.058, respectively). Higher fatigue ratio was associated with greater fatigue (</w:t>
      </w:r>
      <w:r w:rsidRPr="00BB330F">
        <w:rPr>
          <w:rStyle w:val="Hervorhebung"/>
          <w:rFonts w:cs="Times New Roman"/>
          <w:i w:val="0"/>
          <w:iCs w:val="0"/>
          <w:color w:val="000000" w:themeColor="text1"/>
        </w:rPr>
        <w:t>p</w:t>
      </w:r>
      <w:r w:rsidRPr="00BB330F">
        <w:rPr>
          <w:rStyle w:val="apple-converted-space"/>
          <w:rFonts w:ascii="Times New Roman" w:hAnsi="Times New Roman" w:cs="Times New Roman"/>
          <w:color w:val="000000" w:themeColor="text1"/>
        </w:rPr>
        <w:t xml:space="preserve"> </w:t>
      </w:r>
      <w:r w:rsidRPr="00BB330F">
        <w:rPr>
          <w:rFonts w:ascii="Times New Roman" w:hAnsi="Times New Roman" w:cs="Times New Roman"/>
          <w:color w:val="000000" w:themeColor="text1"/>
        </w:rPr>
        <w:t>= 0.008) and showed trends for higher PCS symptom burden (</w:t>
      </w:r>
      <w:r w:rsidRPr="00BB330F">
        <w:rPr>
          <w:rStyle w:val="Hervorhebung"/>
          <w:rFonts w:cs="Times New Roman"/>
          <w:i w:val="0"/>
          <w:iCs w:val="0"/>
          <w:color w:val="000000" w:themeColor="text1"/>
        </w:rPr>
        <w:t>p</w:t>
      </w:r>
      <w:r w:rsidRPr="00BB330F">
        <w:rPr>
          <w:rFonts w:ascii="Times New Roman" w:hAnsi="Times New Roman" w:cs="Times New Roman"/>
          <w:color w:val="000000" w:themeColor="text1"/>
        </w:rPr>
        <w:t>= 0.054) and depression (</w:t>
      </w:r>
      <w:r w:rsidRPr="00BB330F">
        <w:rPr>
          <w:rStyle w:val="Hervorhebung"/>
          <w:rFonts w:cs="Times New Roman"/>
          <w:i w:val="0"/>
          <w:iCs w:val="0"/>
          <w:color w:val="000000" w:themeColor="text1"/>
        </w:rPr>
        <w:t>p</w:t>
      </w:r>
      <w:r w:rsidRPr="00BB330F">
        <w:rPr>
          <w:rStyle w:val="apple-converted-space"/>
          <w:rFonts w:ascii="Times New Roman" w:hAnsi="Times New Roman" w:cs="Times New Roman"/>
          <w:color w:val="000000" w:themeColor="text1"/>
        </w:rPr>
        <w:t xml:space="preserve"> </w:t>
      </w:r>
      <w:r w:rsidRPr="00BB330F">
        <w:rPr>
          <w:rFonts w:ascii="Times New Roman" w:hAnsi="Times New Roman" w:cs="Times New Roman"/>
          <w:color w:val="000000" w:themeColor="text1"/>
        </w:rPr>
        <w:t>= 0.071). Higher recovery predicted fewer depressive symptoms (</w:t>
      </w:r>
      <w:r w:rsidRPr="00BB330F">
        <w:rPr>
          <w:rStyle w:val="Hervorhebung"/>
          <w:rFonts w:cs="Times New Roman"/>
          <w:i w:val="0"/>
          <w:iCs w:val="0"/>
          <w:color w:val="000000" w:themeColor="text1"/>
        </w:rPr>
        <w:t>p</w:t>
      </w:r>
      <w:r w:rsidRPr="00BB330F">
        <w:rPr>
          <w:rStyle w:val="apple-converted-space"/>
          <w:rFonts w:ascii="Times New Roman" w:hAnsi="Times New Roman" w:cs="Times New Roman"/>
          <w:color w:val="000000" w:themeColor="text1"/>
        </w:rPr>
        <w:t xml:space="preserve"> </w:t>
      </w:r>
      <w:r w:rsidRPr="00BB330F">
        <w:rPr>
          <w:rFonts w:ascii="Times New Roman" w:hAnsi="Times New Roman" w:cs="Times New Roman"/>
          <w:color w:val="000000" w:themeColor="text1"/>
        </w:rPr>
        <w:t>= 0.028) and showed trends for lower fatigue, PCS, and C19-YRS scores (all</w:t>
      </w:r>
      <w:r w:rsidRPr="00BB330F">
        <w:rPr>
          <w:rStyle w:val="apple-converted-space"/>
          <w:rFonts w:ascii="Times New Roman" w:hAnsi="Times New Roman" w:cs="Times New Roman"/>
          <w:color w:val="000000" w:themeColor="text1"/>
        </w:rPr>
        <w:t xml:space="preserve"> </w:t>
      </w:r>
      <w:r w:rsidRPr="00BB330F">
        <w:rPr>
          <w:rStyle w:val="Hervorhebung"/>
          <w:rFonts w:cs="Times New Roman"/>
          <w:i w:val="0"/>
          <w:iCs w:val="0"/>
          <w:color w:val="000000" w:themeColor="text1"/>
        </w:rPr>
        <w:t>p</w:t>
      </w:r>
      <w:r w:rsidRPr="00BB330F">
        <w:rPr>
          <w:rStyle w:val="apple-converted-space"/>
          <w:rFonts w:ascii="Times New Roman" w:hAnsi="Times New Roman" w:cs="Times New Roman"/>
          <w:color w:val="000000" w:themeColor="text1"/>
        </w:rPr>
        <w:t xml:space="preserve"> </w:t>
      </w:r>
      <w:r w:rsidRPr="00BB330F">
        <w:rPr>
          <w:rFonts w:ascii="Times New Roman" w:hAnsi="Times New Roman" w:cs="Times New Roman"/>
          <w:color w:val="000000" w:themeColor="text1"/>
        </w:rPr>
        <w:t>&lt; 0.08). No significant associations were observed for anxiety (all</w:t>
      </w:r>
      <w:r w:rsidRPr="00BB330F">
        <w:rPr>
          <w:rStyle w:val="apple-converted-space"/>
          <w:rFonts w:ascii="Times New Roman" w:hAnsi="Times New Roman" w:cs="Times New Roman"/>
          <w:color w:val="000000" w:themeColor="text1"/>
        </w:rPr>
        <w:t xml:space="preserve"> </w:t>
      </w:r>
      <w:r w:rsidRPr="00BB330F">
        <w:rPr>
          <w:rStyle w:val="Hervorhebung"/>
          <w:rFonts w:cs="Times New Roman"/>
          <w:i w:val="0"/>
          <w:iCs w:val="0"/>
          <w:color w:val="000000" w:themeColor="text1"/>
        </w:rPr>
        <w:t>p</w:t>
      </w:r>
      <w:r w:rsidRPr="00BB330F">
        <w:rPr>
          <w:rStyle w:val="apple-converted-space"/>
          <w:rFonts w:ascii="Times New Roman" w:hAnsi="Times New Roman" w:cs="Times New Roman"/>
          <w:color w:val="000000" w:themeColor="text1"/>
        </w:rPr>
        <w:t xml:space="preserve"> </w:t>
      </w:r>
      <w:r w:rsidRPr="00BB330F">
        <w:rPr>
          <w:rFonts w:ascii="Times New Roman" w:hAnsi="Times New Roman" w:cs="Times New Roman"/>
          <w:color w:val="000000" w:themeColor="text1"/>
        </w:rPr>
        <w:t>&gt; 0.49).</w:t>
      </w:r>
    </w:p>
    <w:tbl>
      <w:tblPr>
        <w:tblStyle w:val="Gitternetztabelle1hell"/>
        <w:tblW w:w="5000" w:type="pct"/>
        <w:tblLook w:val="04A0" w:firstRow="1" w:lastRow="0" w:firstColumn="1" w:lastColumn="0" w:noHBand="0" w:noVBand="1"/>
      </w:tblPr>
      <w:tblGrid>
        <w:gridCol w:w="2445"/>
        <w:gridCol w:w="2772"/>
        <w:gridCol w:w="2770"/>
        <w:gridCol w:w="1059"/>
        <w:gridCol w:w="721"/>
      </w:tblGrid>
      <w:tr w:rsidR="003625A7" w:rsidRPr="00BB330F" w14:paraId="3BC997F0" w14:textId="77777777" w:rsidTr="00341A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7" w:type="pct"/>
            <w:hideMark/>
          </w:tcPr>
          <w:p w14:paraId="5144A02D" w14:textId="77777777" w:rsidR="003625A7" w:rsidRPr="00BB330F" w:rsidRDefault="003625A7" w:rsidP="00341AD1">
            <w:pPr>
              <w:jc w:val="center"/>
              <w:rPr>
                <w:rFonts w:cs="Times New Roman"/>
                <w:color w:val="000000" w:themeColor="text1"/>
                <w:sz w:val="20"/>
                <w:szCs w:val="20"/>
              </w:rPr>
            </w:pPr>
            <w:r w:rsidRPr="00BB330F">
              <w:rPr>
                <w:rFonts w:cs="Times New Roman"/>
                <w:color w:val="000000" w:themeColor="text1"/>
                <w:sz w:val="20"/>
                <w:szCs w:val="20"/>
              </w:rPr>
              <w:t>Outcome</w:t>
            </w:r>
          </w:p>
        </w:tc>
        <w:tc>
          <w:tcPr>
            <w:tcW w:w="1391" w:type="pct"/>
            <w:hideMark/>
          </w:tcPr>
          <w:p w14:paraId="50C1B14B" w14:textId="77777777" w:rsidR="003625A7" w:rsidRPr="00BB330F" w:rsidRDefault="003625A7" w:rsidP="00341AD1">
            <w:pPr>
              <w:jc w:val="center"/>
              <w:cnfStyle w:val="100000000000" w:firstRow="1"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Predictor</w:t>
            </w:r>
          </w:p>
        </w:tc>
        <w:tc>
          <w:tcPr>
            <w:tcW w:w="1390" w:type="pct"/>
            <w:hideMark/>
          </w:tcPr>
          <w:p w14:paraId="31BB6702" w14:textId="77777777" w:rsidR="003625A7" w:rsidRPr="00BB330F" w:rsidRDefault="003625A7" w:rsidP="00341AD1">
            <w:pPr>
              <w:jc w:val="center"/>
              <w:cnfStyle w:val="100000000000" w:firstRow="1"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β [95% CI]</w:t>
            </w:r>
          </w:p>
        </w:tc>
        <w:tc>
          <w:tcPr>
            <w:tcW w:w="531" w:type="pct"/>
            <w:hideMark/>
          </w:tcPr>
          <w:p w14:paraId="7D6B8C9E" w14:textId="77777777" w:rsidR="003625A7" w:rsidRPr="00BB330F" w:rsidRDefault="003625A7" w:rsidP="00341AD1">
            <w:pPr>
              <w:jc w:val="center"/>
              <w:cnfStyle w:val="100000000000" w:firstRow="1"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p-value</w:t>
            </w:r>
          </w:p>
        </w:tc>
        <w:tc>
          <w:tcPr>
            <w:tcW w:w="362" w:type="pct"/>
            <w:hideMark/>
          </w:tcPr>
          <w:p w14:paraId="21FE81E3" w14:textId="77777777" w:rsidR="003625A7" w:rsidRPr="00BB330F" w:rsidRDefault="003625A7" w:rsidP="00341AD1">
            <w:pPr>
              <w:jc w:val="center"/>
              <w:cnfStyle w:val="100000000000" w:firstRow="1"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R²</w:t>
            </w:r>
          </w:p>
        </w:tc>
      </w:tr>
      <w:tr w:rsidR="003625A7" w:rsidRPr="00BB330F" w14:paraId="73F969F5" w14:textId="77777777" w:rsidTr="00341AD1">
        <w:tc>
          <w:tcPr>
            <w:cnfStyle w:val="001000000000" w:firstRow="0" w:lastRow="0" w:firstColumn="1" w:lastColumn="0" w:oddVBand="0" w:evenVBand="0" w:oddHBand="0" w:evenHBand="0" w:firstRowFirstColumn="0" w:firstRowLastColumn="0" w:lastRowFirstColumn="0" w:lastRowLastColumn="0"/>
            <w:tcW w:w="1227" w:type="pct"/>
            <w:hideMark/>
          </w:tcPr>
          <w:p w14:paraId="3FD6AE0D" w14:textId="77777777" w:rsidR="003625A7" w:rsidRPr="00BB330F" w:rsidRDefault="003625A7" w:rsidP="00341AD1">
            <w:pPr>
              <w:jc w:val="center"/>
              <w:rPr>
                <w:rFonts w:cs="Times New Roman"/>
                <w:color w:val="000000" w:themeColor="text1"/>
                <w:sz w:val="20"/>
                <w:szCs w:val="20"/>
              </w:rPr>
            </w:pPr>
            <w:r w:rsidRPr="00BB330F">
              <w:rPr>
                <w:rFonts w:cs="Times New Roman"/>
                <w:b w:val="0"/>
                <w:bCs w:val="0"/>
                <w:color w:val="000000" w:themeColor="text1"/>
                <w:sz w:val="20"/>
                <w:szCs w:val="20"/>
              </w:rPr>
              <w:t>FSS</w:t>
            </w:r>
          </w:p>
        </w:tc>
        <w:tc>
          <w:tcPr>
            <w:tcW w:w="1391" w:type="pct"/>
            <w:hideMark/>
          </w:tcPr>
          <w:p w14:paraId="29DFF6BA"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Fmean</w:t>
            </w:r>
          </w:p>
        </w:tc>
        <w:tc>
          <w:tcPr>
            <w:tcW w:w="1390" w:type="pct"/>
            <w:hideMark/>
          </w:tcPr>
          <w:p w14:paraId="1008F46C"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-0.03 [-0.06 – 0.00]</w:t>
            </w:r>
          </w:p>
        </w:tc>
        <w:tc>
          <w:tcPr>
            <w:tcW w:w="531" w:type="pct"/>
            <w:hideMark/>
          </w:tcPr>
          <w:p w14:paraId="42958536"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0.052</w:t>
            </w:r>
          </w:p>
        </w:tc>
        <w:tc>
          <w:tcPr>
            <w:tcW w:w="362" w:type="pct"/>
            <w:hideMark/>
          </w:tcPr>
          <w:p w14:paraId="7D24485F"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0.07</w:t>
            </w:r>
          </w:p>
        </w:tc>
      </w:tr>
      <w:tr w:rsidR="003625A7" w:rsidRPr="00BB330F" w14:paraId="3EC93335" w14:textId="77777777" w:rsidTr="00341AD1">
        <w:tc>
          <w:tcPr>
            <w:cnfStyle w:val="001000000000" w:firstRow="0" w:lastRow="0" w:firstColumn="1" w:lastColumn="0" w:oddVBand="0" w:evenVBand="0" w:oddHBand="0" w:evenHBand="0" w:firstRowFirstColumn="0" w:firstRowLastColumn="0" w:lastRowFirstColumn="0" w:lastRowLastColumn="0"/>
            <w:tcW w:w="1227" w:type="pct"/>
            <w:hideMark/>
          </w:tcPr>
          <w:p w14:paraId="4262C92D" w14:textId="77777777" w:rsidR="003625A7" w:rsidRPr="00BB330F" w:rsidRDefault="003625A7" w:rsidP="00341AD1">
            <w:pPr>
              <w:jc w:val="center"/>
              <w:rPr>
                <w:rFonts w:cs="Times New Roman"/>
                <w:color w:val="000000" w:themeColor="text1"/>
                <w:sz w:val="20"/>
                <w:szCs w:val="20"/>
              </w:rPr>
            </w:pPr>
          </w:p>
        </w:tc>
        <w:tc>
          <w:tcPr>
            <w:tcW w:w="1391" w:type="pct"/>
            <w:hideMark/>
          </w:tcPr>
          <w:p w14:paraId="62CC8FD9"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Fatigue Ratio</w:t>
            </w:r>
          </w:p>
        </w:tc>
        <w:tc>
          <w:tcPr>
            <w:tcW w:w="1390" w:type="pct"/>
            <w:hideMark/>
          </w:tcPr>
          <w:p w14:paraId="5CB76321"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1.66 [0.44 – 2.88]</w:t>
            </w:r>
          </w:p>
        </w:tc>
        <w:tc>
          <w:tcPr>
            <w:tcW w:w="531" w:type="pct"/>
            <w:hideMark/>
          </w:tcPr>
          <w:p w14:paraId="0262C707"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b/>
                <w:bCs/>
                <w:color w:val="000000" w:themeColor="text1"/>
                <w:sz w:val="20"/>
                <w:szCs w:val="20"/>
              </w:rPr>
              <w:t>0.008</w:t>
            </w:r>
          </w:p>
        </w:tc>
        <w:tc>
          <w:tcPr>
            <w:tcW w:w="362" w:type="pct"/>
            <w:hideMark/>
          </w:tcPr>
          <w:p w14:paraId="227A0973"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0.11</w:t>
            </w:r>
          </w:p>
        </w:tc>
      </w:tr>
      <w:tr w:rsidR="003625A7" w:rsidRPr="00BB330F" w14:paraId="5132ACB5" w14:textId="77777777" w:rsidTr="00341AD1">
        <w:tc>
          <w:tcPr>
            <w:cnfStyle w:val="001000000000" w:firstRow="0" w:lastRow="0" w:firstColumn="1" w:lastColumn="0" w:oddVBand="0" w:evenVBand="0" w:oddHBand="0" w:evenHBand="0" w:firstRowFirstColumn="0" w:firstRowLastColumn="0" w:lastRowFirstColumn="0" w:lastRowLastColumn="0"/>
            <w:tcW w:w="1227" w:type="pct"/>
            <w:hideMark/>
          </w:tcPr>
          <w:p w14:paraId="47BE4C19" w14:textId="77777777" w:rsidR="003625A7" w:rsidRPr="00BB330F" w:rsidRDefault="003625A7" w:rsidP="00341AD1">
            <w:pPr>
              <w:jc w:val="center"/>
              <w:rPr>
                <w:rFonts w:cs="Times New Roman"/>
                <w:color w:val="000000" w:themeColor="text1"/>
                <w:sz w:val="20"/>
                <w:szCs w:val="20"/>
              </w:rPr>
            </w:pPr>
          </w:p>
        </w:tc>
        <w:tc>
          <w:tcPr>
            <w:tcW w:w="1391" w:type="pct"/>
            <w:hideMark/>
          </w:tcPr>
          <w:p w14:paraId="6A7A3EBC"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Recovery</w:t>
            </w:r>
          </w:p>
        </w:tc>
        <w:tc>
          <w:tcPr>
            <w:tcW w:w="1390" w:type="pct"/>
            <w:hideMark/>
          </w:tcPr>
          <w:p w14:paraId="6EC5A276"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-1.72 [-3.61 – 0.17]</w:t>
            </w:r>
          </w:p>
        </w:tc>
        <w:tc>
          <w:tcPr>
            <w:tcW w:w="531" w:type="pct"/>
            <w:hideMark/>
          </w:tcPr>
          <w:p w14:paraId="2EF685D9"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0.074</w:t>
            </w:r>
          </w:p>
        </w:tc>
        <w:tc>
          <w:tcPr>
            <w:tcW w:w="362" w:type="pct"/>
            <w:hideMark/>
          </w:tcPr>
          <w:p w14:paraId="4279AEC6"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0.06</w:t>
            </w:r>
          </w:p>
        </w:tc>
      </w:tr>
      <w:tr w:rsidR="003625A7" w:rsidRPr="00BB330F" w14:paraId="38658F84" w14:textId="77777777" w:rsidTr="00341AD1">
        <w:tc>
          <w:tcPr>
            <w:cnfStyle w:val="001000000000" w:firstRow="0" w:lastRow="0" w:firstColumn="1" w:lastColumn="0" w:oddVBand="0" w:evenVBand="0" w:oddHBand="0" w:evenHBand="0" w:firstRowFirstColumn="0" w:firstRowLastColumn="0" w:lastRowFirstColumn="0" w:lastRowLastColumn="0"/>
            <w:tcW w:w="1227" w:type="pct"/>
            <w:hideMark/>
          </w:tcPr>
          <w:p w14:paraId="2018803C" w14:textId="77777777" w:rsidR="003625A7" w:rsidRPr="00BB330F" w:rsidRDefault="003625A7" w:rsidP="00341AD1">
            <w:pPr>
              <w:jc w:val="center"/>
              <w:rPr>
                <w:rFonts w:cs="Times New Roman"/>
                <w:color w:val="000000" w:themeColor="text1"/>
                <w:sz w:val="20"/>
                <w:szCs w:val="20"/>
              </w:rPr>
            </w:pPr>
            <w:r w:rsidRPr="00BB330F">
              <w:rPr>
                <w:rFonts w:cs="Times New Roman"/>
                <w:b w:val="0"/>
                <w:bCs w:val="0"/>
                <w:color w:val="000000" w:themeColor="text1"/>
                <w:sz w:val="20"/>
                <w:szCs w:val="20"/>
              </w:rPr>
              <w:t>PHQ-9</w:t>
            </w:r>
          </w:p>
        </w:tc>
        <w:tc>
          <w:tcPr>
            <w:tcW w:w="1391" w:type="pct"/>
            <w:hideMark/>
          </w:tcPr>
          <w:p w14:paraId="66FC4786"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Fmean</w:t>
            </w:r>
          </w:p>
        </w:tc>
        <w:tc>
          <w:tcPr>
            <w:tcW w:w="1390" w:type="pct"/>
            <w:hideMark/>
          </w:tcPr>
          <w:p w14:paraId="7750D5B0"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-0.11 [-0.20 – -0.02]</w:t>
            </w:r>
          </w:p>
        </w:tc>
        <w:tc>
          <w:tcPr>
            <w:tcW w:w="531" w:type="pct"/>
            <w:hideMark/>
          </w:tcPr>
          <w:p w14:paraId="7322C45C"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b/>
                <w:bCs/>
                <w:color w:val="000000" w:themeColor="text1"/>
                <w:sz w:val="20"/>
                <w:szCs w:val="20"/>
              </w:rPr>
              <w:t>0.022</w:t>
            </w:r>
          </w:p>
        </w:tc>
        <w:tc>
          <w:tcPr>
            <w:tcW w:w="362" w:type="pct"/>
            <w:hideMark/>
          </w:tcPr>
          <w:p w14:paraId="17D3EE31"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0.17</w:t>
            </w:r>
          </w:p>
        </w:tc>
      </w:tr>
      <w:tr w:rsidR="003625A7" w:rsidRPr="00BB330F" w14:paraId="3E0FF587" w14:textId="77777777" w:rsidTr="00341AD1">
        <w:tc>
          <w:tcPr>
            <w:cnfStyle w:val="001000000000" w:firstRow="0" w:lastRow="0" w:firstColumn="1" w:lastColumn="0" w:oddVBand="0" w:evenVBand="0" w:oddHBand="0" w:evenHBand="0" w:firstRowFirstColumn="0" w:firstRowLastColumn="0" w:lastRowFirstColumn="0" w:lastRowLastColumn="0"/>
            <w:tcW w:w="1227" w:type="pct"/>
            <w:hideMark/>
          </w:tcPr>
          <w:p w14:paraId="2B3F79E5" w14:textId="77777777" w:rsidR="003625A7" w:rsidRPr="00BB330F" w:rsidRDefault="003625A7" w:rsidP="00341AD1">
            <w:pPr>
              <w:jc w:val="center"/>
              <w:rPr>
                <w:rFonts w:cs="Times New Roman"/>
                <w:color w:val="000000" w:themeColor="text1"/>
                <w:sz w:val="20"/>
                <w:szCs w:val="20"/>
              </w:rPr>
            </w:pPr>
          </w:p>
        </w:tc>
        <w:tc>
          <w:tcPr>
            <w:tcW w:w="1391" w:type="pct"/>
            <w:hideMark/>
          </w:tcPr>
          <w:p w14:paraId="3D340FD9"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Fatigue Ratio</w:t>
            </w:r>
          </w:p>
        </w:tc>
        <w:tc>
          <w:tcPr>
            <w:tcW w:w="1390" w:type="pct"/>
            <w:hideMark/>
          </w:tcPr>
          <w:p w14:paraId="1150C084"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3.50 [-0.31 – 7.32]</w:t>
            </w:r>
          </w:p>
        </w:tc>
        <w:tc>
          <w:tcPr>
            <w:tcW w:w="531" w:type="pct"/>
            <w:hideMark/>
          </w:tcPr>
          <w:p w14:paraId="61F642C5"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0.071</w:t>
            </w:r>
          </w:p>
        </w:tc>
        <w:tc>
          <w:tcPr>
            <w:tcW w:w="362" w:type="pct"/>
            <w:hideMark/>
          </w:tcPr>
          <w:p w14:paraId="3F6C6FF6"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0.14</w:t>
            </w:r>
          </w:p>
        </w:tc>
      </w:tr>
      <w:tr w:rsidR="003625A7" w:rsidRPr="00BB330F" w14:paraId="1ADBCCBD" w14:textId="77777777" w:rsidTr="00341AD1">
        <w:tc>
          <w:tcPr>
            <w:cnfStyle w:val="001000000000" w:firstRow="0" w:lastRow="0" w:firstColumn="1" w:lastColumn="0" w:oddVBand="0" w:evenVBand="0" w:oddHBand="0" w:evenHBand="0" w:firstRowFirstColumn="0" w:firstRowLastColumn="0" w:lastRowFirstColumn="0" w:lastRowLastColumn="0"/>
            <w:tcW w:w="1227" w:type="pct"/>
            <w:hideMark/>
          </w:tcPr>
          <w:p w14:paraId="054B08A0" w14:textId="77777777" w:rsidR="003625A7" w:rsidRPr="00BB330F" w:rsidRDefault="003625A7" w:rsidP="00341AD1">
            <w:pPr>
              <w:jc w:val="center"/>
              <w:rPr>
                <w:rFonts w:cs="Times New Roman"/>
                <w:color w:val="000000" w:themeColor="text1"/>
                <w:sz w:val="20"/>
                <w:szCs w:val="20"/>
              </w:rPr>
            </w:pPr>
          </w:p>
        </w:tc>
        <w:tc>
          <w:tcPr>
            <w:tcW w:w="1391" w:type="pct"/>
            <w:hideMark/>
          </w:tcPr>
          <w:p w14:paraId="2A9687AA"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Recovery</w:t>
            </w:r>
          </w:p>
        </w:tc>
        <w:tc>
          <w:tcPr>
            <w:tcW w:w="1390" w:type="pct"/>
            <w:hideMark/>
          </w:tcPr>
          <w:p w14:paraId="6BDF5EAB"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-6.21 [-11.7 – -0.68]</w:t>
            </w:r>
          </w:p>
        </w:tc>
        <w:tc>
          <w:tcPr>
            <w:tcW w:w="531" w:type="pct"/>
            <w:hideMark/>
          </w:tcPr>
          <w:p w14:paraId="733FC51F"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b/>
                <w:bCs/>
                <w:color w:val="000000" w:themeColor="text1"/>
                <w:sz w:val="20"/>
                <w:szCs w:val="20"/>
              </w:rPr>
              <w:t>0.028</w:t>
            </w:r>
          </w:p>
        </w:tc>
        <w:tc>
          <w:tcPr>
            <w:tcW w:w="362" w:type="pct"/>
            <w:hideMark/>
          </w:tcPr>
          <w:p w14:paraId="707A31F7"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0.13</w:t>
            </w:r>
          </w:p>
        </w:tc>
      </w:tr>
      <w:tr w:rsidR="003625A7" w:rsidRPr="00BB330F" w14:paraId="4113D9D8" w14:textId="77777777" w:rsidTr="00341AD1">
        <w:tc>
          <w:tcPr>
            <w:cnfStyle w:val="001000000000" w:firstRow="0" w:lastRow="0" w:firstColumn="1" w:lastColumn="0" w:oddVBand="0" w:evenVBand="0" w:oddHBand="0" w:evenHBand="0" w:firstRowFirstColumn="0" w:firstRowLastColumn="0" w:lastRowFirstColumn="0" w:lastRowLastColumn="0"/>
            <w:tcW w:w="1227" w:type="pct"/>
            <w:hideMark/>
          </w:tcPr>
          <w:p w14:paraId="7D4A39CF" w14:textId="77777777" w:rsidR="003625A7" w:rsidRPr="00BB330F" w:rsidRDefault="003625A7" w:rsidP="00341AD1">
            <w:pPr>
              <w:jc w:val="center"/>
              <w:rPr>
                <w:rFonts w:cs="Times New Roman"/>
                <w:color w:val="000000" w:themeColor="text1"/>
                <w:sz w:val="20"/>
                <w:szCs w:val="20"/>
              </w:rPr>
            </w:pPr>
            <w:r w:rsidRPr="00BB330F">
              <w:rPr>
                <w:rFonts w:cs="Times New Roman"/>
                <w:b w:val="0"/>
                <w:bCs w:val="0"/>
                <w:color w:val="000000" w:themeColor="text1"/>
                <w:sz w:val="20"/>
                <w:szCs w:val="20"/>
              </w:rPr>
              <w:t>GAD-7</w:t>
            </w:r>
          </w:p>
        </w:tc>
        <w:tc>
          <w:tcPr>
            <w:tcW w:w="1391" w:type="pct"/>
            <w:hideMark/>
          </w:tcPr>
          <w:p w14:paraId="2398C186"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Fmean</w:t>
            </w:r>
          </w:p>
        </w:tc>
        <w:tc>
          <w:tcPr>
            <w:tcW w:w="1390" w:type="pct"/>
            <w:hideMark/>
          </w:tcPr>
          <w:p w14:paraId="3644E6CE"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-0.03 [-0.12 – 0.06]</w:t>
            </w:r>
          </w:p>
        </w:tc>
        <w:tc>
          <w:tcPr>
            <w:tcW w:w="531" w:type="pct"/>
            <w:hideMark/>
          </w:tcPr>
          <w:p w14:paraId="0C573E5D"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0.492</w:t>
            </w:r>
          </w:p>
        </w:tc>
        <w:tc>
          <w:tcPr>
            <w:tcW w:w="362" w:type="pct"/>
            <w:hideMark/>
          </w:tcPr>
          <w:p w14:paraId="0A001AE1"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0.05</w:t>
            </w:r>
          </w:p>
        </w:tc>
      </w:tr>
      <w:tr w:rsidR="003625A7" w:rsidRPr="00BB330F" w14:paraId="496D8BBE" w14:textId="77777777" w:rsidTr="00341AD1">
        <w:tc>
          <w:tcPr>
            <w:cnfStyle w:val="001000000000" w:firstRow="0" w:lastRow="0" w:firstColumn="1" w:lastColumn="0" w:oddVBand="0" w:evenVBand="0" w:oddHBand="0" w:evenHBand="0" w:firstRowFirstColumn="0" w:firstRowLastColumn="0" w:lastRowFirstColumn="0" w:lastRowLastColumn="0"/>
            <w:tcW w:w="1227" w:type="pct"/>
            <w:hideMark/>
          </w:tcPr>
          <w:p w14:paraId="3198FE79" w14:textId="77777777" w:rsidR="003625A7" w:rsidRPr="00BB330F" w:rsidRDefault="003625A7" w:rsidP="00341AD1">
            <w:pPr>
              <w:jc w:val="center"/>
              <w:rPr>
                <w:rFonts w:cs="Times New Roman"/>
                <w:color w:val="000000" w:themeColor="text1"/>
                <w:sz w:val="20"/>
                <w:szCs w:val="20"/>
              </w:rPr>
            </w:pPr>
          </w:p>
        </w:tc>
        <w:tc>
          <w:tcPr>
            <w:tcW w:w="1391" w:type="pct"/>
            <w:hideMark/>
          </w:tcPr>
          <w:p w14:paraId="55673AFA"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Fatigue Ratio</w:t>
            </w:r>
          </w:p>
        </w:tc>
        <w:tc>
          <w:tcPr>
            <w:tcW w:w="1390" w:type="pct"/>
            <w:hideMark/>
          </w:tcPr>
          <w:p w14:paraId="744E6C8C"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0.90 [-2.72 – 4.51]</w:t>
            </w:r>
          </w:p>
        </w:tc>
        <w:tc>
          <w:tcPr>
            <w:tcW w:w="531" w:type="pct"/>
            <w:hideMark/>
          </w:tcPr>
          <w:p w14:paraId="7FA72DFE"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0.624</w:t>
            </w:r>
          </w:p>
        </w:tc>
        <w:tc>
          <w:tcPr>
            <w:tcW w:w="362" w:type="pct"/>
            <w:hideMark/>
          </w:tcPr>
          <w:p w14:paraId="4B9C6222"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0.04</w:t>
            </w:r>
          </w:p>
        </w:tc>
      </w:tr>
      <w:tr w:rsidR="003625A7" w:rsidRPr="00BB330F" w14:paraId="5866081A" w14:textId="77777777" w:rsidTr="00341AD1">
        <w:tc>
          <w:tcPr>
            <w:cnfStyle w:val="001000000000" w:firstRow="0" w:lastRow="0" w:firstColumn="1" w:lastColumn="0" w:oddVBand="0" w:evenVBand="0" w:oddHBand="0" w:evenHBand="0" w:firstRowFirstColumn="0" w:firstRowLastColumn="0" w:lastRowFirstColumn="0" w:lastRowLastColumn="0"/>
            <w:tcW w:w="1227" w:type="pct"/>
            <w:hideMark/>
          </w:tcPr>
          <w:p w14:paraId="0A96C641" w14:textId="77777777" w:rsidR="003625A7" w:rsidRPr="00BB330F" w:rsidRDefault="003625A7" w:rsidP="00341AD1">
            <w:pPr>
              <w:jc w:val="center"/>
              <w:rPr>
                <w:rFonts w:cs="Times New Roman"/>
                <w:color w:val="000000" w:themeColor="text1"/>
                <w:sz w:val="20"/>
                <w:szCs w:val="20"/>
              </w:rPr>
            </w:pPr>
          </w:p>
        </w:tc>
        <w:tc>
          <w:tcPr>
            <w:tcW w:w="1391" w:type="pct"/>
            <w:hideMark/>
          </w:tcPr>
          <w:p w14:paraId="55405100"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Recovery</w:t>
            </w:r>
          </w:p>
        </w:tc>
        <w:tc>
          <w:tcPr>
            <w:tcW w:w="1390" w:type="pct"/>
            <w:hideMark/>
          </w:tcPr>
          <w:p w14:paraId="1F705F58"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0.34 [-4.89 – 5.56]</w:t>
            </w:r>
          </w:p>
        </w:tc>
        <w:tc>
          <w:tcPr>
            <w:tcW w:w="531" w:type="pct"/>
            <w:hideMark/>
          </w:tcPr>
          <w:p w14:paraId="35066D7D"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0.899</w:t>
            </w:r>
          </w:p>
        </w:tc>
        <w:tc>
          <w:tcPr>
            <w:tcW w:w="362" w:type="pct"/>
            <w:hideMark/>
          </w:tcPr>
          <w:p w14:paraId="52A328EE"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0.02</w:t>
            </w:r>
          </w:p>
        </w:tc>
      </w:tr>
      <w:tr w:rsidR="003625A7" w:rsidRPr="00BB330F" w14:paraId="0B3FC31E" w14:textId="77777777" w:rsidTr="00341AD1">
        <w:tc>
          <w:tcPr>
            <w:cnfStyle w:val="001000000000" w:firstRow="0" w:lastRow="0" w:firstColumn="1" w:lastColumn="0" w:oddVBand="0" w:evenVBand="0" w:oddHBand="0" w:evenHBand="0" w:firstRowFirstColumn="0" w:firstRowLastColumn="0" w:lastRowFirstColumn="0" w:lastRowLastColumn="0"/>
            <w:tcW w:w="1227" w:type="pct"/>
            <w:hideMark/>
          </w:tcPr>
          <w:p w14:paraId="5D51BEE3" w14:textId="77777777" w:rsidR="003625A7" w:rsidRPr="00BB330F" w:rsidRDefault="003625A7" w:rsidP="00341AD1">
            <w:pPr>
              <w:jc w:val="center"/>
              <w:rPr>
                <w:rFonts w:cs="Times New Roman"/>
                <w:color w:val="000000" w:themeColor="text1"/>
                <w:sz w:val="20"/>
                <w:szCs w:val="20"/>
              </w:rPr>
            </w:pPr>
            <w:r w:rsidRPr="00BB330F">
              <w:rPr>
                <w:rFonts w:cs="Times New Roman"/>
                <w:b w:val="0"/>
                <w:bCs w:val="0"/>
                <w:color w:val="000000" w:themeColor="text1"/>
                <w:sz w:val="20"/>
                <w:szCs w:val="20"/>
              </w:rPr>
              <w:t>PCS Score</w:t>
            </w:r>
          </w:p>
        </w:tc>
        <w:tc>
          <w:tcPr>
            <w:tcW w:w="1391" w:type="pct"/>
            <w:hideMark/>
          </w:tcPr>
          <w:p w14:paraId="2414E475"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Fmean</w:t>
            </w:r>
          </w:p>
        </w:tc>
        <w:tc>
          <w:tcPr>
            <w:tcW w:w="1390" w:type="pct"/>
            <w:hideMark/>
          </w:tcPr>
          <w:p w14:paraId="508D15C0"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-0.19 [-0.44 – 0.05]</w:t>
            </w:r>
          </w:p>
        </w:tc>
        <w:tc>
          <w:tcPr>
            <w:tcW w:w="531" w:type="pct"/>
            <w:hideMark/>
          </w:tcPr>
          <w:p w14:paraId="4F8837E6"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0.123</w:t>
            </w:r>
          </w:p>
        </w:tc>
        <w:tc>
          <w:tcPr>
            <w:tcW w:w="362" w:type="pct"/>
            <w:hideMark/>
          </w:tcPr>
          <w:p w14:paraId="37D54188"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0.12</w:t>
            </w:r>
          </w:p>
        </w:tc>
      </w:tr>
      <w:tr w:rsidR="003625A7" w:rsidRPr="00BB330F" w14:paraId="1CA48AB7" w14:textId="77777777" w:rsidTr="00341AD1">
        <w:tc>
          <w:tcPr>
            <w:cnfStyle w:val="001000000000" w:firstRow="0" w:lastRow="0" w:firstColumn="1" w:lastColumn="0" w:oddVBand="0" w:evenVBand="0" w:oddHBand="0" w:evenHBand="0" w:firstRowFirstColumn="0" w:firstRowLastColumn="0" w:lastRowFirstColumn="0" w:lastRowLastColumn="0"/>
            <w:tcW w:w="1227" w:type="pct"/>
            <w:hideMark/>
          </w:tcPr>
          <w:p w14:paraId="282D1F08" w14:textId="77777777" w:rsidR="003625A7" w:rsidRPr="00BB330F" w:rsidRDefault="003625A7" w:rsidP="00341AD1">
            <w:pPr>
              <w:jc w:val="center"/>
              <w:rPr>
                <w:rFonts w:cs="Times New Roman"/>
                <w:color w:val="000000" w:themeColor="text1"/>
                <w:sz w:val="20"/>
                <w:szCs w:val="20"/>
              </w:rPr>
            </w:pPr>
          </w:p>
        </w:tc>
        <w:tc>
          <w:tcPr>
            <w:tcW w:w="1391" w:type="pct"/>
            <w:hideMark/>
          </w:tcPr>
          <w:p w14:paraId="660C342B"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Fatigue Ratio</w:t>
            </w:r>
          </w:p>
        </w:tc>
        <w:tc>
          <w:tcPr>
            <w:tcW w:w="1390" w:type="pct"/>
            <w:hideMark/>
          </w:tcPr>
          <w:p w14:paraId="7D3A53A6"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9.80 [-0.17 – 19.8]</w:t>
            </w:r>
          </w:p>
        </w:tc>
        <w:tc>
          <w:tcPr>
            <w:tcW w:w="531" w:type="pct"/>
            <w:hideMark/>
          </w:tcPr>
          <w:p w14:paraId="41A7F513"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0.054</w:t>
            </w:r>
          </w:p>
        </w:tc>
        <w:tc>
          <w:tcPr>
            <w:tcW w:w="362" w:type="pct"/>
            <w:hideMark/>
          </w:tcPr>
          <w:p w14:paraId="6371B7C9"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0.13</w:t>
            </w:r>
          </w:p>
        </w:tc>
      </w:tr>
      <w:tr w:rsidR="003625A7" w:rsidRPr="00BB330F" w14:paraId="3B0A07D7" w14:textId="77777777" w:rsidTr="00341AD1">
        <w:tc>
          <w:tcPr>
            <w:cnfStyle w:val="001000000000" w:firstRow="0" w:lastRow="0" w:firstColumn="1" w:lastColumn="0" w:oddVBand="0" w:evenVBand="0" w:oddHBand="0" w:evenHBand="0" w:firstRowFirstColumn="0" w:firstRowLastColumn="0" w:lastRowFirstColumn="0" w:lastRowLastColumn="0"/>
            <w:tcW w:w="1227" w:type="pct"/>
            <w:hideMark/>
          </w:tcPr>
          <w:p w14:paraId="6F6A4926" w14:textId="77777777" w:rsidR="003625A7" w:rsidRPr="00BB330F" w:rsidRDefault="003625A7" w:rsidP="00341AD1">
            <w:pPr>
              <w:jc w:val="center"/>
              <w:rPr>
                <w:rFonts w:cs="Times New Roman"/>
                <w:color w:val="000000" w:themeColor="text1"/>
                <w:sz w:val="20"/>
                <w:szCs w:val="20"/>
              </w:rPr>
            </w:pPr>
          </w:p>
        </w:tc>
        <w:tc>
          <w:tcPr>
            <w:tcW w:w="1391" w:type="pct"/>
            <w:hideMark/>
          </w:tcPr>
          <w:p w14:paraId="5B851942"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Recovery</w:t>
            </w:r>
          </w:p>
        </w:tc>
        <w:tc>
          <w:tcPr>
            <w:tcW w:w="1390" w:type="pct"/>
            <w:hideMark/>
          </w:tcPr>
          <w:p w14:paraId="1C26ECBE"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-13.7 [-28.6 – 1.19]</w:t>
            </w:r>
          </w:p>
        </w:tc>
        <w:tc>
          <w:tcPr>
            <w:tcW w:w="531" w:type="pct"/>
            <w:hideMark/>
          </w:tcPr>
          <w:p w14:paraId="1C5500DA"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0.071</w:t>
            </w:r>
          </w:p>
        </w:tc>
        <w:tc>
          <w:tcPr>
            <w:tcW w:w="362" w:type="pct"/>
            <w:hideMark/>
          </w:tcPr>
          <w:p w14:paraId="040E7E25"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0.12</w:t>
            </w:r>
          </w:p>
        </w:tc>
      </w:tr>
      <w:tr w:rsidR="003625A7" w:rsidRPr="00BB330F" w14:paraId="260CB94C" w14:textId="77777777" w:rsidTr="00341AD1">
        <w:tc>
          <w:tcPr>
            <w:cnfStyle w:val="001000000000" w:firstRow="0" w:lastRow="0" w:firstColumn="1" w:lastColumn="0" w:oddVBand="0" w:evenVBand="0" w:oddHBand="0" w:evenHBand="0" w:firstRowFirstColumn="0" w:firstRowLastColumn="0" w:lastRowFirstColumn="0" w:lastRowLastColumn="0"/>
            <w:tcW w:w="1227" w:type="pct"/>
            <w:hideMark/>
          </w:tcPr>
          <w:p w14:paraId="0ADB9801" w14:textId="77777777" w:rsidR="003625A7" w:rsidRPr="00BB330F" w:rsidRDefault="003625A7" w:rsidP="00341AD1">
            <w:pPr>
              <w:jc w:val="center"/>
              <w:rPr>
                <w:rFonts w:cs="Times New Roman"/>
                <w:color w:val="000000" w:themeColor="text1"/>
                <w:sz w:val="20"/>
                <w:szCs w:val="20"/>
              </w:rPr>
            </w:pPr>
            <w:r w:rsidRPr="00BB330F">
              <w:rPr>
                <w:rFonts w:cs="Times New Roman"/>
                <w:b w:val="0"/>
                <w:bCs w:val="0"/>
                <w:color w:val="000000" w:themeColor="text1"/>
                <w:sz w:val="20"/>
                <w:szCs w:val="20"/>
              </w:rPr>
              <w:t xml:space="preserve">C19-YRS </w:t>
            </w:r>
          </w:p>
        </w:tc>
        <w:tc>
          <w:tcPr>
            <w:tcW w:w="1391" w:type="pct"/>
            <w:hideMark/>
          </w:tcPr>
          <w:p w14:paraId="25630A20"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Fmean</w:t>
            </w:r>
          </w:p>
        </w:tc>
        <w:tc>
          <w:tcPr>
            <w:tcW w:w="1390" w:type="pct"/>
            <w:hideMark/>
          </w:tcPr>
          <w:p w14:paraId="63882419"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-0.32 [-0.65 – 0.01]</w:t>
            </w:r>
          </w:p>
        </w:tc>
        <w:tc>
          <w:tcPr>
            <w:tcW w:w="531" w:type="pct"/>
            <w:hideMark/>
          </w:tcPr>
          <w:p w14:paraId="78DDAEF1"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0.058</w:t>
            </w:r>
          </w:p>
        </w:tc>
        <w:tc>
          <w:tcPr>
            <w:tcW w:w="362" w:type="pct"/>
            <w:hideMark/>
          </w:tcPr>
          <w:p w14:paraId="6B8D47E9"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0.11</w:t>
            </w:r>
          </w:p>
        </w:tc>
      </w:tr>
      <w:tr w:rsidR="003625A7" w:rsidRPr="00BB330F" w14:paraId="02AEE474" w14:textId="77777777" w:rsidTr="00341AD1">
        <w:tc>
          <w:tcPr>
            <w:cnfStyle w:val="001000000000" w:firstRow="0" w:lastRow="0" w:firstColumn="1" w:lastColumn="0" w:oddVBand="0" w:evenVBand="0" w:oddHBand="0" w:evenHBand="0" w:firstRowFirstColumn="0" w:firstRowLastColumn="0" w:lastRowFirstColumn="0" w:lastRowLastColumn="0"/>
            <w:tcW w:w="1227" w:type="pct"/>
            <w:hideMark/>
          </w:tcPr>
          <w:p w14:paraId="512D51A1" w14:textId="77777777" w:rsidR="003625A7" w:rsidRPr="00BB330F" w:rsidRDefault="003625A7" w:rsidP="00341AD1">
            <w:pPr>
              <w:jc w:val="center"/>
              <w:rPr>
                <w:rFonts w:cs="Times New Roman"/>
                <w:color w:val="000000" w:themeColor="text1"/>
                <w:sz w:val="20"/>
                <w:szCs w:val="20"/>
              </w:rPr>
            </w:pPr>
          </w:p>
        </w:tc>
        <w:tc>
          <w:tcPr>
            <w:tcW w:w="1391" w:type="pct"/>
            <w:hideMark/>
          </w:tcPr>
          <w:p w14:paraId="52A17018"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Fatigue Ratio</w:t>
            </w:r>
          </w:p>
        </w:tc>
        <w:tc>
          <w:tcPr>
            <w:tcW w:w="1390" w:type="pct"/>
            <w:hideMark/>
          </w:tcPr>
          <w:p w14:paraId="1656240F"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9.99 [-3.61 – 23.6]</w:t>
            </w:r>
          </w:p>
        </w:tc>
        <w:tc>
          <w:tcPr>
            <w:tcW w:w="531" w:type="pct"/>
            <w:hideMark/>
          </w:tcPr>
          <w:p w14:paraId="01B2170A"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0.147</w:t>
            </w:r>
          </w:p>
        </w:tc>
        <w:tc>
          <w:tcPr>
            <w:tcW w:w="362" w:type="pct"/>
            <w:hideMark/>
          </w:tcPr>
          <w:p w14:paraId="282A87F7"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0.09</w:t>
            </w:r>
          </w:p>
        </w:tc>
      </w:tr>
      <w:tr w:rsidR="003625A7" w:rsidRPr="00BB330F" w14:paraId="13A58ECE" w14:textId="77777777" w:rsidTr="00341AD1">
        <w:tc>
          <w:tcPr>
            <w:cnfStyle w:val="001000000000" w:firstRow="0" w:lastRow="0" w:firstColumn="1" w:lastColumn="0" w:oddVBand="0" w:evenVBand="0" w:oddHBand="0" w:evenHBand="0" w:firstRowFirstColumn="0" w:firstRowLastColumn="0" w:lastRowFirstColumn="0" w:lastRowLastColumn="0"/>
            <w:tcW w:w="1227" w:type="pct"/>
            <w:hideMark/>
          </w:tcPr>
          <w:p w14:paraId="0A7EF8D5" w14:textId="77777777" w:rsidR="003625A7" w:rsidRPr="00BB330F" w:rsidRDefault="003625A7" w:rsidP="00341AD1">
            <w:pPr>
              <w:jc w:val="center"/>
              <w:rPr>
                <w:rFonts w:cs="Times New Roman"/>
                <w:color w:val="000000" w:themeColor="text1"/>
                <w:sz w:val="20"/>
                <w:szCs w:val="20"/>
              </w:rPr>
            </w:pPr>
          </w:p>
        </w:tc>
        <w:tc>
          <w:tcPr>
            <w:tcW w:w="1391" w:type="pct"/>
            <w:hideMark/>
          </w:tcPr>
          <w:p w14:paraId="441CA9D2"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Recovery</w:t>
            </w:r>
          </w:p>
        </w:tc>
        <w:tc>
          <w:tcPr>
            <w:tcW w:w="1390" w:type="pct"/>
            <w:hideMark/>
          </w:tcPr>
          <w:p w14:paraId="1AABAEBB"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-17.7 [-37.1 – 1.68]</w:t>
            </w:r>
          </w:p>
        </w:tc>
        <w:tc>
          <w:tcPr>
            <w:tcW w:w="531" w:type="pct"/>
            <w:hideMark/>
          </w:tcPr>
          <w:p w14:paraId="475AF122"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0.073</w:t>
            </w:r>
          </w:p>
        </w:tc>
        <w:tc>
          <w:tcPr>
            <w:tcW w:w="362" w:type="pct"/>
            <w:hideMark/>
          </w:tcPr>
          <w:p w14:paraId="06E17DD8" w14:textId="77777777" w:rsidR="003625A7" w:rsidRPr="00BB330F" w:rsidRDefault="003625A7" w:rsidP="00341AD1">
            <w:pPr>
              <w:keepNext/>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0.08</w:t>
            </w:r>
          </w:p>
        </w:tc>
      </w:tr>
    </w:tbl>
    <w:p w14:paraId="51642550" w14:textId="07F6C9A1" w:rsidR="003625A7" w:rsidRPr="0054367B" w:rsidRDefault="003625A7" w:rsidP="003625A7">
      <w:pPr>
        <w:pStyle w:val="Beschriftung1"/>
        <w:rPr>
          <w:rFonts w:ascii="Times New Roman" w:hAnsi="Times New Roman" w:cs="Times New Roman"/>
          <w:sz w:val="24"/>
          <w:szCs w:val="24"/>
        </w:rPr>
      </w:pPr>
      <w:bookmarkStart w:id="7" w:name="_Toc212714088"/>
      <w:r w:rsidRPr="0054367B">
        <w:rPr>
          <w:rFonts w:ascii="Times New Roman" w:hAnsi="Times New Roman" w:cs="Times New Roman"/>
          <w:b/>
          <w:bCs/>
          <w:sz w:val="24"/>
          <w:szCs w:val="24"/>
        </w:rPr>
        <w:t xml:space="preserve">Supplementary Table </w:t>
      </w:r>
      <w:r w:rsidRPr="0054367B">
        <w:rPr>
          <w:rFonts w:ascii="Times New Roman" w:hAnsi="Times New Roman" w:cs="Times New Roman"/>
          <w:b/>
          <w:bCs/>
          <w:sz w:val="24"/>
          <w:szCs w:val="24"/>
        </w:rPr>
        <w:fldChar w:fldCharType="begin"/>
      </w:r>
      <w:r w:rsidRPr="0054367B">
        <w:rPr>
          <w:rFonts w:ascii="Times New Roman" w:hAnsi="Times New Roman" w:cs="Times New Roman"/>
          <w:b/>
          <w:bCs/>
          <w:sz w:val="24"/>
          <w:szCs w:val="24"/>
        </w:rPr>
        <w:instrText xml:space="preserve"> SEQ Supplementary_Table \* ARABIC </w:instrText>
      </w:r>
      <w:r w:rsidRPr="0054367B">
        <w:rPr>
          <w:rFonts w:ascii="Times New Roman" w:hAnsi="Times New Roman" w:cs="Times New Roman"/>
          <w:b/>
          <w:bCs/>
          <w:sz w:val="24"/>
          <w:szCs w:val="24"/>
        </w:rPr>
        <w:fldChar w:fldCharType="separate"/>
      </w:r>
      <w:r w:rsidR="00FE267B">
        <w:rPr>
          <w:rFonts w:ascii="Times New Roman" w:hAnsi="Times New Roman" w:cs="Times New Roman"/>
          <w:b/>
          <w:bCs/>
          <w:noProof/>
          <w:sz w:val="24"/>
          <w:szCs w:val="24"/>
        </w:rPr>
        <w:t>6</w:t>
      </w:r>
      <w:r w:rsidRPr="0054367B">
        <w:rPr>
          <w:rFonts w:ascii="Times New Roman" w:hAnsi="Times New Roman" w:cs="Times New Roman"/>
          <w:b/>
          <w:bCs/>
          <w:sz w:val="24"/>
          <w:szCs w:val="24"/>
        </w:rPr>
        <w:fldChar w:fldCharType="end"/>
      </w:r>
      <w:r w:rsidRPr="0054367B">
        <w:rPr>
          <w:rFonts w:ascii="Times New Roman" w:hAnsi="Times New Roman" w:cs="Times New Roman"/>
          <w:b/>
          <w:bCs/>
          <w:sz w:val="24"/>
          <w:szCs w:val="24"/>
        </w:rPr>
        <w:t>:</w:t>
      </w:r>
      <w:r w:rsidRPr="0054367B">
        <w:rPr>
          <w:rFonts w:ascii="Times New Roman" w:hAnsi="Times New Roman" w:cs="Times New Roman"/>
          <w:sz w:val="24"/>
          <w:szCs w:val="24"/>
        </w:rPr>
        <w:t xml:space="preserve"> Linear regression models adjusted for age, sex, and the corresponding BL PROM. Shown are unstandardized regression coefficients (β) with 95% confidence intervals (CI) and</w:t>
      </w:r>
      <w:r w:rsidRPr="0054367B">
        <w:rPr>
          <w:rStyle w:val="apple-converted-space"/>
          <w:rFonts w:ascii="Times New Roman" w:hAnsi="Times New Roman" w:cs="Times New Roman"/>
          <w:sz w:val="24"/>
          <w:szCs w:val="24"/>
        </w:rPr>
        <w:t xml:space="preserve"> </w:t>
      </w:r>
      <w:r w:rsidRPr="0054367B">
        <w:rPr>
          <w:rStyle w:val="Hervorhebung"/>
          <w:rFonts w:cs="Times New Roman"/>
          <w:i w:val="0"/>
          <w:iCs/>
          <w:sz w:val="24"/>
          <w:szCs w:val="24"/>
        </w:rPr>
        <w:t>p</w:t>
      </w:r>
      <w:r w:rsidRPr="0054367B">
        <w:rPr>
          <w:rFonts w:ascii="Times New Roman" w:hAnsi="Times New Roman" w:cs="Times New Roman"/>
          <w:sz w:val="24"/>
          <w:szCs w:val="24"/>
        </w:rPr>
        <w:t>-values.</w:t>
      </w:r>
      <w:bookmarkEnd w:id="7"/>
    </w:p>
    <w:p w14:paraId="09F85BE9" w14:textId="77777777" w:rsidR="003625A7" w:rsidRPr="00BB330F" w:rsidRDefault="003625A7" w:rsidP="003625A7">
      <w:r w:rsidRPr="00BB330F">
        <w:lastRenderedPageBreak/>
        <w:t>No significant interaction effects between BL muscle function and CFS status were observed for any of the examined PROMs (Supplementary Table 7). This indicates that the associations between muscle function measures (Fmean, Ratigue Ratio, Recovery) and FU symptom scores did not differ between PCS patients with and without CFS.</w:t>
      </w:r>
    </w:p>
    <w:tbl>
      <w:tblPr>
        <w:tblStyle w:val="Gitternetztabelle1hell"/>
        <w:tblW w:w="5000" w:type="pct"/>
        <w:jc w:val="center"/>
        <w:tblLook w:val="04A0" w:firstRow="1" w:lastRow="0" w:firstColumn="1" w:lastColumn="0" w:noHBand="0" w:noVBand="1"/>
      </w:tblPr>
      <w:tblGrid>
        <w:gridCol w:w="2934"/>
        <w:gridCol w:w="3100"/>
        <w:gridCol w:w="2668"/>
        <w:gridCol w:w="1065"/>
      </w:tblGrid>
      <w:tr w:rsidR="003625A7" w:rsidRPr="00BB330F" w14:paraId="75ADF1E0" w14:textId="77777777" w:rsidTr="00341AD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02" w:type="pct"/>
            <w:hideMark/>
          </w:tcPr>
          <w:p w14:paraId="17EAB810" w14:textId="77777777" w:rsidR="003625A7" w:rsidRPr="00BB330F" w:rsidRDefault="003625A7" w:rsidP="00341AD1">
            <w:pPr>
              <w:jc w:val="center"/>
              <w:rPr>
                <w:rFonts w:cs="Times New Roman"/>
                <w:color w:val="000000" w:themeColor="text1"/>
                <w:sz w:val="20"/>
                <w:szCs w:val="20"/>
              </w:rPr>
            </w:pPr>
            <w:r w:rsidRPr="00BB330F">
              <w:rPr>
                <w:rFonts w:cs="Times New Roman"/>
                <w:color w:val="000000" w:themeColor="text1"/>
                <w:sz w:val="20"/>
                <w:szCs w:val="20"/>
              </w:rPr>
              <w:t>Predictor (BL)</w:t>
            </w:r>
          </w:p>
        </w:tc>
        <w:tc>
          <w:tcPr>
            <w:tcW w:w="1587" w:type="pct"/>
            <w:hideMark/>
          </w:tcPr>
          <w:p w14:paraId="22A3FD0E" w14:textId="77777777" w:rsidR="003625A7" w:rsidRPr="00BB330F" w:rsidRDefault="003625A7" w:rsidP="00341AD1">
            <w:pPr>
              <w:jc w:val="center"/>
              <w:cnfStyle w:val="100000000000" w:firstRow="1"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Outcome (FU)</w:t>
            </w:r>
          </w:p>
        </w:tc>
        <w:tc>
          <w:tcPr>
            <w:tcW w:w="1366" w:type="pct"/>
            <w:hideMark/>
          </w:tcPr>
          <w:p w14:paraId="082FC141" w14:textId="77777777" w:rsidR="003625A7" w:rsidRPr="00BB330F" w:rsidRDefault="003625A7" w:rsidP="00341AD1">
            <w:pPr>
              <w:jc w:val="center"/>
              <w:cnfStyle w:val="100000000000" w:firstRow="1"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β [95% CI]</w:t>
            </w:r>
          </w:p>
        </w:tc>
        <w:tc>
          <w:tcPr>
            <w:tcW w:w="545" w:type="pct"/>
            <w:hideMark/>
          </w:tcPr>
          <w:p w14:paraId="2B1592D0" w14:textId="77777777" w:rsidR="003625A7" w:rsidRPr="00BB330F" w:rsidRDefault="003625A7" w:rsidP="00341AD1">
            <w:pPr>
              <w:jc w:val="center"/>
              <w:cnfStyle w:val="100000000000" w:firstRow="1"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p</w:t>
            </w:r>
          </w:p>
        </w:tc>
      </w:tr>
      <w:tr w:rsidR="003625A7" w:rsidRPr="00BB330F" w14:paraId="546EE239" w14:textId="77777777" w:rsidTr="00341AD1">
        <w:trPr>
          <w:jc w:val="center"/>
        </w:trPr>
        <w:tc>
          <w:tcPr>
            <w:cnfStyle w:val="001000000000" w:firstRow="0" w:lastRow="0" w:firstColumn="1" w:lastColumn="0" w:oddVBand="0" w:evenVBand="0" w:oddHBand="0" w:evenHBand="0" w:firstRowFirstColumn="0" w:firstRowLastColumn="0" w:lastRowFirstColumn="0" w:lastRowLastColumn="0"/>
            <w:tcW w:w="1502" w:type="pct"/>
            <w:hideMark/>
          </w:tcPr>
          <w:p w14:paraId="2D25270C" w14:textId="77777777" w:rsidR="003625A7" w:rsidRPr="00BB330F" w:rsidRDefault="003625A7" w:rsidP="00341AD1">
            <w:pPr>
              <w:jc w:val="center"/>
              <w:rPr>
                <w:rFonts w:cs="Times New Roman"/>
                <w:b w:val="0"/>
                <w:bCs w:val="0"/>
                <w:color w:val="000000" w:themeColor="text1"/>
                <w:sz w:val="20"/>
                <w:szCs w:val="20"/>
              </w:rPr>
            </w:pPr>
            <w:r w:rsidRPr="00BB330F">
              <w:rPr>
                <w:rStyle w:val="Fett"/>
                <w:rFonts w:cs="Times New Roman"/>
                <w:color w:val="000000" w:themeColor="text1"/>
                <w:sz w:val="20"/>
                <w:szCs w:val="20"/>
              </w:rPr>
              <w:t>Fmean</w:t>
            </w:r>
          </w:p>
        </w:tc>
        <w:tc>
          <w:tcPr>
            <w:tcW w:w="1587" w:type="pct"/>
            <w:hideMark/>
          </w:tcPr>
          <w:p w14:paraId="0557B6D4"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GAD7</w:t>
            </w:r>
          </w:p>
        </w:tc>
        <w:tc>
          <w:tcPr>
            <w:tcW w:w="1366" w:type="pct"/>
            <w:hideMark/>
          </w:tcPr>
          <w:p w14:paraId="110D90BA"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0.10 [-0.03, 0.22]</w:t>
            </w:r>
          </w:p>
        </w:tc>
        <w:tc>
          <w:tcPr>
            <w:tcW w:w="545" w:type="pct"/>
            <w:hideMark/>
          </w:tcPr>
          <w:p w14:paraId="5075DB67"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0.139</w:t>
            </w:r>
          </w:p>
        </w:tc>
      </w:tr>
      <w:tr w:rsidR="003625A7" w:rsidRPr="00BB330F" w14:paraId="4AC764AA" w14:textId="77777777" w:rsidTr="00341AD1">
        <w:trPr>
          <w:jc w:val="center"/>
        </w:trPr>
        <w:tc>
          <w:tcPr>
            <w:cnfStyle w:val="001000000000" w:firstRow="0" w:lastRow="0" w:firstColumn="1" w:lastColumn="0" w:oddVBand="0" w:evenVBand="0" w:oddHBand="0" w:evenHBand="0" w:firstRowFirstColumn="0" w:firstRowLastColumn="0" w:lastRowFirstColumn="0" w:lastRowLastColumn="0"/>
            <w:tcW w:w="1502" w:type="pct"/>
            <w:hideMark/>
          </w:tcPr>
          <w:p w14:paraId="3CE97C73" w14:textId="77777777" w:rsidR="003625A7" w:rsidRPr="00BB330F" w:rsidRDefault="003625A7" w:rsidP="00341AD1">
            <w:pPr>
              <w:jc w:val="center"/>
              <w:rPr>
                <w:rFonts w:cs="Times New Roman"/>
                <w:color w:val="000000" w:themeColor="text1"/>
                <w:sz w:val="20"/>
                <w:szCs w:val="20"/>
              </w:rPr>
            </w:pPr>
          </w:p>
        </w:tc>
        <w:tc>
          <w:tcPr>
            <w:tcW w:w="1587" w:type="pct"/>
            <w:hideMark/>
          </w:tcPr>
          <w:p w14:paraId="64581627"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FSS</w:t>
            </w:r>
          </w:p>
        </w:tc>
        <w:tc>
          <w:tcPr>
            <w:tcW w:w="1366" w:type="pct"/>
            <w:hideMark/>
          </w:tcPr>
          <w:p w14:paraId="2256AFDC"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-0.03 [-0.09, 0.03]</w:t>
            </w:r>
          </w:p>
        </w:tc>
        <w:tc>
          <w:tcPr>
            <w:tcW w:w="545" w:type="pct"/>
            <w:hideMark/>
          </w:tcPr>
          <w:p w14:paraId="72A54EA7"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0.391</w:t>
            </w:r>
          </w:p>
        </w:tc>
      </w:tr>
      <w:tr w:rsidR="003625A7" w:rsidRPr="00BB330F" w14:paraId="2EDEB918" w14:textId="77777777" w:rsidTr="00341AD1">
        <w:trPr>
          <w:jc w:val="center"/>
        </w:trPr>
        <w:tc>
          <w:tcPr>
            <w:cnfStyle w:val="001000000000" w:firstRow="0" w:lastRow="0" w:firstColumn="1" w:lastColumn="0" w:oddVBand="0" w:evenVBand="0" w:oddHBand="0" w:evenHBand="0" w:firstRowFirstColumn="0" w:firstRowLastColumn="0" w:lastRowFirstColumn="0" w:lastRowLastColumn="0"/>
            <w:tcW w:w="1502" w:type="pct"/>
            <w:hideMark/>
          </w:tcPr>
          <w:p w14:paraId="5E6D9B4F" w14:textId="77777777" w:rsidR="003625A7" w:rsidRPr="00BB330F" w:rsidRDefault="003625A7" w:rsidP="00341AD1">
            <w:pPr>
              <w:jc w:val="center"/>
              <w:rPr>
                <w:rFonts w:cs="Times New Roman"/>
                <w:color w:val="000000" w:themeColor="text1"/>
                <w:sz w:val="20"/>
                <w:szCs w:val="20"/>
              </w:rPr>
            </w:pPr>
          </w:p>
        </w:tc>
        <w:tc>
          <w:tcPr>
            <w:tcW w:w="1587" w:type="pct"/>
            <w:hideMark/>
          </w:tcPr>
          <w:p w14:paraId="2DEBFF77"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PCS Score</w:t>
            </w:r>
          </w:p>
        </w:tc>
        <w:tc>
          <w:tcPr>
            <w:tcW w:w="1366" w:type="pct"/>
            <w:hideMark/>
          </w:tcPr>
          <w:p w14:paraId="51B442EF"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0.11 [-0.25, 0.47]</w:t>
            </w:r>
          </w:p>
        </w:tc>
        <w:tc>
          <w:tcPr>
            <w:tcW w:w="545" w:type="pct"/>
            <w:hideMark/>
          </w:tcPr>
          <w:p w14:paraId="0B78A857"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0.542</w:t>
            </w:r>
          </w:p>
        </w:tc>
      </w:tr>
      <w:tr w:rsidR="003625A7" w:rsidRPr="00BB330F" w14:paraId="63B0046A" w14:textId="77777777" w:rsidTr="00341AD1">
        <w:trPr>
          <w:jc w:val="center"/>
        </w:trPr>
        <w:tc>
          <w:tcPr>
            <w:cnfStyle w:val="001000000000" w:firstRow="0" w:lastRow="0" w:firstColumn="1" w:lastColumn="0" w:oddVBand="0" w:evenVBand="0" w:oddHBand="0" w:evenHBand="0" w:firstRowFirstColumn="0" w:firstRowLastColumn="0" w:lastRowFirstColumn="0" w:lastRowLastColumn="0"/>
            <w:tcW w:w="1502" w:type="pct"/>
            <w:hideMark/>
          </w:tcPr>
          <w:p w14:paraId="316F9CFE" w14:textId="77777777" w:rsidR="003625A7" w:rsidRPr="00BB330F" w:rsidRDefault="003625A7" w:rsidP="00341AD1">
            <w:pPr>
              <w:jc w:val="center"/>
              <w:rPr>
                <w:rFonts w:cs="Times New Roman"/>
                <w:color w:val="000000" w:themeColor="text1"/>
                <w:sz w:val="20"/>
                <w:szCs w:val="20"/>
              </w:rPr>
            </w:pPr>
          </w:p>
        </w:tc>
        <w:tc>
          <w:tcPr>
            <w:tcW w:w="1587" w:type="pct"/>
            <w:hideMark/>
          </w:tcPr>
          <w:p w14:paraId="21E69CDC"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PHQ9</w:t>
            </w:r>
          </w:p>
        </w:tc>
        <w:tc>
          <w:tcPr>
            <w:tcW w:w="1366" w:type="pct"/>
            <w:hideMark/>
          </w:tcPr>
          <w:p w14:paraId="271C5C92"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0.03 [-0.07, 0.12]</w:t>
            </w:r>
          </w:p>
        </w:tc>
        <w:tc>
          <w:tcPr>
            <w:tcW w:w="545" w:type="pct"/>
            <w:hideMark/>
          </w:tcPr>
          <w:p w14:paraId="06180CCF"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0.557</w:t>
            </w:r>
          </w:p>
        </w:tc>
      </w:tr>
      <w:tr w:rsidR="003625A7" w:rsidRPr="00BB330F" w14:paraId="12784E57" w14:textId="77777777" w:rsidTr="00341AD1">
        <w:trPr>
          <w:jc w:val="center"/>
        </w:trPr>
        <w:tc>
          <w:tcPr>
            <w:cnfStyle w:val="001000000000" w:firstRow="0" w:lastRow="0" w:firstColumn="1" w:lastColumn="0" w:oddVBand="0" w:evenVBand="0" w:oddHBand="0" w:evenHBand="0" w:firstRowFirstColumn="0" w:firstRowLastColumn="0" w:lastRowFirstColumn="0" w:lastRowLastColumn="0"/>
            <w:tcW w:w="1502" w:type="pct"/>
            <w:hideMark/>
          </w:tcPr>
          <w:p w14:paraId="72A63E95" w14:textId="77777777" w:rsidR="003625A7" w:rsidRPr="00BB330F" w:rsidRDefault="003625A7" w:rsidP="00341AD1">
            <w:pPr>
              <w:jc w:val="center"/>
              <w:rPr>
                <w:rFonts w:cs="Times New Roman"/>
                <w:color w:val="000000" w:themeColor="text1"/>
                <w:sz w:val="20"/>
                <w:szCs w:val="20"/>
              </w:rPr>
            </w:pPr>
          </w:p>
        </w:tc>
        <w:tc>
          <w:tcPr>
            <w:tcW w:w="1587" w:type="pct"/>
            <w:hideMark/>
          </w:tcPr>
          <w:p w14:paraId="6EBBBF6E"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C19-YRS</w:t>
            </w:r>
          </w:p>
        </w:tc>
        <w:tc>
          <w:tcPr>
            <w:tcW w:w="1366" w:type="pct"/>
            <w:hideMark/>
          </w:tcPr>
          <w:p w14:paraId="33ABCEFB"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0.06 [-0.32, 0.44]</w:t>
            </w:r>
          </w:p>
        </w:tc>
        <w:tc>
          <w:tcPr>
            <w:tcW w:w="545" w:type="pct"/>
            <w:hideMark/>
          </w:tcPr>
          <w:p w14:paraId="61303BF0"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0.744</w:t>
            </w:r>
          </w:p>
        </w:tc>
      </w:tr>
      <w:tr w:rsidR="003625A7" w:rsidRPr="00BB330F" w14:paraId="15C24A9E" w14:textId="77777777" w:rsidTr="00341AD1">
        <w:trPr>
          <w:jc w:val="center"/>
        </w:trPr>
        <w:tc>
          <w:tcPr>
            <w:cnfStyle w:val="001000000000" w:firstRow="0" w:lastRow="0" w:firstColumn="1" w:lastColumn="0" w:oddVBand="0" w:evenVBand="0" w:oddHBand="0" w:evenHBand="0" w:firstRowFirstColumn="0" w:firstRowLastColumn="0" w:lastRowFirstColumn="0" w:lastRowLastColumn="0"/>
            <w:tcW w:w="1502" w:type="pct"/>
            <w:hideMark/>
          </w:tcPr>
          <w:p w14:paraId="2C622584" w14:textId="77777777" w:rsidR="003625A7" w:rsidRPr="00BB330F" w:rsidRDefault="003625A7" w:rsidP="00341AD1">
            <w:pPr>
              <w:jc w:val="center"/>
              <w:rPr>
                <w:rFonts w:cs="Times New Roman"/>
                <w:color w:val="000000" w:themeColor="text1"/>
                <w:sz w:val="20"/>
                <w:szCs w:val="20"/>
              </w:rPr>
            </w:pPr>
            <w:r w:rsidRPr="00BB330F">
              <w:rPr>
                <w:rStyle w:val="Fett"/>
                <w:rFonts w:cs="Times New Roman"/>
                <w:color w:val="000000" w:themeColor="text1"/>
                <w:sz w:val="20"/>
                <w:szCs w:val="20"/>
              </w:rPr>
              <w:t>Fatigue Ratio</w:t>
            </w:r>
          </w:p>
        </w:tc>
        <w:tc>
          <w:tcPr>
            <w:tcW w:w="1587" w:type="pct"/>
            <w:hideMark/>
          </w:tcPr>
          <w:p w14:paraId="4C45FE7C"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PCS Score</w:t>
            </w:r>
          </w:p>
        </w:tc>
        <w:tc>
          <w:tcPr>
            <w:tcW w:w="1366" w:type="pct"/>
            <w:hideMark/>
          </w:tcPr>
          <w:p w14:paraId="3440CA77"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-12.8 [-42.0, 16.3]</w:t>
            </w:r>
          </w:p>
        </w:tc>
        <w:tc>
          <w:tcPr>
            <w:tcW w:w="545" w:type="pct"/>
            <w:hideMark/>
          </w:tcPr>
          <w:p w14:paraId="34A414E4"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0.383</w:t>
            </w:r>
          </w:p>
        </w:tc>
      </w:tr>
      <w:tr w:rsidR="003625A7" w:rsidRPr="00BB330F" w14:paraId="59339AE1" w14:textId="77777777" w:rsidTr="00341AD1">
        <w:trPr>
          <w:jc w:val="center"/>
        </w:trPr>
        <w:tc>
          <w:tcPr>
            <w:cnfStyle w:val="001000000000" w:firstRow="0" w:lastRow="0" w:firstColumn="1" w:lastColumn="0" w:oddVBand="0" w:evenVBand="0" w:oddHBand="0" w:evenHBand="0" w:firstRowFirstColumn="0" w:firstRowLastColumn="0" w:lastRowFirstColumn="0" w:lastRowLastColumn="0"/>
            <w:tcW w:w="1502" w:type="pct"/>
            <w:hideMark/>
          </w:tcPr>
          <w:p w14:paraId="59B5566E" w14:textId="77777777" w:rsidR="003625A7" w:rsidRPr="00BB330F" w:rsidRDefault="003625A7" w:rsidP="00341AD1">
            <w:pPr>
              <w:jc w:val="center"/>
              <w:rPr>
                <w:rFonts w:cs="Times New Roman"/>
                <w:color w:val="000000" w:themeColor="text1"/>
                <w:sz w:val="20"/>
                <w:szCs w:val="20"/>
              </w:rPr>
            </w:pPr>
          </w:p>
        </w:tc>
        <w:tc>
          <w:tcPr>
            <w:tcW w:w="1587" w:type="pct"/>
            <w:hideMark/>
          </w:tcPr>
          <w:p w14:paraId="1CC19B4C"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C19-YRS</w:t>
            </w:r>
          </w:p>
        </w:tc>
        <w:tc>
          <w:tcPr>
            <w:tcW w:w="1366" w:type="pct"/>
            <w:hideMark/>
          </w:tcPr>
          <w:p w14:paraId="4A6F6436"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-8.14 [-37.1, 20.8]</w:t>
            </w:r>
          </w:p>
        </w:tc>
        <w:tc>
          <w:tcPr>
            <w:tcW w:w="545" w:type="pct"/>
            <w:hideMark/>
          </w:tcPr>
          <w:p w14:paraId="2E644EE6"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0.575</w:t>
            </w:r>
          </w:p>
        </w:tc>
      </w:tr>
      <w:tr w:rsidR="003625A7" w:rsidRPr="00BB330F" w14:paraId="120F5415" w14:textId="77777777" w:rsidTr="00341AD1">
        <w:trPr>
          <w:jc w:val="center"/>
        </w:trPr>
        <w:tc>
          <w:tcPr>
            <w:cnfStyle w:val="001000000000" w:firstRow="0" w:lastRow="0" w:firstColumn="1" w:lastColumn="0" w:oddVBand="0" w:evenVBand="0" w:oddHBand="0" w:evenHBand="0" w:firstRowFirstColumn="0" w:firstRowLastColumn="0" w:lastRowFirstColumn="0" w:lastRowLastColumn="0"/>
            <w:tcW w:w="1502" w:type="pct"/>
            <w:hideMark/>
          </w:tcPr>
          <w:p w14:paraId="2BC994F6" w14:textId="77777777" w:rsidR="003625A7" w:rsidRPr="00BB330F" w:rsidRDefault="003625A7" w:rsidP="00341AD1">
            <w:pPr>
              <w:jc w:val="center"/>
              <w:rPr>
                <w:rFonts w:cs="Times New Roman"/>
                <w:color w:val="000000" w:themeColor="text1"/>
                <w:sz w:val="20"/>
                <w:szCs w:val="20"/>
              </w:rPr>
            </w:pPr>
          </w:p>
        </w:tc>
        <w:tc>
          <w:tcPr>
            <w:tcW w:w="1587" w:type="pct"/>
            <w:hideMark/>
          </w:tcPr>
          <w:p w14:paraId="6F64786E"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PHQ9</w:t>
            </w:r>
          </w:p>
        </w:tc>
        <w:tc>
          <w:tcPr>
            <w:tcW w:w="1366" w:type="pct"/>
            <w:hideMark/>
          </w:tcPr>
          <w:p w14:paraId="7C6D16B5"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-4.41 [-13.8, 5.02]</w:t>
            </w:r>
          </w:p>
        </w:tc>
        <w:tc>
          <w:tcPr>
            <w:tcW w:w="545" w:type="pct"/>
            <w:hideMark/>
          </w:tcPr>
          <w:p w14:paraId="000D1C9D"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0.354</w:t>
            </w:r>
          </w:p>
        </w:tc>
      </w:tr>
      <w:tr w:rsidR="003625A7" w:rsidRPr="00BB330F" w14:paraId="203123A7" w14:textId="77777777" w:rsidTr="00341AD1">
        <w:trPr>
          <w:jc w:val="center"/>
        </w:trPr>
        <w:tc>
          <w:tcPr>
            <w:cnfStyle w:val="001000000000" w:firstRow="0" w:lastRow="0" w:firstColumn="1" w:lastColumn="0" w:oddVBand="0" w:evenVBand="0" w:oddHBand="0" w:evenHBand="0" w:firstRowFirstColumn="0" w:firstRowLastColumn="0" w:lastRowFirstColumn="0" w:lastRowLastColumn="0"/>
            <w:tcW w:w="1502" w:type="pct"/>
            <w:hideMark/>
          </w:tcPr>
          <w:p w14:paraId="71196113" w14:textId="77777777" w:rsidR="003625A7" w:rsidRPr="00BB330F" w:rsidRDefault="003625A7" w:rsidP="00341AD1">
            <w:pPr>
              <w:jc w:val="center"/>
              <w:rPr>
                <w:rFonts w:cs="Times New Roman"/>
                <w:color w:val="000000" w:themeColor="text1"/>
                <w:sz w:val="20"/>
                <w:szCs w:val="20"/>
              </w:rPr>
            </w:pPr>
          </w:p>
        </w:tc>
        <w:tc>
          <w:tcPr>
            <w:tcW w:w="1587" w:type="pct"/>
            <w:hideMark/>
          </w:tcPr>
          <w:p w14:paraId="75AE0D47"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FSS</w:t>
            </w:r>
          </w:p>
        </w:tc>
        <w:tc>
          <w:tcPr>
            <w:tcW w:w="1366" w:type="pct"/>
            <w:hideMark/>
          </w:tcPr>
          <w:p w14:paraId="314062B1"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0.83 [-1.82, 3.49]</w:t>
            </w:r>
          </w:p>
        </w:tc>
        <w:tc>
          <w:tcPr>
            <w:tcW w:w="545" w:type="pct"/>
            <w:hideMark/>
          </w:tcPr>
          <w:p w14:paraId="0E16EA8F"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0.534</w:t>
            </w:r>
          </w:p>
        </w:tc>
      </w:tr>
      <w:tr w:rsidR="003625A7" w:rsidRPr="00BB330F" w14:paraId="5B2695A2" w14:textId="77777777" w:rsidTr="00341AD1">
        <w:trPr>
          <w:jc w:val="center"/>
        </w:trPr>
        <w:tc>
          <w:tcPr>
            <w:cnfStyle w:val="001000000000" w:firstRow="0" w:lastRow="0" w:firstColumn="1" w:lastColumn="0" w:oddVBand="0" w:evenVBand="0" w:oddHBand="0" w:evenHBand="0" w:firstRowFirstColumn="0" w:firstRowLastColumn="0" w:lastRowFirstColumn="0" w:lastRowLastColumn="0"/>
            <w:tcW w:w="1502" w:type="pct"/>
            <w:hideMark/>
          </w:tcPr>
          <w:p w14:paraId="18317DE2" w14:textId="77777777" w:rsidR="003625A7" w:rsidRPr="00BB330F" w:rsidRDefault="003625A7" w:rsidP="00341AD1">
            <w:pPr>
              <w:jc w:val="center"/>
              <w:rPr>
                <w:rFonts w:cs="Times New Roman"/>
                <w:color w:val="000000" w:themeColor="text1"/>
                <w:sz w:val="20"/>
                <w:szCs w:val="20"/>
              </w:rPr>
            </w:pPr>
          </w:p>
        </w:tc>
        <w:tc>
          <w:tcPr>
            <w:tcW w:w="1587" w:type="pct"/>
            <w:hideMark/>
          </w:tcPr>
          <w:p w14:paraId="3DB71421"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GAD7</w:t>
            </w:r>
          </w:p>
        </w:tc>
        <w:tc>
          <w:tcPr>
            <w:tcW w:w="1366" w:type="pct"/>
            <w:hideMark/>
          </w:tcPr>
          <w:p w14:paraId="338C0557"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-0.82 [-19.9, 18.3]</w:t>
            </w:r>
          </w:p>
        </w:tc>
        <w:tc>
          <w:tcPr>
            <w:tcW w:w="545" w:type="pct"/>
            <w:hideMark/>
          </w:tcPr>
          <w:p w14:paraId="1DB59BCC"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0.932</w:t>
            </w:r>
          </w:p>
        </w:tc>
      </w:tr>
      <w:tr w:rsidR="003625A7" w:rsidRPr="00BB330F" w14:paraId="0D03BE75" w14:textId="77777777" w:rsidTr="00341AD1">
        <w:trPr>
          <w:jc w:val="center"/>
        </w:trPr>
        <w:tc>
          <w:tcPr>
            <w:cnfStyle w:val="001000000000" w:firstRow="0" w:lastRow="0" w:firstColumn="1" w:lastColumn="0" w:oddVBand="0" w:evenVBand="0" w:oddHBand="0" w:evenHBand="0" w:firstRowFirstColumn="0" w:firstRowLastColumn="0" w:lastRowFirstColumn="0" w:lastRowLastColumn="0"/>
            <w:tcW w:w="1502" w:type="pct"/>
            <w:hideMark/>
          </w:tcPr>
          <w:p w14:paraId="72474E5A" w14:textId="77777777" w:rsidR="003625A7" w:rsidRPr="00BB330F" w:rsidRDefault="003625A7" w:rsidP="00341AD1">
            <w:pPr>
              <w:jc w:val="center"/>
              <w:rPr>
                <w:rFonts w:cs="Times New Roman"/>
                <w:color w:val="000000" w:themeColor="text1"/>
                <w:sz w:val="20"/>
                <w:szCs w:val="20"/>
              </w:rPr>
            </w:pPr>
            <w:r w:rsidRPr="00BB330F">
              <w:rPr>
                <w:rStyle w:val="Fett"/>
                <w:rFonts w:cs="Times New Roman"/>
                <w:color w:val="000000" w:themeColor="text1"/>
                <w:sz w:val="20"/>
                <w:szCs w:val="20"/>
              </w:rPr>
              <w:t>Recovery</w:t>
            </w:r>
          </w:p>
        </w:tc>
        <w:tc>
          <w:tcPr>
            <w:tcW w:w="1587" w:type="pct"/>
            <w:hideMark/>
          </w:tcPr>
          <w:p w14:paraId="3495BF1E"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PCS Score</w:t>
            </w:r>
          </w:p>
        </w:tc>
        <w:tc>
          <w:tcPr>
            <w:tcW w:w="1366" w:type="pct"/>
            <w:hideMark/>
          </w:tcPr>
          <w:p w14:paraId="6FD1B571"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2.48 [-29.5, 34.5]</w:t>
            </w:r>
          </w:p>
        </w:tc>
        <w:tc>
          <w:tcPr>
            <w:tcW w:w="545" w:type="pct"/>
            <w:hideMark/>
          </w:tcPr>
          <w:p w14:paraId="5B2A9E32"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0.878</w:t>
            </w:r>
          </w:p>
        </w:tc>
      </w:tr>
      <w:tr w:rsidR="003625A7" w:rsidRPr="00BB330F" w14:paraId="416F295F" w14:textId="77777777" w:rsidTr="00341AD1">
        <w:trPr>
          <w:jc w:val="center"/>
        </w:trPr>
        <w:tc>
          <w:tcPr>
            <w:cnfStyle w:val="001000000000" w:firstRow="0" w:lastRow="0" w:firstColumn="1" w:lastColumn="0" w:oddVBand="0" w:evenVBand="0" w:oddHBand="0" w:evenHBand="0" w:firstRowFirstColumn="0" w:firstRowLastColumn="0" w:lastRowFirstColumn="0" w:lastRowLastColumn="0"/>
            <w:tcW w:w="1502" w:type="pct"/>
            <w:hideMark/>
          </w:tcPr>
          <w:p w14:paraId="63AE3D42" w14:textId="77777777" w:rsidR="003625A7" w:rsidRPr="00BB330F" w:rsidRDefault="003625A7" w:rsidP="00341AD1">
            <w:pPr>
              <w:jc w:val="center"/>
              <w:rPr>
                <w:rFonts w:cs="Times New Roman"/>
                <w:color w:val="000000" w:themeColor="text1"/>
                <w:sz w:val="20"/>
                <w:szCs w:val="20"/>
              </w:rPr>
            </w:pPr>
          </w:p>
        </w:tc>
        <w:tc>
          <w:tcPr>
            <w:tcW w:w="1587" w:type="pct"/>
            <w:hideMark/>
          </w:tcPr>
          <w:p w14:paraId="2E70F401"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C19-YRS</w:t>
            </w:r>
          </w:p>
        </w:tc>
        <w:tc>
          <w:tcPr>
            <w:tcW w:w="1366" w:type="pct"/>
            <w:hideMark/>
          </w:tcPr>
          <w:p w14:paraId="3E4D9AD6"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2.07 [-53.7, 57.8]</w:t>
            </w:r>
          </w:p>
        </w:tc>
        <w:tc>
          <w:tcPr>
            <w:tcW w:w="545" w:type="pct"/>
            <w:hideMark/>
          </w:tcPr>
          <w:p w14:paraId="4239E0BA"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0.941</w:t>
            </w:r>
          </w:p>
        </w:tc>
      </w:tr>
      <w:tr w:rsidR="003625A7" w:rsidRPr="00BB330F" w14:paraId="33562228" w14:textId="77777777" w:rsidTr="00341AD1">
        <w:trPr>
          <w:jc w:val="center"/>
        </w:trPr>
        <w:tc>
          <w:tcPr>
            <w:cnfStyle w:val="001000000000" w:firstRow="0" w:lastRow="0" w:firstColumn="1" w:lastColumn="0" w:oddVBand="0" w:evenVBand="0" w:oddHBand="0" w:evenHBand="0" w:firstRowFirstColumn="0" w:firstRowLastColumn="0" w:lastRowFirstColumn="0" w:lastRowLastColumn="0"/>
            <w:tcW w:w="1502" w:type="pct"/>
            <w:hideMark/>
          </w:tcPr>
          <w:p w14:paraId="6092E745" w14:textId="77777777" w:rsidR="003625A7" w:rsidRPr="00BB330F" w:rsidRDefault="003625A7" w:rsidP="00341AD1">
            <w:pPr>
              <w:jc w:val="center"/>
              <w:rPr>
                <w:rFonts w:cs="Times New Roman"/>
                <w:color w:val="000000" w:themeColor="text1"/>
                <w:sz w:val="20"/>
                <w:szCs w:val="20"/>
              </w:rPr>
            </w:pPr>
          </w:p>
        </w:tc>
        <w:tc>
          <w:tcPr>
            <w:tcW w:w="1587" w:type="pct"/>
            <w:hideMark/>
          </w:tcPr>
          <w:p w14:paraId="7EBF2006"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GAD7</w:t>
            </w:r>
          </w:p>
        </w:tc>
        <w:tc>
          <w:tcPr>
            <w:tcW w:w="1366" w:type="pct"/>
            <w:hideMark/>
          </w:tcPr>
          <w:p w14:paraId="053C7DD8"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-4.10 [-15.0, 6.85]</w:t>
            </w:r>
          </w:p>
        </w:tc>
        <w:tc>
          <w:tcPr>
            <w:tcW w:w="545" w:type="pct"/>
            <w:hideMark/>
          </w:tcPr>
          <w:p w14:paraId="7CB47E17"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0.458</w:t>
            </w:r>
          </w:p>
        </w:tc>
      </w:tr>
      <w:tr w:rsidR="003625A7" w:rsidRPr="00BB330F" w14:paraId="667C103C" w14:textId="77777777" w:rsidTr="00341AD1">
        <w:trPr>
          <w:jc w:val="center"/>
        </w:trPr>
        <w:tc>
          <w:tcPr>
            <w:cnfStyle w:val="001000000000" w:firstRow="0" w:lastRow="0" w:firstColumn="1" w:lastColumn="0" w:oddVBand="0" w:evenVBand="0" w:oddHBand="0" w:evenHBand="0" w:firstRowFirstColumn="0" w:firstRowLastColumn="0" w:lastRowFirstColumn="0" w:lastRowLastColumn="0"/>
            <w:tcW w:w="1502" w:type="pct"/>
            <w:hideMark/>
          </w:tcPr>
          <w:p w14:paraId="0A691E4B" w14:textId="77777777" w:rsidR="003625A7" w:rsidRPr="00BB330F" w:rsidRDefault="003625A7" w:rsidP="00341AD1">
            <w:pPr>
              <w:jc w:val="center"/>
              <w:rPr>
                <w:rFonts w:cs="Times New Roman"/>
                <w:color w:val="000000" w:themeColor="text1"/>
                <w:sz w:val="20"/>
                <w:szCs w:val="20"/>
              </w:rPr>
            </w:pPr>
          </w:p>
        </w:tc>
        <w:tc>
          <w:tcPr>
            <w:tcW w:w="1587" w:type="pct"/>
            <w:hideMark/>
          </w:tcPr>
          <w:p w14:paraId="7DBBDAD7"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PHQ9</w:t>
            </w:r>
          </w:p>
        </w:tc>
        <w:tc>
          <w:tcPr>
            <w:tcW w:w="1366" w:type="pct"/>
            <w:hideMark/>
          </w:tcPr>
          <w:p w14:paraId="2AC761C4"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-4.97 [-17.4, 7.43]</w:t>
            </w:r>
          </w:p>
        </w:tc>
        <w:tc>
          <w:tcPr>
            <w:tcW w:w="545" w:type="pct"/>
            <w:hideMark/>
          </w:tcPr>
          <w:p w14:paraId="3DFE7931"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0.427</w:t>
            </w:r>
          </w:p>
        </w:tc>
      </w:tr>
      <w:tr w:rsidR="003625A7" w:rsidRPr="00BB330F" w14:paraId="42B405CF" w14:textId="77777777" w:rsidTr="00341AD1">
        <w:trPr>
          <w:jc w:val="center"/>
        </w:trPr>
        <w:tc>
          <w:tcPr>
            <w:cnfStyle w:val="001000000000" w:firstRow="0" w:lastRow="0" w:firstColumn="1" w:lastColumn="0" w:oddVBand="0" w:evenVBand="0" w:oddHBand="0" w:evenHBand="0" w:firstRowFirstColumn="0" w:firstRowLastColumn="0" w:lastRowFirstColumn="0" w:lastRowLastColumn="0"/>
            <w:tcW w:w="1502" w:type="pct"/>
            <w:hideMark/>
          </w:tcPr>
          <w:p w14:paraId="4087B9EB" w14:textId="77777777" w:rsidR="003625A7" w:rsidRPr="00BB330F" w:rsidRDefault="003625A7" w:rsidP="00341AD1">
            <w:pPr>
              <w:jc w:val="center"/>
              <w:rPr>
                <w:rFonts w:cs="Times New Roman"/>
                <w:color w:val="000000" w:themeColor="text1"/>
                <w:sz w:val="20"/>
                <w:szCs w:val="20"/>
              </w:rPr>
            </w:pPr>
          </w:p>
        </w:tc>
        <w:tc>
          <w:tcPr>
            <w:tcW w:w="1587" w:type="pct"/>
            <w:hideMark/>
          </w:tcPr>
          <w:p w14:paraId="31F44A55"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FSS</w:t>
            </w:r>
          </w:p>
        </w:tc>
        <w:tc>
          <w:tcPr>
            <w:tcW w:w="1366" w:type="pct"/>
            <w:hideMark/>
          </w:tcPr>
          <w:p w14:paraId="03D4702E"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-0.99 [-5.00, 3.01]</w:t>
            </w:r>
          </w:p>
        </w:tc>
        <w:tc>
          <w:tcPr>
            <w:tcW w:w="545" w:type="pct"/>
            <w:hideMark/>
          </w:tcPr>
          <w:p w14:paraId="07E04B43" w14:textId="77777777" w:rsidR="003625A7" w:rsidRPr="00BB330F" w:rsidRDefault="003625A7" w:rsidP="00341AD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BB330F">
              <w:rPr>
                <w:rFonts w:cs="Times New Roman"/>
                <w:color w:val="000000" w:themeColor="text1"/>
                <w:sz w:val="20"/>
                <w:szCs w:val="20"/>
              </w:rPr>
              <w:t>0.622</w:t>
            </w:r>
          </w:p>
        </w:tc>
      </w:tr>
    </w:tbl>
    <w:p w14:paraId="0F4FA015" w14:textId="0F72EB9D" w:rsidR="003625A7" w:rsidRPr="0054367B" w:rsidRDefault="003625A7" w:rsidP="003625A7">
      <w:pPr>
        <w:pStyle w:val="Beschriftung1"/>
        <w:rPr>
          <w:rFonts w:ascii="Times New Roman" w:hAnsi="Times New Roman" w:cs="Times New Roman"/>
          <w:sz w:val="24"/>
          <w:szCs w:val="24"/>
        </w:rPr>
      </w:pPr>
      <w:bookmarkStart w:id="8" w:name="_Toc212714089"/>
      <w:r w:rsidRPr="0054367B">
        <w:rPr>
          <w:rFonts w:ascii="Times New Roman" w:hAnsi="Times New Roman" w:cs="Times New Roman"/>
          <w:b/>
          <w:bCs/>
          <w:sz w:val="24"/>
          <w:szCs w:val="24"/>
        </w:rPr>
        <w:t xml:space="preserve">Supplementary Table </w:t>
      </w:r>
      <w:r w:rsidRPr="0054367B">
        <w:rPr>
          <w:rFonts w:ascii="Times New Roman" w:hAnsi="Times New Roman" w:cs="Times New Roman"/>
          <w:b/>
          <w:bCs/>
          <w:sz w:val="24"/>
          <w:szCs w:val="24"/>
        </w:rPr>
        <w:fldChar w:fldCharType="begin"/>
      </w:r>
      <w:r w:rsidRPr="0054367B">
        <w:rPr>
          <w:rFonts w:ascii="Times New Roman" w:hAnsi="Times New Roman" w:cs="Times New Roman"/>
          <w:b/>
          <w:bCs/>
          <w:sz w:val="24"/>
          <w:szCs w:val="24"/>
        </w:rPr>
        <w:instrText xml:space="preserve"> SEQ Supplementary_Table \* ARABIC </w:instrText>
      </w:r>
      <w:r w:rsidRPr="0054367B">
        <w:rPr>
          <w:rFonts w:ascii="Times New Roman" w:hAnsi="Times New Roman" w:cs="Times New Roman"/>
          <w:b/>
          <w:bCs/>
          <w:sz w:val="24"/>
          <w:szCs w:val="24"/>
        </w:rPr>
        <w:fldChar w:fldCharType="separate"/>
      </w:r>
      <w:r w:rsidR="00FE267B">
        <w:rPr>
          <w:rFonts w:ascii="Times New Roman" w:hAnsi="Times New Roman" w:cs="Times New Roman"/>
          <w:b/>
          <w:bCs/>
          <w:noProof/>
          <w:sz w:val="24"/>
          <w:szCs w:val="24"/>
        </w:rPr>
        <w:t>7</w:t>
      </w:r>
      <w:r w:rsidRPr="0054367B">
        <w:rPr>
          <w:rFonts w:ascii="Times New Roman" w:hAnsi="Times New Roman" w:cs="Times New Roman"/>
          <w:b/>
          <w:bCs/>
          <w:sz w:val="24"/>
          <w:szCs w:val="24"/>
        </w:rPr>
        <w:fldChar w:fldCharType="end"/>
      </w:r>
      <w:r w:rsidRPr="0054367B">
        <w:rPr>
          <w:rFonts w:ascii="Times New Roman" w:hAnsi="Times New Roman" w:cs="Times New Roman"/>
          <w:b/>
          <w:bCs/>
          <w:sz w:val="24"/>
          <w:szCs w:val="24"/>
        </w:rPr>
        <w:t>:</w:t>
      </w:r>
      <w:r w:rsidRPr="0054367B">
        <w:rPr>
          <w:rFonts w:ascii="Times New Roman" w:hAnsi="Times New Roman" w:cs="Times New Roman"/>
          <w:sz w:val="24"/>
          <w:szCs w:val="24"/>
        </w:rPr>
        <w:t xml:space="preserve"> Interaction effects of BL muscle function with CFS status on FU PROMs. Unstandardized regression coefficients (β) with 95% CIs from ANCOVA models adjusted for age, sex, and BL outcome.</w:t>
      </w:r>
      <w:bookmarkEnd w:id="8"/>
    </w:p>
    <w:p w14:paraId="7CBCFCD9" w14:textId="77777777" w:rsidR="003625A7" w:rsidRPr="00BB330F" w:rsidRDefault="003625A7" w:rsidP="00EF4129">
      <w:pPr>
        <w:pStyle w:val="berschrift2"/>
        <w:numPr>
          <w:ilvl w:val="0"/>
          <w:numId w:val="0"/>
        </w:numPr>
      </w:pPr>
      <w:r w:rsidRPr="00BB330F">
        <w:t>Matched Analysis</w:t>
      </w:r>
    </w:p>
    <w:p w14:paraId="793D0C03" w14:textId="77777777" w:rsidR="003625A7" w:rsidRDefault="003625A7" w:rsidP="003625A7">
      <w:r w:rsidRPr="00BB330F">
        <w:t xml:space="preserve">Covariate balance was substantially improved after propensity score matching. Prior to matching, large imbalances were observed for age and the propensity score, whereas sex was already well balanced. After matching, standardized mean differences for all matching variables were reduced to </w:t>
      </w:r>
      <w:r w:rsidRPr="00BB330F">
        <w:lastRenderedPageBreak/>
        <w:t>values close to zero and remained well below the predefined threshold of 0.1, indicating excellent covariate balance between PCS patients and COVID-19 recovered controls (Supplementary Figure 2).</w:t>
      </w:r>
    </w:p>
    <w:p w14:paraId="3602C09B" w14:textId="39C8FE64" w:rsidR="003625A7" w:rsidRPr="00967C7E" w:rsidRDefault="00967C7E" w:rsidP="00967C7E">
      <w:r>
        <w:rPr>
          <w:noProof/>
        </w:rPr>
        <w:drawing>
          <wp:inline distT="0" distB="0" distL="0" distR="0" wp14:anchorId="5A70B285" wp14:editId="76AC7983">
            <wp:extent cx="5046867" cy="3099435"/>
            <wp:effectExtent l="0" t="0" r="0" b="0"/>
            <wp:docPr id="7356147"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6147" name="Grafik 5"/>
                    <pic:cNvPicPr/>
                  </pic:nvPicPr>
                  <pic:blipFill>
                    <a:blip r:embed="rId8">
                      <a:extLst>
                        <a:ext uri="{28A0092B-C50C-407E-A947-70E740481C1C}">
                          <a14:useLocalDpi xmlns:a14="http://schemas.microsoft.com/office/drawing/2010/main" val="0"/>
                        </a:ext>
                      </a:extLst>
                    </a:blip>
                    <a:stretch>
                      <a:fillRect/>
                    </a:stretch>
                  </pic:blipFill>
                  <pic:spPr>
                    <a:xfrm>
                      <a:off x="0" y="0"/>
                      <a:ext cx="5046867" cy="3099435"/>
                    </a:xfrm>
                    <a:prstGeom prst="rect">
                      <a:avLst/>
                    </a:prstGeom>
                  </pic:spPr>
                </pic:pic>
              </a:graphicData>
            </a:graphic>
          </wp:inline>
        </w:drawing>
      </w:r>
    </w:p>
    <w:p w14:paraId="22A3DB58" w14:textId="1A6913D9" w:rsidR="003625A7" w:rsidRPr="0054367B" w:rsidRDefault="003625A7" w:rsidP="003625A7">
      <w:pPr>
        <w:pStyle w:val="Beschriftung1"/>
        <w:rPr>
          <w:rFonts w:ascii="Times New Roman" w:hAnsi="Times New Roman" w:cs="Times New Roman"/>
          <w:sz w:val="24"/>
          <w:szCs w:val="24"/>
        </w:rPr>
      </w:pPr>
      <w:bookmarkStart w:id="9" w:name="_Toc219825874"/>
      <w:r w:rsidRPr="0054367B">
        <w:rPr>
          <w:rFonts w:ascii="Times New Roman" w:hAnsi="Times New Roman" w:cs="Times New Roman"/>
          <w:b/>
          <w:bCs/>
          <w:sz w:val="24"/>
          <w:szCs w:val="24"/>
        </w:rPr>
        <w:t xml:space="preserve">Supplementary Figure </w:t>
      </w:r>
      <w:r w:rsidRPr="0054367B">
        <w:rPr>
          <w:rFonts w:ascii="Times New Roman" w:hAnsi="Times New Roman" w:cs="Times New Roman"/>
          <w:b/>
          <w:bCs/>
          <w:sz w:val="24"/>
          <w:szCs w:val="24"/>
        </w:rPr>
        <w:fldChar w:fldCharType="begin"/>
      </w:r>
      <w:r w:rsidRPr="0054367B">
        <w:rPr>
          <w:rFonts w:ascii="Times New Roman" w:hAnsi="Times New Roman" w:cs="Times New Roman"/>
          <w:b/>
          <w:bCs/>
          <w:sz w:val="24"/>
          <w:szCs w:val="24"/>
        </w:rPr>
        <w:instrText xml:space="preserve"> SEQ Supplementary_Figure \* ARABIC </w:instrText>
      </w:r>
      <w:r w:rsidRPr="0054367B">
        <w:rPr>
          <w:rFonts w:ascii="Times New Roman" w:hAnsi="Times New Roman" w:cs="Times New Roman"/>
          <w:b/>
          <w:bCs/>
          <w:sz w:val="24"/>
          <w:szCs w:val="24"/>
        </w:rPr>
        <w:fldChar w:fldCharType="separate"/>
      </w:r>
      <w:r w:rsidR="00FE267B">
        <w:rPr>
          <w:rFonts w:ascii="Times New Roman" w:hAnsi="Times New Roman" w:cs="Times New Roman"/>
          <w:b/>
          <w:bCs/>
          <w:noProof/>
          <w:sz w:val="24"/>
          <w:szCs w:val="24"/>
        </w:rPr>
        <w:t>2</w:t>
      </w:r>
      <w:r w:rsidRPr="0054367B">
        <w:rPr>
          <w:rFonts w:ascii="Times New Roman" w:hAnsi="Times New Roman" w:cs="Times New Roman"/>
          <w:b/>
          <w:bCs/>
          <w:sz w:val="24"/>
          <w:szCs w:val="24"/>
        </w:rPr>
        <w:fldChar w:fldCharType="end"/>
      </w:r>
      <w:r w:rsidRPr="0054367B">
        <w:rPr>
          <w:rFonts w:ascii="Times New Roman" w:hAnsi="Times New Roman" w:cs="Times New Roman"/>
          <w:b/>
          <w:bCs/>
          <w:sz w:val="24"/>
          <w:szCs w:val="24"/>
        </w:rPr>
        <w:t>:</w:t>
      </w:r>
      <w:r w:rsidRPr="0054367B">
        <w:rPr>
          <w:rFonts w:ascii="Times New Roman" w:hAnsi="Times New Roman" w:cs="Times New Roman"/>
          <w:sz w:val="24"/>
          <w:szCs w:val="24"/>
        </w:rPr>
        <w:t xml:space="preserve"> Love plot showing standardized mean differences before and after matching. All matching covariates achieved adequate balance after matching (SMD &lt; 0.1).</w:t>
      </w:r>
      <w:bookmarkEnd w:id="9"/>
    </w:p>
    <w:p w14:paraId="03227B11" w14:textId="77777777" w:rsidR="003625A7" w:rsidRPr="00BB330F" w:rsidRDefault="003625A7" w:rsidP="003625A7">
      <w:r w:rsidRPr="00BB330F">
        <w:t>Weighted regression analyses corroborated the descriptive findings by formally quantifying group differences after accounting for the propensity score-based matching. For muscle function parameters, HGS was markedly reduced in PCS compared with recovered controls at both BL and FU, while Fatigue Ratio was significantly higher (Supplementary Table 8). Recovery was modestly but significantly lower in PCS relative to controls at both timepoints. No significant changes were observed between PCS BL and PCS FU for any muscle function parameter in the weighted models, consistent with the largely stable trajectories observed in the longitudinal analyses.</w:t>
      </w:r>
    </w:p>
    <w:tbl>
      <w:tblPr>
        <w:tblStyle w:val="Gitternetztabelle1hell"/>
        <w:tblW w:w="5000" w:type="pct"/>
        <w:tblLook w:val="04A0" w:firstRow="1" w:lastRow="0" w:firstColumn="1" w:lastColumn="0" w:noHBand="0" w:noVBand="1"/>
      </w:tblPr>
      <w:tblGrid>
        <w:gridCol w:w="2171"/>
        <w:gridCol w:w="4091"/>
        <w:gridCol w:w="2229"/>
        <w:gridCol w:w="1276"/>
      </w:tblGrid>
      <w:tr w:rsidR="003625A7" w:rsidRPr="00BB330F" w14:paraId="1028AB4C" w14:textId="77777777" w:rsidTr="00341A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1" w:type="pct"/>
            <w:hideMark/>
          </w:tcPr>
          <w:p w14:paraId="5CD7E236" w14:textId="77777777" w:rsidR="003625A7" w:rsidRPr="00BB330F" w:rsidRDefault="003625A7" w:rsidP="00341AD1">
            <w:pPr>
              <w:jc w:val="center"/>
              <w:rPr>
                <w:rFonts w:cs="Times New Roman"/>
                <w:color w:val="000000"/>
                <w:sz w:val="20"/>
                <w:szCs w:val="20"/>
              </w:rPr>
            </w:pPr>
            <w:r w:rsidRPr="00BB330F">
              <w:rPr>
                <w:rFonts w:cs="Times New Roman"/>
                <w:color w:val="000000"/>
                <w:sz w:val="20"/>
                <w:szCs w:val="20"/>
              </w:rPr>
              <w:t>Outcome</w:t>
            </w:r>
          </w:p>
        </w:tc>
        <w:tc>
          <w:tcPr>
            <w:tcW w:w="2094" w:type="pct"/>
            <w:hideMark/>
          </w:tcPr>
          <w:p w14:paraId="610E23CF" w14:textId="77777777" w:rsidR="003625A7" w:rsidRPr="00BB330F" w:rsidRDefault="003625A7" w:rsidP="00341AD1">
            <w:pPr>
              <w:jc w:val="center"/>
              <w:cnfStyle w:val="100000000000" w:firstRow="1"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Contrast</w:t>
            </w:r>
          </w:p>
        </w:tc>
        <w:tc>
          <w:tcPr>
            <w:tcW w:w="1141" w:type="pct"/>
            <w:hideMark/>
          </w:tcPr>
          <w:p w14:paraId="7680A625" w14:textId="77777777" w:rsidR="003625A7" w:rsidRPr="00BB330F" w:rsidRDefault="003625A7" w:rsidP="00341AD1">
            <w:pPr>
              <w:jc w:val="center"/>
              <w:cnfStyle w:val="100000000000" w:firstRow="1"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β (SE)</w:t>
            </w:r>
          </w:p>
        </w:tc>
        <w:tc>
          <w:tcPr>
            <w:tcW w:w="653" w:type="pct"/>
            <w:hideMark/>
          </w:tcPr>
          <w:p w14:paraId="4072D380" w14:textId="77777777" w:rsidR="003625A7" w:rsidRPr="00BB330F" w:rsidRDefault="003625A7" w:rsidP="00341AD1">
            <w:pPr>
              <w:jc w:val="center"/>
              <w:cnfStyle w:val="100000000000" w:firstRow="1"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p-value</w:t>
            </w:r>
          </w:p>
        </w:tc>
      </w:tr>
      <w:tr w:rsidR="003625A7" w:rsidRPr="00BB330F" w14:paraId="35CC87E6" w14:textId="77777777" w:rsidTr="00341AD1">
        <w:tc>
          <w:tcPr>
            <w:cnfStyle w:val="001000000000" w:firstRow="0" w:lastRow="0" w:firstColumn="1" w:lastColumn="0" w:oddVBand="0" w:evenVBand="0" w:oddHBand="0" w:evenHBand="0" w:firstRowFirstColumn="0" w:firstRowLastColumn="0" w:lastRowFirstColumn="0" w:lastRowLastColumn="0"/>
            <w:tcW w:w="1111" w:type="pct"/>
            <w:hideMark/>
          </w:tcPr>
          <w:p w14:paraId="03403544" w14:textId="77777777" w:rsidR="003625A7" w:rsidRPr="00BB330F" w:rsidRDefault="003625A7" w:rsidP="00341AD1">
            <w:pPr>
              <w:rPr>
                <w:rFonts w:cs="Times New Roman"/>
                <w:b w:val="0"/>
                <w:bCs w:val="0"/>
                <w:color w:val="000000"/>
                <w:sz w:val="20"/>
                <w:szCs w:val="20"/>
              </w:rPr>
            </w:pPr>
            <w:r w:rsidRPr="00BB330F">
              <w:rPr>
                <w:rFonts w:cs="Times New Roman"/>
                <w:color w:val="000000"/>
                <w:sz w:val="20"/>
                <w:szCs w:val="20"/>
              </w:rPr>
              <w:t>HGS</w:t>
            </w:r>
          </w:p>
        </w:tc>
        <w:tc>
          <w:tcPr>
            <w:tcW w:w="2094" w:type="pct"/>
            <w:hideMark/>
          </w:tcPr>
          <w:p w14:paraId="51481D16"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Recovered (BL) vs PCS (BL)</w:t>
            </w:r>
          </w:p>
        </w:tc>
        <w:tc>
          <w:tcPr>
            <w:tcW w:w="1141" w:type="pct"/>
            <w:hideMark/>
          </w:tcPr>
          <w:p w14:paraId="5690B55A"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9.51 (2.01)</w:t>
            </w:r>
          </w:p>
        </w:tc>
        <w:tc>
          <w:tcPr>
            <w:tcW w:w="653" w:type="pct"/>
            <w:hideMark/>
          </w:tcPr>
          <w:p w14:paraId="088A1ECE"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b/>
                <w:bCs/>
                <w:color w:val="000000"/>
                <w:sz w:val="20"/>
                <w:szCs w:val="20"/>
              </w:rPr>
            </w:pPr>
            <w:r w:rsidRPr="00BB330F">
              <w:rPr>
                <w:rFonts w:cs="Times New Roman"/>
                <w:b/>
                <w:bCs/>
                <w:color w:val="000000"/>
                <w:sz w:val="20"/>
                <w:szCs w:val="20"/>
              </w:rPr>
              <w:t>&lt;0.001</w:t>
            </w:r>
          </w:p>
        </w:tc>
      </w:tr>
      <w:tr w:rsidR="003625A7" w:rsidRPr="00BB330F" w14:paraId="40E80C09" w14:textId="77777777" w:rsidTr="00341AD1">
        <w:tc>
          <w:tcPr>
            <w:cnfStyle w:val="001000000000" w:firstRow="0" w:lastRow="0" w:firstColumn="1" w:lastColumn="0" w:oddVBand="0" w:evenVBand="0" w:oddHBand="0" w:evenHBand="0" w:firstRowFirstColumn="0" w:firstRowLastColumn="0" w:lastRowFirstColumn="0" w:lastRowLastColumn="0"/>
            <w:tcW w:w="1111" w:type="pct"/>
            <w:hideMark/>
          </w:tcPr>
          <w:p w14:paraId="02864BD7" w14:textId="77777777" w:rsidR="003625A7" w:rsidRPr="00BB330F" w:rsidRDefault="003625A7" w:rsidP="00341AD1">
            <w:pPr>
              <w:rPr>
                <w:rFonts w:cs="Times New Roman"/>
                <w:color w:val="000000"/>
                <w:sz w:val="20"/>
                <w:szCs w:val="20"/>
              </w:rPr>
            </w:pPr>
            <w:r w:rsidRPr="00BB330F">
              <w:rPr>
                <w:rFonts w:cs="Times New Roman"/>
                <w:color w:val="000000"/>
                <w:sz w:val="20"/>
                <w:szCs w:val="20"/>
              </w:rPr>
              <w:t>HGS</w:t>
            </w:r>
          </w:p>
        </w:tc>
        <w:tc>
          <w:tcPr>
            <w:tcW w:w="2094" w:type="pct"/>
            <w:hideMark/>
          </w:tcPr>
          <w:p w14:paraId="75181CF1"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Recovered (BL) vs PCS (FU)</w:t>
            </w:r>
          </w:p>
        </w:tc>
        <w:tc>
          <w:tcPr>
            <w:tcW w:w="1141" w:type="pct"/>
            <w:hideMark/>
          </w:tcPr>
          <w:p w14:paraId="391B3F57"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8.17 (2.30)</w:t>
            </w:r>
          </w:p>
        </w:tc>
        <w:tc>
          <w:tcPr>
            <w:tcW w:w="653" w:type="pct"/>
            <w:hideMark/>
          </w:tcPr>
          <w:p w14:paraId="6559CBB0"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b/>
                <w:bCs/>
                <w:color w:val="000000"/>
                <w:sz w:val="20"/>
                <w:szCs w:val="20"/>
              </w:rPr>
            </w:pPr>
            <w:r w:rsidRPr="00BB330F">
              <w:rPr>
                <w:rFonts w:cs="Times New Roman"/>
                <w:b/>
                <w:bCs/>
                <w:color w:val="000000"/>
                <w:sz w:val="20"/>
                <w:szCs w:val="20"/>
              </w:rPr>
              <w:t>&lt;0.001</w:t>
            </w:r>
          </w:p>
        </w:tc>
      </w:tr>
      <w:tr w:rsidR="003625A7" w:rsidRPr="00BB330F" w14:paraId="1BBA9431" w14:textId="77777777" w:rsidTr="00341AD1">
        <w:tc>
          <w:tcPr>
            <w:cnfStyle w:val="001000000000" w:firstRow="0" w:lastRow="0" w:firstColumn="1" w:lastColumn="0" w:oddVBand="0" w:evenVBand="0" w:oddHBand="0" w:evenHBand="0" w:firstRowFirstColumn="0" w:firstRowLastColumn="0" w:lastRowFirstColumn="0" w:lastRowLastColumn="0"/>
            <w:tcW w:w="1111" w:type="pct"/>
            <w:hideMark/>
          </w:tcPr>
          <w:p w14:paraId="21227ABB" w14:textId="77777777" w:rsidR="003625A7" w:rsidRPr="00BB330F" w:rsidRDefault="003625A7" w:rsidP="00341AD1">
            <w:pPr>
              <w:rPr>
                <w:rFonts w:cs="Times New Roman"/>
                <w:color w:val="000000"/>
                <w:sz w:val="20"/>
                <w:szCs w:val="20"/>
              </w:rPr>
            </w:pPr>
            <w:r w:rsidRPr="00BB330F">
              <w:rPr>
                <w:rFonts w:cs="Times New Roman"/>
                <w:color w:val="000000"/>
                <w:sz w:val="20"/>
                <w:szCs w:val="20"/>
              </w:rPr>
              <w:t>HGS</w:t>
            </w:r>
          </w:p>
        </w:tc>
        <w:tc>
          <w:tcPr>
            <w:tcW w:w="2094" w:type="pct"/>
            <w:hideMark/>
          </w:tcPr>
          <w:p w14:paraId="42CB1A05"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PCS (BL) vs PCS (FU)</w:t>
            </w:r>
          </w:p>
        </w:tc>
        <w:tc>
          <w:tcPr>
            <w:tcW w:w="1141" w:type="pct"/>
            <w:hideMark/>
          </w:tcPr>
          <w:p w14:paraId="04B2139A"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-1.34 (2.34)</w:t>
            </w:r>
          </w:p>
        </w:tc>
        <w:tc>
          <w:tcPr>
            <w:tcW w:w="653" w:type="pct"/>
            <w:hideMark/>
          </w:tcPr>
          <w:p w14:paraId="3EA6AFFF"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0.57</w:t>
            </w:r>
          </w:p>
        </w:tc>
      </w:tr>
      <w:tr w:rsidR="003625A7" w:rsidRPr="00BB330F" w14:paraId="7EA19408" w14:textId="77777777" w:rsidTr="00341AD1">
        <w:tc>
          <w:tcPr>
            <w:cnfStyle w:val="001000000000" w:firstRow="0" w:lastRow="0" w:firstColumn="1" w:lastColumn="0" w:oddVBand="0" w:evenVBand="0" w:oddHBand="0" w:evenHBand="0" w:firstRowFirstColumn="0" w:firstRowLastColumn="0" w:lastRowFirstColumn="0" w:lastRowLastColumn="0"/>
            <w:tcW w:w="1111" w:type="pct"/>
            <w:hideMark/>
          </w:tcPr>
          <w:p w14:paraId="5FD3EB5F" w14:textId="77777777" w:rsidR="003625A7" w:rsidRPr="00BB330F" w:rsidRDefault="003625A7" w:rsidP="00341AD1">
            <w:pPr>
              <w:rPr>
                <w:rFonts w:cs="Times New Roman"/>
                <w:color w:val="000000"/>
                <w:sz w:val="20"/>
                <w:szCs w:val="20"/>
              </w:rPr>
            </w:pPr>
            <w:r w:rsidRPr="00BB330F">
              <w:rPr>
                <w:rFonts w:cs="Times New Roman"/>
                <w:color w:val="000000"/>
                <w:sz w:val="20"/>
                <w:szCs w:val="20"/>
              </w:rPr>
              <w:t>Fatigue Ratio</w:t>
            </w:r>
          </w:p>
        </w:tc>
        <w:tc>
          <w:tcPr>
            <w:tcW w:w="2094" w:type="pct"/>
            <w:hideMark/>
          </w:tcPr>
          <w:p w14:paraId="5FF997F7"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Recovered (BL) vs PCS (BL)</w:t>
            </w:r>
          </w:p>
        </w:tc>
        <w:tc>
          <w:tcPr>
            <w:tcW w:w="1141" w:type="pct"/>
            <w:hideMark/>
          </w:tcPr>
          <w:p w14:paraId="0547D39F"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-0.093 (0.034)</w:t>
            </w:r>
          </w:p>
        </w:tc>
        <w:tc>
          <w:tcPr>
            <w:tcW w:w="653" w:type="pct"/>
            <w:hideMark/>
          </w:tcPr>
          <w:p w14:paraId="2F8E3C07"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b/>
                <w:bCs/>
                <w:color w:val="000000"/>
                <w:sz w:val="20"/>
                <w:szCs w:val="20"/>
              </w:rPr>
            </w:pPr>
            <w:r w:rsidRPr="00BB330F">
              <w:rPr>
                <w:rFonts w:cs="Times New Roman"/>
                <w:b/>
                <w:bCs/>
                <w:color w:val="000000"/>
                <w:sz w:val="20"/>
                <w:szCs w:val="20"/>
              </w:rPr>
              <w:t>0.007</w:t>
            </w:r>
          </w:p>
        </w:tc>
      </w:tr>
      <w:tr w:rsidR="003625A7" w:rsidRPr="00BB330F" w14:paraId="722E88D3" w14:textId="77777777" w:rsidTr="00341AD1">
        <w:tc>
          <w:tcPr>
            <w:cnfStyle w:val="001000000000" w:firstRow="0" w:lastRow="0" w:firstColumn="1" w:lastColumn="0" w:oddVBand="0" w:evenVBand="0" w:oddHBand="0" w:evenHBand="0" w:firstRowFirstColumn="0" w:firstRowLastColumn="0" w:lastRowFirstColumn="0" w:lastRowLastColumn="0"/>
            <w:tcW w:w="1111" w:type="pct"/>
            <w:hideMark/>
          </w:tcPr>
          <w:p w14:paraId="17B8FFA7" w14:textId="77777777" w:rsidR="003625A7" w:rsidRPr="00BB330F" w:rsidRDefault="003625A7" w:rsidP="00341AD1">
            <w:pPr>
              <w:rPr>
                <w:rFonts w:cs="Times New Roman"/>
                <w:color w:val="000000"/>
                <w:sz w:val="20"/>
                <w:szCs w:val="20"/>
              </w:rPr>
            </w:pPr>
            <w:r w:rsidRPr="00BB330F">
              <w:rPr>
                <w:rFonts w:cs="Times New Roman"/>
                <w:color w:val="000000"/>
                <w:sz w:val="20"/>
                <w:szCs w:val="20"/>
              </w:rPr>
              <w:t>Fatigue Ratio</w:t>
            </w:r>
          </w:p>
        </w:tc>
        <w:tc>
          <w:tcPr>
            <w:tcW w:w="2094" w:type="pct"/>
            <w:hideMark/>
          </w:tcPr>
          <w:p w14:paraId="2F34702D"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Recovered (BL) vs PCS (FU)</w:t>
            </w:r>
          </w:p>
        </w:tc>
        <w:tc>
          <w:tcPr>
            <w:tcW w:w="1141" w:type="pct"/>
            <w:hideMark/>
          </w:tcPr>
          <w:p w14:paraId="09C04545"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-0.106 (0.033)</w:t>
            </w:r>
          </w:p>
        </w:tc>
        <w:tc>
          <w:tcPr>
            <w:tcW w:w="653" w:type="pct"/>
            <w:hideMark/>
          </w:tcPr>
          <w:p w14:paraId="302E1028"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b/>
                <w:bCs/>
                <w:color w:val="000000"/>
                <w:sz w:val="20"/>
                <w:szCs w:val="20"/>
              </w:rPr>
            </w:pPr>
            <w:r w:rsidRPr="00BB330F">
              <w:rPr>
                <w:rFonts w:cs="Times New Roman"/>
                <w:b/>
                <w:bCs/>
                <w:color w:val="000000"/>
                <w:sz w:val="20"/>
                <w:szCs w:val="20"/>
              </w:rPr>
              <w:t>0.002</w:t>
            </w:r>
          </w:p>
        </w:tc>
      </w:tr>
      <w:tr w:rsidR="003625A7" w:rsidRPr="00BB330F" w14:paraId="472C4B70" w14:textId="77777777" w:rsidTr="00341AD1">
        <w:tc>
          <w:tcPr>
            <w:cnfStyle w:val="001000000000" w:firstRow="0" w:lastRow="0" w:firstColumn="1" w:lastColumn="0" w:oddVBand="0" w:evenVBand="0" w:oddHBand="0" w:evenHBand="0" w:firstRowFirstColumn="0" w:firstRowLastColumn="0" w:lastRowFirstColumn="0" w:lastRowLastColumn="0"/>
            <w:tcW w:w="1111" w:type="pct"/>
            <w:hideMark/>
          </w:tcPr>
          <w:p w14:paraId="7E43ECA0" w14:textId="77777777" w:rsidR="003625A7" w:rsidRPr="00BB330F" w:rsidRDefault="003625A7" w:rsidP="00341AD1">
            <w:pPr>
              <w:rPr>
                <w:rFonts w:cs="Times New Roman"/>
                <w:color w:val="000000"/>
                <w:sz w:val="20"/>
                <w:szCs w:val="20"/>
              </w:rPr>
            </w:pPr>
            <w:r w:rsidRPr="00BB330F">
              <w:rPr>
                <w:rFonts w:cs="Times New Roman"/>
                <w:color w:val="000000"/>
                <w:sz w:val="20"/>
                <w:szCs w:val="20"/>
              </w:rPr>
              <w:t>Fatigue Ratio</w:t>
            </w:r>
          </w:p>
        </w:tc>
        <w:tc>
          <w:tcPr>
            <w:tcW w:w="2094" w:type="pct"/>
            <w:hideMark/>
          </w:tcPr>
          <w:p w14:paraId="0ED9BE93"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PCS (BL) vs PCS (FU)</w:t>
            </w:r>
          </w:p>
        </w:tc>
        <w:tc>
          <w:tcPr>
            <w:tcW w:w="1141" w:type="pct"/>
            <w:hideMark/>
          </w:tcPr>
          <w:p w14:paraId="5270B809"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-0.013 (0.043)</w:t>
            </w:r>
          </w:p>
        </w:tc>
        <w:tc>
          <w:tcPr>
            <w:tcW w:w="653" w:type="pct"/>
            <w:hideMark/>
          </w:tcPr>
          <w:p w14:paraId="495118AC"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0.76</w:t>
            </w:r>
          </w:p>
        </w:tc>
      </w:tr>
      <w:tr w:rsidR="003625A7" w:rsidRPr="00BB330F" w14:paraId="48FBB9F0" w14:textId="77777777" w:rsidTr="00341AD1">
        <w:tc>
          <w:tcPr>
            <w:cnfStyle w:val="001000000000" w:firstRow="0" w:lastRow="0" w:firstColumn="1" w:lastColumn="0" w:oddVBand="0" w:evenVBand="0" w:oddHBand="0" w:evenHBand="0" w:firstRowFirstColumn="0" w:firstRowLastColumn="0" w:lastRowFirstColumn="0" w:lastRowLastColumn="0"/>
            <w:tcW w:w="1111" w:type="pct"/>
            <w:hideMark/>
          </w:tcPr>
          <w:p w14:paraId="0956D012" w14:textId="77777777" w:rsidR="003625A7" w:rsidRPr="00BB330F" w:rsidRDefault="003625A7" w:rsidP="00341AD1">
            <w:pPr>
              <w:rPr>
                <w:rFonts w:cs="Times New Roman"/>
                <w:color w:val="000000"/>
                <w:sz w:val="20"/>
                <w:szCs w:val="20"/>
              </w:rPr>
            </w:pPr>
            <w:r w:rsidRPr="00BB330F">
              <w:rPr>
                <w:rFonts w:cs="Times New Roman"/>
                <w:color w:val="000000"/>
                <w:sz w:val="20"/>
                <w:szCs w:val="20"/>
              </w:rPr>
              <w:lastRenderedPageBreak/>
              <w:t>Recovery</w:t>
            </w:r>
          </w:p>
        </w:tc>
        <w:tc>
          <w:tcPr>
            <w:tcW w:w="2094" w:type="pct"/>
            <w:hideMark/>
          </w:tcPr>
          <w:p w14:paraId="627907D9"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Recovered (BL) vs PCS (BL)</w:t>
            </w:r>
          </w:p>
        </w:tc>
        <w:tc>
          <w:tcPr>
            <w:tcW w:w="1141" w:type="pct"/>
            <w:hideMark/>
          </w:tcPr>
          <w:p w14:paraId="582EEA58"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0.052 (0.026)</w:t>
            </w:r>
          </w:p>
        </w:tc>
        <w:tc>
          <w:tcPr>
            <w:tcW w:w="653" w:type="pct"/>
            <w:hideMark/>
          </w:tcPr>
          <w:p w14:paraId="1AE11BFF"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b/>
                <w:bCs/>
                <w:color w:val="000000"/>
                <w:sz w:val="20"/>
                <w:szCs w:val="20"/>
              </w:rPr>
            </w:pPr>
            <w:r w:rsidRPr="00BB330F">
              <w:rPr>
                <w:rFonts w:cs="Times New Roman"/>
                <w:b/>
                <w:bCs/>
                <w:color w:val="000000"/>
                <w:sz w:val="20"/>
                <w:szCs w:val="20"/>
              </w:rPr>
              <w:t>0.048</w:t>
            </w:r>
          </w:p>
        </w:tc>
      </w:tr>
      <w:tr w:rsidR="003625A7" w:rsidRPr="00BB330F" w14:paraId="157280D3" w14:textId="77777777" w:rsidTr="00341AD1">
        <w:tc>
          <w:tcPr>
            <w:cnfStyle w:val="001000000000" w:firstRow="0" w:lastRow="0" w:firstColumn="1" w:lastColumn="0" w:oddVBand="0" w:evenVBand="0" w:oddHBand="0" w:evenHBand="0" w:firstRowFirstColumn="0" w:firstRowLastColumn="0" w:lastRowFirstColumn="0" w:lastRowLastColumn="0"/>
            <w:tcW w:w="1111" w:type="pct"/>
            <w:hideMark/>
          </w:tcPr>
          <w:p w14:paraId="7C18FDC8" w14:textId="77777777" w:rsidR="003625A7" w:rsidRPr="00BB330F" w:rsidRDefault="003625A7" w:rsidP="00341AD1">
            <w:pPr>
              <w:rPr>
                <w:rFonts w:cs="Times New Roman"/>
                <w:color w:val="000000"/>
                <w:sz w:val="20"/>
                <w:szCs w:val="20"/>
              </w:rPr>
            </w:pPr>
            <w:r w:rsidRPr="00BB330F">
              <w:rPr>
                <w:rFonts w:cs="Times New Roman"/>
                <w:color w:val="000000"/>
                <w:sz w:val="20"/>
                <w:szCs w:val="20"/>
              </w:rPr>
              <w:t>Recovery</w:t>
            </w:r>
          </w:p>
        </w:tc>
        <w:tc>
          <w:tcPr>
            <w:tcW w:w="2094" w:type="pct"/>
            <w:hideMark/>
          </w:tcPr>
          <w:p w14:paraId="65CCDA70"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Recovered (BL) vs PCS (FU)</w:t>
            </w:r>
          </w:p>
        </w:tc>
        <w:tc>
          <w:tcPr>
            <w:tcW w:w="1141" w:type="pct"/>
            <w:hideMark/>
          </w:tcPr>
          <w:p w14:paraId="7EE4F365"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0.052 (0.026)</w:t>
            </w:r>
          </w:p>
        </w:tc>
        <w:tc>
          <w:tcPr>
            <w:tcW w:w="653" w:type="pct"/>
            <w:hideMark/>
          </w:tcPr>
          <w:p w14:paraId="305A5B6F"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b/>
                <w:bCs/>
                <w:color w:val="000000"/>
                <w:sz w:val="20"/>
                <w:szCs w:val="20"/>
              </w:rPr>
            </w:pPr>
            <w:r w:rsidRPr="00BB330F">
              <w:rPr>
                <w:rFonts w:cs="Times New Roman"/>
                <w:b/>
                <w:bCs/>
                <w:color w:val="000000"/>
                <w:sz w:val="20"/>
                <w:szCs w:val="20"/>
              </w:rPr>
              <w:t>0.048</w:t>
            </w:r>
          </w:p>
        </w:tc>
      </w:tr>
      <w:tr w:rsidR="003625A7" w:rsidRPr="00BB330F" w14:paraId="100591CD" w14:textId="77777777" w:rsidTr="00341AD1">
        <w:tc>
          <w:tcPr>
            <w:cnfStyle w:val="001000000000" w:firstRow="0" w:lastRow="0" w:firstColumn="1" w:lastColumn="0" w:oddVBand="0" w:evenVBand="0" w:oddHBand="0" w:evenHBand="0" w:firstRowFirstColumn="0" w:firstRowLastColumn="0" w:lastRowFirstColumn="0" w:lastRowLastColumn="0"/>
            <w:tcW w:w="1111" w:type="pct"/>
            <w:hideMark/>
          </w:tcPr>
          <w:p w14:paraId="64C4EDC6" w14:textId="77777777" w:rsidR="003625A7" w:rsidRPr="00BB330F" w:rsidRDefault="003625A7" w:rsidP="00341AD1">
            <w:pPr>
              <w:rPr>
                <w:rFonts w:cs="Times New Roman"/>
                <w:color w:val="000000"/>
                <w:sz w:val="20"/>
                <w:szCs w:val="20"/>
              </w:rPr>
            </w:pPr>
            <w:r w:rsidRPr="00BB330F">
              <w:rPr>
                <w:rFonts w:cs="Times New Roman"/>
                <w:color w:val="000000"/>
                <w:sz w:val="20"/>
                <w:szCs w:val="20"/>
              </w:rPr>
              <w:t>Recovery</w:t>
            </w:r>
          </w:p>
        </w:tc>
        <w:tc>
          <w:tcPr>
            <w:tcW w:w="2094" w:type="pct"/>
            <w:hideMark/>
          </w:tcPr>
          <w:p w14:paraId="71E2BDF0"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PCS (BL) vs PCS (FU)</w:t>
            </w:r>
          </w:p>
        </w:tc>
        <w:tc>
          <w:tcPr>
            <w:tcW w:w="1141" w:type="pct"/>
            <w:hideMark/>
          </w:tcPr>
          <w:p w14:paraId="229D8771"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0.00 (0.029)</w:t>
            </w:r>
          </w:p>
        </w:tc>
        <w:tc>
          <w:tcPr>
            <w:tcW w:w="653" w:type="pct"/>
            <w:hideMark/>
          </w:tcPr>
          <w:p w14:paraId="1061B912" w14:textId="77777777" w:rsidR="003625A7" w:rsidRPr="00BB330F" w:rsidRDefault="003625A7" w:rsidP="00341AD1">
            <w:pPr>
              <w:keepNext/>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1.000</w:t>
            </w:r>
          </w:p>
        </w:tc>
      </w:tr>
    </w:tbl>
    <w:p w14:paraId="40B72A08" w14:textId="7100C130" w:rsidR="003625A7" w:rsidRPr="0054367B" w:rsidRDefault="003625A7" w:rsidP="003625A7">
      <w:pPr>
        <w:pStyle w:val="Beschriftung1"/>
        <w:rPr>
          <w:rFonts w:ascii="Times New Roman" w:hAnsi="Times New Roman" w:cs="Times New Roman"/>
          <w:sz w:val="24"/>
          <w:szCs w:val="24"/>
        </w:rPr>
      </w:pPr>
      <w:r w:rsidRPr="0054367B">
        <w:rPr>
          <w:rFonts w:ascii="Times New Roman" w:hAnsi="Times New Roman" w:cs="Times New Roman"/>
          <w:b/>
          <w:bCs/>
          <w:sz w:val="24"/>
          <w:szCs w:val="24"/>
        </w:rPr>
        <w:t xml:space="preserve">Supplementary Table </w:t>
      </w:r>
      <w:r w:rsidRPr="0054367B">
        <w:rPr>
          <w:rFonts w:ascii="Times New Roman" w:hAnsi="Times New Roman" w:cs="Times New Roman"/>
          <w:b/>
          <w:bCs/>
          <w:sz w:val="24"/>
          <w:szCs w:val="24"/>
        </w:rPr>
        <w:fldChar w:fldCharType="begin"/>
      </w:r>
      <w:r w:rsidRPr="0054367B">
        <w:rPr>
          <w:rFonts w:ascii="Times New Roman" w:hAnsi="Times New Roman" w:cs="Times New Roman"/>
          <w:b/>
          <w:bCs/>
          <w:sz w:val="24"/>
          <w:szCs w:val="24"/>
        </w:rPr>
        <w:instrText xml:space="preserve"> SEQ Supplementary_Table \* ARABIC </w:instrText>
      </w:r>
      <w:r w:rsidRPr="0054367B">
        <w:rPr>
          <w:rFonts w:ascii="Times New Roman" w:hAnsi="Times New Roman" w:cs="Times New Roman"/>
          <w:b/>
          <w:bCs/>
          <w:sz w:val="24"/>
          <w:szCs w:val="24"/>
        </w:rPr>
        <w:fldChar w:fldCharType="separate"/>
      </w:r>
      <w:r w:rsidR="00FE267B">
        <w:rPr>
          <w:rFonts w:ascii="Times New Roman" w:hAnsi="Times New Roman" w:cs="Times New Roman"/>
          <w:b/>
          <w:bCs/>
          <w:noProof/>
          <w:sz w:val="24"/>
          <w:szCs w:val="24"/>
        </w:rPr>
        <w:t>8</w:t>
      </w:r>
      <w:r w:rsidRPr="0054367B">
        <w:rPr>
          <w:rFonts w:ascii="Times New Roman" w:hAnsi="Times New Roman" w:cs="Times New Roman"/>
          <w:b/>
          <w:bCs/>
          <w:sz w:val="24"/>
          <w:szCs w:val="24"/>
        </w:rPr>
        <w:fldChar w:fldCharType="end"/>
      </w:r>
      <w:r w:rsidRPr="0054367B">
        <w:rPr>
          <w:rFonts w:ascii="Times New Roman" w:hAnsi="Times New Roman" w:cs="Times New Roman"/>
          <w:sz w:val="24"/>
          <w:szCs w:val="24"/>
        </w:rPr>
        <w:t xml:space="preserve"> Weighted linear regression contrasts for Fmean, Fatigue Ratio, and Recovery comparing PCS at BL and FU with COVID-19–recovered controls assessed at BL. Models used ATT propensity score weights with robust HC3 standard errors. β denotes unstandardized regression coefficients.</w:t>
      </w:r>
    </w:p>
    <w:p w14:paraId="4DD45676" w14:textId="77777777" w:rsidR="003625A7" w:rsidRPr="00BB330F" w:rsidRDefault="003625A7" w:rsidP="003625A7">
      <w:r w:rsidRPr="00BB330F">
        <w:t>For neuroaxonal injury markers in matched analysis, NFL and GFAP differed significantly between PCS and recovered controls at both BL and FU, whereas no significant differences were observed between PCS BL and PCS FU, indicating temporal stability of these markers within PCS over the FU period (Supplementary Table 9).</w:t>
      </w:r>
    </w:p>
    <w:tbl>
      <w:tblPr>
        <w:tblStyle w:val="Gitternetztabelle1hell"/>
        <w:tblW w:w="5000" w:type="pct"/>
        <w:tblLook w:val="04A0" w:firstRow="1" w:lastRow="0" w:firstColumn="1" w:lastColumn="0" w:noHBand="0" w:noVBand="1"/>
      </w:tblPr>
      <w:tblGrid>
        <w:gridCol w:w="1503"/>
        <w:gridCol w:w="4087"/>
        <w:gridCol w:w="1903"/>
        <w:gridCol w:w="998"/>
        <w:gridCol w:w="1276"/>
      </w:tblGrid>
      <w:tr w:rsidR="003625A7" w:rsidRPr="00BB330F" w14:paraId="681E38CE" w14:textId="77777777" w:rsidTr="00341A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0" w:type="pct"/>
            <w:hideMark/>
          </w:tcPr>
          <w:p w14:paraId="6605D9BC" w14:textId="77777777" w:rsidR="003625A7" w:rsidRPr="00BB330F" w:rsidRDefault="003625A7" w:rsidP="00341AD1">
            <w:pPr>
              <w:jc w:val="center"/>
              <w:rPr>
                <w:rFonts w:cs="Times New Roman"/>
                <w:color w:val="000000"/>
                <w:sz w:val="20"/>
                <w:szCs w:val="20"/>
              </w:rPr>
            </w:pPr>
            <w:r w:rsidRPr="00BB330F">
              <w:rPr>
                <w:rFonts w:cs="Times New Roman"/>
                <w:color w:val="000000"/>
                <w:sz w:val="20"/>
                <w:szCs w:val="20"/>
              </w:rPr>
              <w:t>Outcome</w:t>
            </w:r>
          </w:p>
        </w:tc>
        <w:tc>
          <w:tcPr>
            <w:tcW w:w="2092" w:type="pct"/>
            <w:hideMark/>
          </w:tcPr>
          <w:p w14:paraId="097EFE95" w14:textId="77777777" w:rsidR="003625A7" w:rsidRPr="00BB330F" w:rsidRDefault="003625A7" w:rsidP="00341AD1">
            <w:pPr>
              <w:jc w:val="center"/>
              <w:cnfStyle w:val="100000000000" w:firstRow="1"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Contrast</w:t>
            </w:r>
          </w:p>
        </w:tc>
        <w:tc>
          <w:tcPr>
            <w:tcW w:w="974" w:type="pct"/>
            <w:hideMark/>
          </w:tcPr>
          <w:p w14:paraId="67F94237" w14:textId="77777777" w:rsidR="003625A7" w:rsidRPr="00BB330F" w:rsidRDefault="003625A7" w:rsidP="00341AD1">
            <w:pPr>
              <w:jc w:val="center"/>
              <w:cnfStyle w:val="100000000000" w:firstRow="1"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β (SE)</w:t>
            </w:r>
          </w:p>
        </w:tc>
        <w:tc>
          <w:tcPr>
            <w:tcW w:w="511" w:type="pct"/>
            <w:hideMark/>
          </w:tcPr>
          <w:p w14:paraId="606E18A3" w14:textId="77777777" w:rsidR="003625A7" w:rsidRPr="00BB330F" w:rsidRDefault="003625A7" w:rsidP="00341AD1">
            <w:pPr>
              <w:jc w:val="center"/>
              <w:cnfStyle w:val="100000000000" w:firstRow="1"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Ratio</w:t>
            </w:r>
          </w:p>
        </w:tc>
        <w:tc>
          <w:tcPr>
            <w:tcW w:w="653" w:type="pct"/>
            <w:hideMark/>
          </w:tcPr>
          <w:p w14:paraId="7AB40B30" w14:textId="77777777" w:rsidR="003625A7" w:rsidRPr="00BB330F" w:rsidRDefault="003625A7" w:rsidP="00341AD1">
            <w:pPr>
              <w:jc w:val="center"/>
              <w:cnfStyle w:val="100000000000" w:firstRow="1"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p-value</w:t>
            </w:r>
          </w:p>
        </w:tc>
      </w:tr>
      <w:tr w:rsidR="003625A7" w:rsidRPr="00BB330F" w14:paraId="3B54D919" w14:textId="77777777" w:rsidTr="00341AD1">
        <w:tc>
          <w:tcPr>
            <w:cnfStyle w:val="001000000000" w:firstRow="0" w:lastRow="0" w:firstColumn="1" w:lastColumn="0" w:oddVBand="0" w:evenVBand="0" w:oddHBand="0" w:evenHBand="0" w:firstRowFirstColumn="0" w:firstRowLastColumn="0" w:lastRowFirstColumn="0" w:lastRowLastColumn="0"/>
            <w:tcW w:w="770" w:type="pct"/>
            <w:hideMark/>
          </w:tcPr>
          <w:p w14:paraId="6A762727" w14:textId="77777777" w:rsidR="003625A7" w:rsidRPr="00BB330F" w:rsidRDefault="003625A7" w:rsidP="00341AD1">
            <w:pPr>
              <w:rPr>
                <w:rFonts w:cs="Times New Roman"/>
                <w:b w:val="0"/>
                <w:bCs w:val="0"/>
                <w:color w:val="000000"/>
                <w:sz w:val="20"/>
                <w:szCs w:val="20"/>
              </w:rPr>
            </w:pPr>
            <w:r w:rsidRPr="00BB330F">
              <w:rPr>
                <w:rFonts w:cs="Times New Roman"/>
                <w:color w:val="000000"/>
                <w:sz w:val="20"/>
                <w:szCs w:val="20"/>
              </w:rPr>
              <w:t>NFL</w:t>
            </w:r>
          </w:p>
        </w:tc>
        <w:tc>
          <w:tcPr>
            <w:tcW w:w="2092" w:type="pct"/>
            <w:hideMark/>
          </w:tcPr>
          <w:p w14:paraId="51C8E7B9"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Recovered (BL) vs PCS (BL)</w:t>
            </w:r>
          </w:p>
        </w:tc>
        <w:tc>
          <w:tcPr>
            <w:tcW w:w="974" w:type="pct"/>
            <w:hideMark/>
          </w:tcPr>
          <w:p w14:paraId="236E74E8"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-0.18 (0.07)</w:t>
            </w:r>
          </w:p>
        </w:tc>
        <w:tc>
          <w:tcPr>
            <w:tcW w:w="511" w:type="pct"/>
            <w:hideMark/>
          </w:tcPr>
          <w:p w14:paraId="5F87B3CF"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0.83</w:t>
            </w:r>
          </w:p>
        </w:tc>
        <w:tc>
          <w:tcPr>
            <w:tcW w:w="653" w:type="pct"/>
            <w:hideMark/>
          </w:tcPr>
          <w:p w14:paraId="7409E9A2"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b/>
                <w:bCs/>
                <w:color w:val="000000"/>
                <w:sz w:val="20"/>
                <w:szCs w:val="20"/>
              </w:rPr>
            </w:pPr>
            <w:r w:rsidRPr="00BB330F">
              <w:rPr>
                <w:rFonts w:cs="Times New Roman"/>
                <w:b/>
                <w:bCs/>
                <w:color w:val="000000"/>
                <w:sz w:val="20"/>
                <w:szCs w:val="20"/>
              </w:rPr>
              <w:t>0.016</w:t>
            </w:r>
          </w:p>
        </w:tc>
      </w:tr>
      <w:tr w:rsidR="003625A7" w:rsidRPr="00BB330F" w14:paraId="1EAD8E8A" w14:textId="77777777" w:rsidTr="00341AD1">
        <w:tc>
          <w:tcPr>
            <w:cnfStyle w:val="001000000000" w:firstRow="0" w:lastRow="0" w:firstColumn="1" w:lastColumn="0" w:oddVBand="0" w:evenVBand="0" w:oddHBand="0" w:evenHBand="0" w:firstRowFirstColumn="0" w:firstRowLastColumn="0" w:lastRowFirstColumn="0" w:lastRowLastColumn="0"/>
            <w:tcW w:w="770" w:type="pct"/>
            <w:hideMark/>
          </w:tcPr>
          <w:p w14:paraId="4119677A" w14:textId="77777777" w:rsidR="003625A7" w:rsidRPr="00BB330F" w:rsidRDefault="003625A7" w:rsidP="00341AD1">
            <w:pPr>
              <w:rPr>
                <w:rFonts w:cs="Times New Roman"/>
                <w:color w:val="000000"/>
                <w:sz w:val="20"/>
                <w:szCs w:val="20"/>
              </w:rPr>
            </w:pPr>
            <w:r w:rsidRPr="00BB330F">
              <w:rPr>
                <w:rFonts w:cs="Times New Roman"/>
                <w:color w:val="000000"/>
                <w:sz w:val="20"/>
                <w:szCs w:val="20"/>
              </w:rPr>
              <w:t>NFL</w:t>
            </w:r>
          </w:p>
        </w:tc>
        <w:tc>
          <w:tcPr>
            <w:tcW w:w="2092" w:type="pct"/>
            <w:hideMark/>
          </w:tcPr>
          <w:p w14:paraId="06A39388"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Recovered (BL) vs PCS (FU)</w:t>
            </w:r>
          </w:p>
        </w:tc>
        <w:tc>
          <w:tcPr>
            <w:tcW w:w="974" w:type="pct"/>
            <w:hideMark/>
          </w:tcPr>
          <w:p w14:paraId="4C5F8493"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-0.18 (0.07)</w:t>
            </w:r>
          </w:p>
        </w:tc>
        <w:tc>
          <w:tcPr>
            <w:tcW w:w="511" w:type="pct"/>
            <w:hideMark/>
          </w:tcPr>
          <w:p w14:paraId="076DCFC6"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0.83</w:t>
            </w:r>
          </w:p>
        </w:tc>
        <w:tc>
          <w:tcPr>
            <w:tcW w:w="653" w:type="pct"/>
            <w:hideMark/>
          </w:tcPr>
          <w:p w14:paraId="1AC8A6A3"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b/>
                <w:bCs/>
                <w:color w:val="000000"/>
                <w:sz w:val="20"/>
                <w:szCs w:val="20"/>
              </w:rPr>
            </w:pPr>
            <w:r w:rsidRPr="00BB330F">
              <w:rPr>
                <w:rFonts w:cs="Times New Roman"/>
                <w:b/>
                <w:bCs/>
                <w:color w:val="000000"/>
                <w:sz w:val="20"/>
                <w:szCs w:val="20"/>
              </w:rPr>
              <w:t>0.016</w:t>
            </w:r>
          </w:p>
        </w:tc>
      </w:tr>
      <w:tr w:rsidR="003625A7" w:rsidRPr="00BB330F" w14:paraId="368E857B" w14:textId="77777777" w:rsidTr="00341AD1">
        <w:tc>
          <w:tcPr>
            <w:cnfStyle w:val="001000000000" w:firstRow="0" w:lastRow="0" w:firstColumn="1" w:lastColumn="0" w:oddVBand="0" w:evenVBand="0" w:oddHBand="0" w:evenHBand="0" w:firstRowFirstColumn="0" w:firstRowLastColumn="0" w:lastRowFirstColumn="0" w:lastRowLastColumn="0"/>
            <w:tcW w:w="770" w:type="pct"/>
            <w:hideMark/>
          </w:tcPr>
          <w:p w14:paraId="0341F703" w14:textId="77777777" w:rsidR="003625A7" w:rsidRPr="00BB330F" w:rsidRDefault="003625A7" w:rsidP="00341AD1">
            <w:pPr>
              <w:rPr>
                <w:rFonts w:cs="Times New Roman"/>
                <w:color w:val="000000"/>
                <w:sz w:val="20"/>
                <w:szCs w:val="20"/>
              </w:rPr>
            </w:pPr>
            <w:r w:rsidRPr="00BB330F">
              <w:rPr>
                <w:rFonts w:cs="Times New Roman"/>
                <w:color w:val="000000"/>
                <w:sz w:val="20"/>
                <w:szCs w:val="20"/>
              </w:rPr>
              <w:t>NFL</w:t>
            </w:r>
          </w:p>
        </w:tc>
        <w:tc>
          <w:tcPr>
            <w:tcW w:w="2092" w:type="pct"/>
            <w:hideMark/>
          </w:tcPr>
          <w:p w14:paraId="14ADEE62"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PCS (BL) vs PCS (FU)</w:t>
            </w:r>
          </w:p>
        </w:tc>
        <w:tc>
          <w:tcPr>
            <w:tcW w:w="974" w:type="pct"/>
            <w:hideMark/>
          </w:tcPr>
          <w:p w14:paraId="6F9ED33C"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0.00 (0.08)</w:t>
            </w:r>
          </w:p>
        </w:tc>
        <w:tc>
          <w:tcPr>
            <w:tcW w:w="511" w:type="pct"/>
            <w:hideMark/>
          </w:tcPr>
          <w:p w14:paraId="3B1A8707"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1.00</w:t>
            </w:r>
          </w:p>
        </w:tc>
        <w:tc>
          <w:tcPr>
            <w:tcW w:w="653" w:type="pct"/>
            <w:hideMark/>
          </w:tcPr>
          <w:p w14:paraId="03BAF67B"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1.000</w:t>
            </w:r>
          </w:p>
        </w:tc>
      </w:tr>
      <w:tr w:rsidR="003625A7" w:rsidRPr="00BB330F" w14:paraId="2BED2738" w14:textId="77777777" w:rsidTr="00341AD1">
        <w:tc>
          <w:tcPr>
            <w:cnfStyle w:val="001000000000" w:firstRow="0" w:lastRow="0" w:firstColumn="1" w:lastColumn="0" w:oddVBand="0" w:evenVBand="0" w:oddHBand="0" w:evenHBand="0" w:firstRowFirstColumn="0" w:firstRowLastColumn="0" w:lastRowFirstColumn="0" w:lastRowLastColumn="0"/>
            <w:tcW w:w="770" w:type="pct"/>
            <w:hideMark/>
          </w:tcPr>
          <w:p w14:paraId="14A38D63" w14:textId="77777777" w:rsidR="003625A7" w:rsidRPr="00BB330F" w:rsidRDefault="003625A7" w:rsidP="00341AD1">
            <w:pPr>
              <w:rPr>
                <w:rFonts w:cs="Times New Roman"/>
                <w:color w:val="000000"/>
                <w:sz w:val="20"/>
                <w:szCs w:val="20"/>
              </w:rPr>
            </w:pPr>
            <w:r w:rsidRPr="00BB330F">
              <w:rPr>
                <w:rFonts w:cs="Times New Roman"/>
                <w:color w:val="000000"/>
                <w:sz w:val="20"/>
                <w:szCs w:val="20"/>
              </w:rPr>
              <w:t>GFAP</w:t>
            </w:r>
          </w:p>
        </w:tc>
        <w:tc>
          <w:tcPr>
            <w:tcW w:w="2092" w:type="pct"/>
            <w:hideMark/>
          </w:tcPr>
          <w:p w14:paraId="6173D04D"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Recovered (BL) vs PCS (BL)</w:t>
            </w:r>
          </w:p>
        </w:tc>
        <w:tc>
          <w:tcPr>
            <w:tcW w:w="974" w:type="pct"/>
            <w:hideMark/>
          </w:tcPr>
          <w:p w14:paraId="330B02CC"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-0.23 (0.08)</w:t>
            </w:r>
          </w:p>
        </w:tc>
        <w:tc>
          <w:tcPr>
            <w:tcW w:w="511" w:type="pct"/>
            <w:hideMark/>
          </w:tcPr>
          <w:p w14:paraId="48772A5E"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0.80</w:t>
            </w:r>
          </w:p>
        </w:tc>
        <w:tc>
          <w:tcPr>
            <w:tcW w:w="653" w:type="pct"/>
            <w:hideMark/>
          </w:tcPr>
          <w:p w14:paraId="1EA14552"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b/>
                <w:bCs/>
                <w:color w:val="000000"/>
                <w:sz w:val="20"/>
                <w:szCs w:val="20"/>
              </w:rPr>
            </w:pPr>
            <w:r w:rsidRPr="00BB330F">
              <w:rPr>
                <w:rFonts w:cs="Times New Roman"/>
                <w:b/>
                <w:bCs/>
                <w:color w:val="000000"/>
                <w:sz w:val="20"/>
                <w:szCs w:val="20"/>
              </w:rPr>
              <w:t>0.007</w:t>
            </w:r>
          </w:p>
        </w:tc>
      </w:tr>
      <w:tr w:rsidR="003625A7" w:rsidRPr="00BB330F" w14:paraId="44E2A052" w14:textId="77777777" w:rsidTr="00341AD1">
        <w:tc>
          <w:tcPr>
            <w:cnfStyle w:val="001000000000" w:firstRow="0" w:lastRow="0" w:firstColumn="1" w:lastColumn="0" w:oddVBand="0" w:evenVBand="0" w:oddHBand="0" w:evenHBand="0" w:firstRowFirstColumn="0" w:firstRowLastColumn="0" w:lastRowFirstColumn="0" w:lastRowLastColumn="0"/>
            <w:tcW w:w="770" w:type="pct"/>
            <w:hideMark/>
          </w:tcPr>
          <w:p w14:paraId="44064D4F" w14:textId="77777777" w:rsidR="003625A7" w:rsidRPr="00BB330F" w:rsidRDefault="003625A7" w:rsidP="00341AD1">
            <w:pPr>
              <w:rPr>
                <w:rFonts w:cs="Times New Roman"/>
                <w:color w:val="000000"/>
                <w:sz w:val="20"/>
                <w:szCs w:val="20"/>
              </w:rPr>
            </w:pPr>
            <w:r w:rsidRPr="00BB330F">
              <w:rPr>
                <w:rFonts w:cs="Times New Roman"/>
                <w:color w:val="000000"/>
                <w:sz w:val="20"/>
                <w:szCs w:val="20"/>
              </w:rPr>
              <w:t>GFAP</w:t>
            </w:r>
          </w:p>
        </w:tc>
        <w:tc>
          <w:tcPr>
            <w:tcW w:w="2092" w:type="pct"/>
            <w:hideMark/>
          </w:tcPr>
          <w:p w14:paraId="40D0B1DB"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Recovered (BL) vs PCS (FU)</w:t>
            </w:r>
          </w:p>
        </w:tc>
        <w:tc>
          <w:tcPr>
            <w:tcW w:w="974" w:type="pct"/>
            <w:hideMark/>
          </w:tcPr>
          <w:p w14:paraId="2143F674"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-0.23 (0.08)</w:t>
            </w:r>
          </w:p>
        </w:tc>
        <w:tc>
          <w:tcPr>
            <w:tcW w:w="511" w:type="pct"/>
            <w:hideMark/>
          </w:tcPr>
          <w:p w14:paraId="47527617"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0.80</w:t>
            </w:r>
          </w:p>
        </w:tc>
        <w:tc>
          <w:tcPr>
            <w:tcW w:w="653" w:type="pct"/>
            <w:hideMark/>
          </w:tcPr>
          <w:p w14:paraId="418921CE"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b/>
                <w:bCs/>
                <w:color w:val="000000"/>
                <w:sz w:val="20"/>
                <w:szCs w:val="20"/>
              </w:rPr>
            </w:pPr>
            <w:r w:rsidRPr="00BB330F">
              <w:rPr>
                <w:rFonts w:cs="Times New Roman"/>
                <w:b/>
                <w:bCs/>
                <w:color w:val="000000"/>
                <w:sz w:val="20"/>
                <w:szCs w:val="20"/>
              </w:rPr>
              <w:t>0.007</w:t>
            </w:r>
          </w:p>
        </w:tc>
      </w:tr>
      <w:tr w:rsidR="003625A7" w:rsidRPr="00BB330F" w14:paraId="40A3B3F5" w14:textId="77777777" w:rsidTr="00341AD1">
        <w:tc>
          <w:tcPr>
            <w:cnfStyle w:val="001000000000" w:firstRow="0" w:lastRow="0" w:firstColumn="1" w:lastColumn="0" w:oddVBand="0" w:evenVBand="0" w:oddHBand="0" w:evenHBand="0" w:firstRowFirstColumn="0" w:firstRowLastColumn="0" w:lastRowFirstColumn="0" w:lastRowLastColumn="0"/>
            <w:tcW w:w="770" w:type="pct"/>
            <w:hideMark/>
          </w:tcPr>
          <w:p w14:paraId="452D4461" w14:textId="77777777" w:rsidR="003625A7" w:rsidRPr="00BB330F" w:rsidRDefault="003625A7" w:rsidP="00341AD1">
            <w:pPr>
              <w:rPr>
                <w:rFonts w:cs="Times New Roman"/>
                <w:color w:val="000000"/>
                <w:sz w:val="20"/>
                <w:szCs w:val="20"/>
              </w:rPr>
            </w:pPr>
            <w:r w:rsidRPr="00BB330F">
              <w:rPr>
                <w:rFonts w:cs="Times New Roman"/>
                <w:color w:val="000000"/>
                <w:sz w:val="20"/>
                <w:szCs w:val="20"/>
              </w:rPr>
              <w:t>GFAP</w:t>
            </w:r>
          </w:p>
        </w:tc>
        <w:tc>
          <w:tcPr>
            <w:tcW w:w="2092" w:type="pct"/>
            <w:hideMark/>
          </w:tcPr>
          <w:p w14:paraId="74A507DD"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PCS (BL) vs PCS (FU)</w:t>
            </w:r>
          </w:p>
        </w:tc>
        <w:tc>
          <w:tcPr>
            <w:tcW w:w="974" w:type="pct"/>
            <w:hideMark/>
          </w:tcPr>
          <w:p w14:paraId="7A2BA630"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0.00 (0.09)</w:t>
            </w:r>
          </w:p>
        </w:tc>
        <w:tc>
          <w:tcPr>
            <w:tcW w:w="511" w:type="pct"/>
            <w:hideMark/>
          </w:tcPr>
          <w:p w14:paraId="779377D8"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1.00</w:t>
            </w:r>
          </w:p>
        </w:tc>
        <w:tc>
          <w:tcPr>
            <w:tcW w:w="653" w:type="pct"/>
            <w:hideMark/>
          </w:tcPr>
          <w:p w14:paraId="6F6995C6" w14:textId="77777777" w:rsidR="003625A7" w:rsidRPr="00BB330F" w:rsidRDefault="003625A7" w:rsidP="00341AD1">
            <w:pPr>
              <w:keepNext/>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1.000</w:t>
            </w:r>
          </w:p>
        </w:tc>
      </w:tr>
    </w:tbl>
    <w:p w14:paraId="633B8E8D" w14:textId="66ECE889" w:rsidR="003625A7" w:rsidRPr="0054367B" w:rsidRDefault="003625A7" w:rsidP="003625A7">
      <w:pPr>
        <w:pStyle w:val="Beschriftung1"/>
        <w:rPr>
          <w:rFonts w:ascii="Times New Roman" w:hAnsi="Times New Roman" w:cs="Times New Roman"/>
          <w:sz w:val="24"/>
          <w:szCs w:val="24"/>
        </w:rPr>
      </w:pPr>
      <w:r w:rsidRPr="0054367B">
        <w:rPr>
          <w:rFonts w:ascii="Times New Roman" w:hAnsi="Times New Roman" w:cs="Times New Roman"/>
          <w:b/>
          <w:bCs/>
          <w:sz w:val="24"/>
          <w:szCs w:val="24"/>
        </w:rPr>
        <w:t xml:space="preserve">Supplementary Table </w:t>
      </w:r>
      <w:r w:rsidRPr="0054367B">
        <w:rPr>
          <w:rFonts w:ascii="Times New Roman" w:hAnsi="Times New Roman" w:cs="Times New Roman"/>
          <w:b/>
          <w:bCs/>
          <w:sz w:val="24"/>
          <w:szCs w:val="24"/>
        </w:rPr>
        <w:fldChar w:fldCharType="begin"/>
      </w:r>
      <w:r w:rsidRPr="0054367B">
        <w:rPr>
          <w:rFonts w:ascii="Times New Roman" w:hAnsi="Times New Roman" w:cs="Times New Roman"/>
          <w:b/>
          <w:bCs/>
          <w:sz w:val="24"/>
          <w:szCs w:val="24"/>
        </w:rPr>
        <w:instrText xml:space="preserve"> SEQ Supplementary_Table \* ARABIC </w:instrText>
      </w:r>
      <w:r w:rsidRPr="0054367B">
        <w:rPr>
          <w:rFonts w:ascii="Times New Roman" w:hAnsi="Times New Roman" w:cs="Times New Roman"/>
          <w:b/>
          <w:bCs/>
          <w:sz w:val="24"/>
          <w:szCs w:val="24"/>
        </w:rPr>
        <w:fldChar w:fldCharType="separate"/>
      </w:r>
      <w:r w:rsidR="00FE267B">
        <w:rPr>
          <w:rFonts w:ascii="Times New Roman" w:hAnsi="Times New Roman" w:cs="Times New Roman"/>
          <w:b/>
          <w:bCs/>
          <w:noProof/>
          <w:sz w:val="24"/>
          <w:szCs w:val="24"/>
        </w:rPr>
        <w:t>9</w:t>
      </w:r>
      <w:r w:rsidRPr="0054367B">
        <w:rPr>
          <w:rFonts w:ascii="Times New Roman" w:hAnsi="Times New Roman" w:cs="Times New Roman"/>
          <w:b/>
          <w:bCs/>
          <w:sz w:val="24"/>
          <w:szCs w:val="24"/>
        </w:rPr>
        <w:fldChar w:fldCharType="end"/>
      </w:r>
      <w:r w:rsidRPr="0054367B">
        <w:rPr>
          <w:rFonts w:ascii="Times New Roman" w:hAnsi="Times New Roman" w:cs="Times New Roman"/>
          <w:sz w:val="24"/>
          <w:szCs w:val="24"/>
        </w:rPr>
        <w:t xml:space="preserve"> Weighted linear regression contrasts for NFL and GFAP comparing PCS at BL and FU with COVID-19-recovered controls assessed at BL. Models were fitted using ATT propensity score weights with robust HC3 standard errors. Estimates are shown on the log scale; ratios represent exponentiated coefficients.</w:t>
      </w:r>
    </w:p>
    <w:p w14:paraId="7ED89B2C" w14:textId="77777777" w:rsidR="003625A7" w:rsidRPr="00BB330F" w:rsidRDefault="003625A7" w:rsidP="003625A7">
      <w:r w:rsidRPr="00BB330F">
        <w:t>In multivariable weighted regression models adjusting for eGFR, PCS status was independently associated with higher NFL and GFAP levels at FU compared with COVID-19-recovered controls (Supplementary Table 10). Higher eGFR was independently associated with lower levels of both biomarkers, confirming the relevance of renal function as a confounder in neuroaxonal injury marker analyses.</w:t>
      </w:r>
    </w:p>
    <w:tbl>
      <w:tblPr>
        <w:tblStyle w:val="Gitternetztabelle1hell"/>
        <w:tblW w:w="5000" w:type="pct"/>
        <w:tblLook w:val="04A0" w:firstRow="1" w:lastRow="0" w:firstColumn="1" w:lastColumn="0" w:noHBand="0" w:noVBand="1"/>
      </w:tblPr>
      <w:tblGrid>
        <w:gridCol w:w="1846"/>
        <w:gridCol w:w="3952"/>
        <w:gridCol w:w="2647"/>
        <w:gridCol w:w="1322"/>
      </w:tblGrid>
      <w:tr w:rsidR="003625A7" w:rsidRPr="00BB330F" w14:paraId="307BB065" w14:textId="77777777" w:rsidTr="00341A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5" w:type="pct"/>
            <w:hideMark/>
          </w:tcPr>
          <w:p w14:paraId="56C5F306" w14:textId="77777777" w:rsidR="003625A7" w:rsidRPr="00BB330F" w:rsidRDefault="003625A7" w:rsidP="00341AD1">
            <w:pPr>
              <w:jc w:val="center"/>
              <w:rPr>
                <w:rFonts w:cs="Times New Roman"/>
                <w:color w:val="000000"/>
                <w:sz w:val="20"/>
                <w:szCs w:val="20"/>
              </w:rPr>
            </w:pPr>
            <w:r w:rsidRPr="00BB330F">
              <w:rPr>
                <w:rFonts w:cs="Times New Roman"/>
                <w:color w:val="000000"/>
                <w:sz w:val="20"/>
                <w:szCs w:val="20"/>
              </w:rPr>
              <w:t>Outcome</w:t>
            </w:r>
          </w:p>
        </w:tc>
        <w:tc>
          <w:tcPr>
            <w:tcW w:w="2023" w:type="pct"/>
            <w:hideMark/>
          </w:tcPr>
          <w:p w14:paraId="030919C1" w14:textId="77777777" w:rsidR="003625A7" w:rsidRPr="00BB330F" w:rsidRDefault="003625A7" w:rsidP="00341AD1">
            <w:pPr>
              <w:jc w:val="center"/>
              <w:cnfStyle w:val="100000000000" w:firstRow="1"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Predictor</w:t>
            </w:r>
          </w:p>
        </w:tc>
        <w:tc>
          <w:tcPr>
            <w:tcW w:w="1355" w:type="pct"/>
            <w:hideMark/>
          </w:tcPr>
          <w:p w14:paraId="0F2DBC29" w14:textId="77777777" w:rsidR="003625A7" w:rsidRPr="00BB330F" w:rsidRDefault="003625A7" w:rsidP="00341AD1">
            <w:pPr>
              <w:jc w:val="center"/>
              <w:cnfStyle w:val="100000000000" w:firstRow="1"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β (SE)</w:t>
            </w:r>
          </w:p>
        </w:tc>
        <w:tc>
          <w:tcPr>
            <w:tcW w:w="677" w:type="pct"/>
            <w:hideMark/>
          </w:tcPr>
          <w:p w14:paraId="68982977" w14:textId="77777777" w:rsidR="003625A7" w:rsidRPr="00BB330F" w:rsidRDefault="003625A7" w:rsidP="00341AD1">
            <w:pPr>
              <w:jc w:val="center"/>
              <w:cnfStyle w:val="100000000000" w:firstRow="1"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p-value</w:t>
            </w:r>
          </w:p>
        </w:tc>
      </w:tr>
      <w:tr w:rsidR="003625A7" w:rsidRPr="00BB330F" w14:paraId="1DBC0C4E" w14:textId="77777777" w:rsidTr="00341AD1">
        <w:tc>
          <w:tcPr>
            <w:cnfStyle w:val="001000000000" w:firstRow="0" w:lastRow="0" w:firstColumn="1" w:lastColumn="0" w:oddVBand="0" w:evenVBand="0" w:oddHBand="0" w:evenHBand="0" w:firstRowFirstColumn="0" w:firstRowLastColumn="0" w:lastRowFirstColumn="0" w:lastRowLastColumn="0"/>
            <w:tcW w:w="945" w:type="pct"/>
            <w:hideMark/>
          </w:tcPr>
          <w:p w14:paraId="142AD754" w14:textId="77777777" w:rsidR="003625A7" w:rsidRPr="00BB330F" w:rsidRDefault="003625A7" w:rsidP="00341AD1">
            <w:pPr>
              <w:rPr>
                <w:rFonts w:cs="Times New Roman"/>
                <w:b w:val="0"/>
                <w:bCs w:val="0"/>
                <w:color w:val="000000"/>
                <w:sz w:val="20"/>
                <w:szCs w:val="20"/>
              </w:rPr>
            </w:pPr>
            <w:r w:rsidRPr="00BB330F">
              <w:rPr>
                <w:rStyle w:val="Fett"/>
                <w:rFonts w:cs="Times New Roman"/>
                <w:color w:val="000000"/>
                <w:sz w:val="20"/>
                <w:szCs w:val="20"/>
              </w:rPr>
              <w:t>NFL (log)</w:t>
            </w:r>
          </w:p>
        </w:tc>
        <w:tc>
          <w:tcPr>
            <w:tcW w:w="2023" w:type="pct"/>
            <w:hideMark/>
          </w:tcPr>
          <w:p w14:paraId="4A9373AD"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PCS vs recovered</w:t>
            </w:r>
          </w:p>
        </w:tc>
        <w:tc>
          <w:tcPr>
            <w:tcW w:w="1355" w:type="pct"/>
            <w:hideMark/>
          </w:tcPr>
          <w:p w14:paraId="15C99C9A"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0.19 (0.08)</w:t>
            </w:r>
          </w:p>
        </w:tc>
        <w:tc>
          <w:tcPr>
            <w:tcW w:w="677" w:type="pct"/>
            <w:hideMark/>
          </w:tcPr>
          <w:p w14:paraId="728970DF"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b/>
                <w:bCs/>
                <w:color w:val="000000"/>
                <w:sz w:val="20"/>
                <w:szCs w:val="20"/>
              </w:rPr>
            </w:pPr>
            <w:r w:rsidRPr="00BB330F">
              <w:rPr>
                <w:rFonts w:cs="Times New Roman"/>
                <w:b/>
                <w:bCs/>
                <w:color w:val="000000"/>
                <w:sz w:val="20"/>
                <w:szCs w:val="20"/>
              </w:rPr>
              <w:t>0.018</w:t>
            </w:r>
          </w:p>
        </w:tc>
      </w:tr>
      <w:tr w:rsidR="003625A7" w:rsidRPr="00BB330F" w14:paraId="3761888B" w14:textId="77777777" w:rsidTr="00341AD1">
        <w:tc>
          <w:tcPr>
            <w:cnfStyle w:val="001000000000" w:firstRow="0" w:lastRow="0" w:firstColumn="1" w:lastColumn="0" w:oddVBand="0" w:evenVBand="0" w:oddHBand="0" w:evenHBand="0" w:firstRowFirstColumn="0" w:firstRowLastColumn="0" w:lastRowFirstColumn="0" w:lastRowLastColumn="0"/>
            <w:tcW w:w="945" w:type="pct"/>
            <w:hideMark/>
          </w:tcPr>
          <w:p w14:paraId="5230D863" w14:textId="77777777" w:rsidR="003625A7" w:rsidRPr="00BB330F" w:rsidRDefault="003625A7" w:rsidP="00341AD1">
            <w:pPr>
              <w:rPr>
                <w:rFonts w:cs="Times New Roman"/>
                <w:color w:val="000000"/>
                <w:sz w:val="20"/>
                <w:szCs w:val="20"/>
              </w:rPr>
            </w:pPr>
          </w:p>
        </w:tc>
        <w:tc>
          <w:tcPr>
            <w:tcW w:w="2023" w:type="pct"/>
            <w:hideMark/>
          </w:tcPr>
          <w:p w14:paraId="36EA35D1"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eGFR (per ml/min/1.73 m²)</w:t>
            </w:r>
          </w:p>
        </w:tc>
        <w:tc>
          <w:tcPr>
            <w:tcW w:w="1355" w:type="pct"/>
            <w:hideMark/>
          </w:tcPr>
          <w:p w14:paraId="521F6353"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-0.005 (0.0023)</w:t>
            </w:r>
          </w:p>
        </w:tc>
        <w:tc>
          <w:tcPr>
            <w:tcW w:w="677" w:type="pct"/>
            <w:hideMark/>
          </w:tcPr>
          <w:p w14:paraId="19323D2C"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b/>
                <w:bCs/>
                <w:color w:val="000000"/>
                <w:sz w:val="20"/>
                <w:szCs w:val="20"/>
              </w:rPr>
            </w:pPr>
            <w:r w:rsidRPr="00BB330F">
              <w:rPr>
                <w:rFonts w:cs="Times New Roman"/>
                <w:b/>
                <w:bCs/>
                <w:color w:val="000000"/>
                <w:sz w:val="20"/>
                <w:szCs w:val="20"/>
              </w:rPr>
              <w:t>0.038</w:t>
            </w:r>
          </w:p>
        </w:tc>
      </w:tr>
      <w:tr w:rsidR="003625A7" w:rsidRPr="00BB330F" w14:paraId="1D5D792D" w14:textId="77777777" w:rsidTr="00341AD1">
        <w:tc>
          <w:tcPr>
            <w:cnfStyle w:val="001000000000" w:firstRow="0" w:lastRow="0" w:firstColumn="1" w:lastColumn="0" w:oddVBand="0" w:evenVBand="0" w:oddHBand="0" w:evenHBand="0" w:firstRowFirstColumn="0" w:firstRowLastColumn="0" w:lastRowFirstColumn="0" w:lastRowLastColumn="0"/>
            <w:tcW w:w="945" w:type="pct"/>
            <w:hideMark/>
          </w:tcPr>
          <w:p w14:paraId="33C001E1" w14:textId="77777777" w:rsidR="003625A7" w:rsidRPr="00BB330F" w:rsidRDefault="003625A7" w:rsidP="00341AD1">
            <w:pPr>
              <w:rPr>
                <w:rFonts w:cs="Times New Roman"/>
                <w:color w:val="000000"/>
                <w:sz w:val="20"/>
                <w:szCs w:val="20"/>
              </w:rPr>
            </w:pPr>
            <w:r w:rsidRPr="00BB330F">
              <w:rPr>
                <w:rStyle w:val="Fett"/>
                <w:rFonts w:cs="Times New Roman"/>
                <w:color w:val="000000"/>
                <w:sz w:val="20"/>
                <w:szCs w:val="20"/>
              </w:rPr>
              <w:t>GFAP (log)</w:t>
            </w:r>
          </w:p>
        </w:tc>
        <w:tc>
          <w:tcPr>
            <w:tcW w:w="2023" w:type="pct"/>
            <w:hideMark/>
          </w:tcPr>
          <w:p w14:paraId="6814F638"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PCS vs recovered</w:t>
            </w:r>
          </w:p>
        </w:tc>
        <w:tc>
          <w:tcPr>
            <w:tcW w:w="1355" w:type="pct"/>
            <w:hideMark/>
          </w:tcPr>
          <w:p w14:paraId="0736A840"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0.18 (0.08)</w:t>
            </w:r>
          </w:p>
        </w:tc>
        <w:tc>
          <w:tcPr>
            <w:tcW w:w="677" w:type="pct"/>
            <w:hideMark/>
          </w:tcPr>
          <w:p w14:paraId="56E153EC"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b/>
                <w:bCs/>
                <w:color w:val="000000"/>
                <w:sz w:val="20"/>
                <w:szCs w:val="20"/>
              </w:rPr>
            </w:pPr>
            <w:r w:rsidRPr="00BB330F">
              <w:rPr>
                <w:rFonts w:cs="Times New Roman"/>
                <w:b/>
                <w:bCs/>
                <w:color w:val="000000"/>
                <w:sz w:val="20"/>
                <w:szCs w:val="20"/>
              </w:rPr>
              <w:t>0.036</w:t>
            </w:r>
          </w:p>
        </w:tc>
      </w:tr>
      <w:tr w:rsidR="003625A7" w:rsidRPr="00BB330F" w14:paraId="1EF93EE2" w14:textId="77777777" w:rsidTr="00341AD1">
        <w:tc>
          <w:tcPr>
            <w:cnfStyle w:val="001000000000" w:firstRow="0" w:lastRow="0" w:firstColumn="1" w:lastColumn="0" w:oddVBand="0" w:evenVBand="0" w:oddHBand="0" w:evenHBand="0" w:firstRowFirstColumn="0" w:firstRowLastColumn="0" w:lastRowFirstColumn="0" w:lastRowLastColumn="0"/>
            <w:tcW w:w="945" w:type="pct"/>
            <w:hideMark/>
          </w:tcPr>
          <w:p w14:paraId="25FE712A" w14:textId="77777777" w:rsidR="003625A7" w:rsidRPr="00BB330F" w:rsidRDefault="003625A7" w:rsidP="00341AD1">
            <w:pPr>
              <w:rPr>
                <w:rFonts w:cs="Times New Roman"/>
                <w:color w:val="000000"/>
                <w:sz w:val="20"/>
                <w:szCs w:val="20"/>
              </w:rPr>
            </w:pPr>
          </w:p>
        </w:tc>
        <w:tc>
          <w:tcPr>
            <w:tcW w:w="2023" w:type="pct"/>
            <w:hideMark/>
          </w:tcPr>
          <w:p w14:paraId="2D482C7B"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eGFR (per ml/min/1.73 m²)</w:t>
            </w:r>
          </w:p>
        </w:tc>
        <w:tc>
          <w:tcPr>
            <w:tcW w:w="1355" w:type="pct"/>
            <w:hideMark/>
          </w:tcPr>
          <w:p w14:paraId="44DF2474"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-0.008 (0.0023)</w:t>
            </w:r>
          </w:p>
        </w:tc>
        <w:tc>
          <w:tcPr>
            <w:tcW w:w="677" w:type="pct"/>
            <w:hideMark/>
          </w:tcPr>
          <w:p w14:paraId="3F8651B4" w14:textId="77777777" w:rsidR="003625A7" w:rsidRPr="00BB330F" w:rsidRDefault="003625A7" w:rsidP="00341AD1">
            <w:pPr>
              <w:keepNext/>
              <w:cnfStyle w:val="000000000000" w:firstRow="0" w:lastRow="0" w:firstColumn="0" w:lastColumn="0" w:oddVBand="0" w:evenVBand="0" w:oddHBand="0" w:evenHBand="0" w:firstRowFirstColumn="0" w:firstRowLastColumn="0" w:lastRowFirstColumn="0" w:lastRowLastColumn="0"/>
              <w:rPr>
                <w:rFonts w:cs="Times New Roman"/>
                <w:b/>
                <w:bCs/>
                <w:color w:val="000000"/>
                <w:sz w:val="20"/>
                <w:szCs w:val="20"/>
              </w:rPr>
            </w:pPr>
            <w:r w:rsidRPr="00BB330F">
              <w:rPr>
                <w:rFonts w:cs="Times New Roman"/>
                <w:b/>
                <w:bCs/>
                <w:color w:val="000000"/>
                <w:sz w:val="20"/>
                <w:szCs w:val="20"/>
              </w:rPr>
              <w:t>&lt;0.001</w:t>
            </w:r>
          </w:p>
        </w:tc>
      </w:tr>
    </w:tbl>
    <w:p w14:paraId="5AEE2B6F" w14:textId="3920459F" w:rsidR="003625A7" w:rsidRPr="004D6A33" w:rsidRDefault="003625A7" w:rsidP="003625A7">
      <w:pPr>
        <w:pStyle w:val="Manuskript"/>
        <w:rPr>
          <w:rFonts w:ascii="Times New Roman" w:hAnsi="Times New Roman" w:cs="Times New Roman"/>
        </w:rPr>
      </w:pPr>
      <w:r w:rsidRPr="004D6A33">
        <w:rPr>
          <w:rFonts w:ascii="Times New Roman" w:hAnsi="Times New Roman" w:cs="Times New Roman"/>
          <w:b/>
          <w:bCs/>
        </w:rPr>
        <w:t xml:space="preserve">Supplementary Table </w:t>
      </w:r>
      <w:r w:rsidRPr="004D6A33">
        <w:rPr>
          <w:rFonts w:ascii="Times New Roman" w:hAnsi="Times New Roman" w:cs="Times New Roman"/>
          <w:b/>
          <w:bCs/>
        </w:rPr>
        <w:fldChar w:fldCharType="begin"/>
      </w:r>
      <w:r w:rsidRPr="004D6A33">
        <w:rPr>
          <w:rFonts w:ascii="Times New Roman" w:hAnsi="Times New Roman" w:cs="Times New Roman"/>
          <w:b/>
          <w:bCs/>
        </w:rPr>
        <w:instrText xml:space="preserve"> SEQ Supplementary_Table \* ARABIC </w:instrText>
      </w:r>
      <w:r w:rsidRPr="004D6A33">
        <w:rPr>
          <w:rFonts w:ascii="Times New Roman" w:hAnsi="Times New Roman" w:cs="Times New Roman"/>
          <w:b/>
          <w:bCs/>
        </w:rPr>
        <w:fldChar w:fldCharType="separate"/>
      </w:r>
      <w:r w:rsidR="00FE267B">
        <w:rPr>
          <w:rFonts w:ascii="Times New Roman" w:hAnsi="Times New Roman" w:cs="Times New Roman"/>
          <w:b/>
          <w:bCs/>
          <w:noProof/>
        </w:rPr>
        <w:t>10</w:t>
      </w:r>
      <w:r w:rsidRPr="004D6A33">
        <w:rPr>
          <w:rFonts w:ascii="Times New Roman" w:hAnsi="Times New Roman" w:cs="Times New Roman"/>
          <w:b/>
          <w:bCs/>
        </w:rPr>
        <w:fldChar w:fldCharType="end"/>
      </w:r>
      <w:r w:rsidRPr="004D6A33">
        <w:rPr>
          <w:rFonts w:ascii="Times New Roman" w:hAnsi="Times New Roman" w:cs="Times New Roman"/>
        </w:rPr>
        <w:t xml:space="preserve"> Multivariable weighted linear regression models for neuroaxonal injury markers at FU. For PCS patients, FU values were analyzed, whereas BL values were used for COVID-19–recovered controls. Models were fitted on the log scale and adjusted for eGFR using ATT propensity score weights </w:t>
      </w:r>
    </w:p>
    <w:p w14:paraId="7E05182A" w14:textId="77777777" w:rsidR="003625A7" w:rsidRPr="00BB330F" w:rsidRDefault="003625A7" w:rsidP="003625A7">
      <w:r w:rsidRPr="00BB330F">
        <w:t>Multivariable linear regression models were fitted on the log scale to compare FU values in patients with PCS with BL values in COVID-19–recovered controls (Supplementary Table 11). Models were adjusted for age, sex, and estimated glomerular filtration rate (eGFR). Regression coefficients (β) represent log-transformed effects; geometric mean ratios (GMRs) were calculated as exp(β).</w:t>
      </w:r>
    </w:p>
    <w:tbl>
      <w:tblPr>
        <w:tblStyle w:val="Gitternetztabelle1hell"/>
        <w:tblW w:w="5000" w:type="pct"/>
        <w:tblLook w:val="04A0" w:firstRow="1" w:lastRow="0" w:firstColumn="1" w:lastColumn="0" w:noHBand="0" w:noVBand="1"/>
      </w:tblPr>
      <w:tblGrid>
        <w:gridCol w:w="1503"/>
        <w:gridCol w:w="3110"/>
        <w:gridCol w:w="1817"/>
        <w:gridCol w:w="1094"/>
        <w:gridCol w:w="2243"/>
      </w:tblGrid>
      <w:tr w:rsidR="003625A7" w:rsidRPr="00BB330F" w14:paraId="79F8C92A" w14:textId="77777777" w:rsidTr="00341A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0" w:type="pct"/>
            <w:hideMark/>
          </w:tcPr>
          <w:p w14:paraId="247CF11B" w14:textId="77777777" w:rsidR="003625A7" w:rsidRPr="00BB330F" w:rsidRDefault="003625A7" w:rsidP="00341AD1">
            <w:pPr>
              <w:jc w:val="center"/>
              <w:rPr>
                <w:rFonts w:cs="Times New Roman"/>
                <w:color w:val="000000"/>
                <w:sz w:val="20"/>
                <w:szCs w:val="20"/>
              </w:rPr>
            </w:pPr>
            <w:r w:rsidRPr="00BB330F">
              <w:rPr>
                <w:rFonts w:cs="Times New Roman"/>
                <w:color w:val="000000"/>
                <w:sz w:val="20"/>
                <w:szCs w:val="20"/>
              </w:rPr>
              <w:t>Outcome</w:t>
            </w:r>
          </w:p>
        </w:tc>
        <w:tc>
          <w:tcPr>
            <w:tcW w:w="1592" w:type="pct"/>
            <w:hideMark/>
          </w:tcPr>
          <w:p w14:paraId="683A5739" w14:textId="77777777" w:rsidR="003625A7" w:rsidRPr="00BB330F" w:rsidRDefault="003625A7" w:rsidP="00341AD1">
            <w:pPr>
              <w:jc w:val="center"/>
              <w:cnfStyle w:val="100000000000" w:firstRow="1"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Predictor</w:t>
            </w:r>
          </w:p>
        </w:tc>
        <w:tc>
          <w:tcPr>
            <w:tcW w:w="930" w:type="pct"/>
            <w:hideMark/>
          </w:tcPr>
          <w:p w14:paraId="21310B50" w14:textId="77777777" w:rsidR="003625A7" w:rsidRPr="00BB330F" w:rsidRDefault="003625A7" w:rsidP="00341AD1">
            <w:pPr>
              <w:jc w:val="center"/>
              <w:cnfStyle w:val="100000000000" w:firstRow="1"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β (SE)</w:t>
            </w:r>
          </w:p>
        </w:tc>
        <w:tc>
          <w:tcPr>
            <w:tcW w:w="560" w:type="pct"/>
            <w:hideMark/>
          </w:tcPr>
          <w:p w14:paraId="718BBB39" w14:textId="77777777" w:rsidR="003625A7" w:rsidRPr="00BB330F" w:rsidRDefault="003625A7" w:rsidP="00341AD1">
            <w:pPr>
              <w:jc w:val="center"/>
              <w:cnfStyle w:val="100000000000" w:firstRow="1"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p-value</w:t>
            </w:r>
          </w:p>
        </w:tc>
        <w:tc>
          <w:tcPr>
            <w:tcW w:w="1148" w:type="pct"/>
            <w:hideMark/>
          </w:tcPr>
          <w:p w14:paraId="189A7EA2" w14:textId="77777777" w:rsidR="003625A7" w:rsidRPr="00BB330F" w:rsidRDefault="003625A7" w:rsidP="00341AD1">
            <w:pPr>
              <w:jc w:val="center"/>
              <w:cnfStyle w:val="100000000000" w:firstRow="1"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GMR (95% CI)</w:t>
            </w:r>
          </w:p>
        </w:tc>
      </w:tr>
      <w:tr w:rsidR="003625A7" w:rsidRPr="00BB330F" w14:paraId="4896A2AD" w14:textId="77777777" w:rsidTr="00341AD1">
        <w:tc>
          <w:tcPr>
            <w:cnfStyle w:val="001000000000" w:firstRow="0" w:lastRow="0" w:firstColumn="1" w:lastColumn="0" w:oddVBand="0" w:evenVBand="0" w:oddHBand="0" w:evenHBand="0" w:firstRowFirstColumn="0" w:firstRowLastColumn="0" w:lastRowFirstColumn="0" w:lastRowLastColumn="0"/>
            <w:tcW w:w="770" w:type="pct"/>
            <w:hideMark/>
          </w:tcPr>
          <w:p w14:paraId="584A58ED" w14:textId="77777777" w:rsidR="003625A7" w:rsidRPr="00BB330F" w:rsidRDefault="003625A7" w:rsidP="00341AD1">
            <w:pPr>
              <w:rPr>
                <w:rFonts w:cs="Times New Roman"/>
                <w:b w:val="0"/>
                <w:bCs w:val="0"/>
                <w:color w:val="000000"/>
                <w:sz w:val="20"/>
                <w:szCs w:val="20"/>
              </w:rPr>
            </w:pPr>
            <w:r w:rsidRPr="00BB330F">
              <w:rPr>
                <w:rStyle w:val="Fett"/>
                <w:rFonts w:cs="Times New Roman"/>
                <w:b/>
                <w:bCs/>
                <w:color w:val="000000"/>
                <w:sz w:val="20"/>
                <w:szCs w:val="20"/>
              </w:rPr>
              <w:t>NFL (log)</w:t>
            </w:r>
          </w:p>
        </w:tc>
        <w:tc>
          <w:tcPr>
            <w:tcW w:w="1592" w:type="pct"/>
            <w:hideMark/>
          </w:tcPr>
          <w:p w14:paraId="374261ED"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PCS vs recovered</w:t>
            </w:r>
          </w:p>
        </w:tc>
        <w:tc>
          <w:tcPr>
            <w:tcW w:w="930" w:type="pct"/>
            <w:hideMark/>
          </w:tcPr>
          <w:p w14:paraId="08B3952C"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0.16 (0.06)</w:t>
            </w:r>
          </w:p>
        </w:tc>
        <w:tc>
          <w:tcPr>
            <w:tcW w:w="560" w:type="pct"/>
            <w:hideMark/>
          </w:tcPr>
          <w:p w14:paraId="6C6E64D1"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b/>
                <w:bCs/>
                <w:color w:val="000000"/>
                <w:sz w:val="20"/>
                <w:szCs w:val="20"/>
              </w:rPr>
            </w:pPr>
            <w:r w:rsidRPr="00BB330F">
              <w:rPr>
                <w:rFonts w:cs="Times New Roman"/>
                <w:b/>
                <w:bCs/>
                <w:color w:val="000000"/>
                <w:sz w:val="20"/>
                <w:szCs w:val="20"/>
              </w:rPr>
              <w:t>0.008</w:t>
            </w:r>
          </w:p>
        </w:tc>
        <w:tc>
          <w:tcPr>
            <w:tcW w:w="1148" w:type="pct"/>
            <w:hideMark/>
          </w:tcPr>
          <w:p w14:paraId="621E89BA"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1.17 (1.04–1.32)</w:t>
            </w:r>
          </w:p>
        </w:tc>
      </w:tr>
      <w:tr w:rsidR="003625A7" w:rsidRPr="00BB330F" w14:paraId="1502FB42" w14:textId="77777777" w:rsidTr="00341AD1">
        <w:tc>
          <w:tcPr>
            <w:cnfStyle w:val="001000000000" w:firstRow="0" w:lastRow="0" w:firstColumn="1" w:lastColumn="0" w:oddVBand="0" w:evenVBand="0" w:oddHBand="0" w:evenHBand="0" w:firstRowFirstColumn="0" w:firstRowLastColumn="0" w:lastRowFirstColumn="0" w:lastRowLastColumn="0"/>
            <w:tcW w:w="770" w:type="pct"/>
            <w:hideMark/>
          </w:tcPr>
          <w:p w14:paraId="55EB9539" w14:textId="77777777" w:rsidR="003625A7" w:rsidRPr="00BB330F" w:rsidRDefault="003625A7" w:rsidP="00341AD1">
            <w:pPr>
              <w:rPr>
                <w:rFonts w:cs="Times New Roman"/>
                <w:color w:val="000000"/>
                <w:sz w:val="20"/>
                <w:szCs w:val="20"/>
              </w:rPr>
            </w:pPr>
          </w:p>
        </w:tc>
        <w:tc>
          <w:tcPr>
            <w:tcW w:w="1592" w:type="pct"/>
            <w:hideMark/>
          </w:tcPr>
          <w:p w14:paraId="49C88565"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Age (per year)</w:t>
            </w:r>
          </w:p>
        </w:tc>
        <w:tc>
          <w:tcPr>
            <w:tcW w:w="930" w:type="pct"/>
            <w:hideMark/>
          </w:tcPr>
          <w:p w14:paraId="2CB25DCB"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0.011 (0.003)</w:t>
            </w:r>
          </w:p>
        </w:tc>
        <w:tc>
          <w:tcPr>
            <w:tcW w:w="560" w:type="pct"/>
            <w:hideMark/>
          </w:tcPr>
          <w:p w14:paraId="51C4F003"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b/>
                <w:bCs/>
                <w:color w:val="000000"/>
                <w:sz w:val="20"/>
                <w:szCs w:val="20"/>
              </w:rPr>
            </w:pPr>
            <w:r w:rsidRPr="00BB330F">
              <w:rPr>
                <w:rFonts w:cs="Times New Roman"/>
                <w:b/>
                <w:bCs/>
                <w:color w:val="000000"/>
                <w:sz w:val="20"/>
                <w:szCs w:val="20"/>
              </w:rPr>
              <w:t>0.001</w:t>
            </w:r>
          </w:p>
        </w:tc>
        <w:tc>
          <w:tcPr>
            <w:tcW w:w="1148" w:type="pct"/>
            <w:hideMark/>
          </w:tcPr>
          <w:p w14:paraId="0B3896EF"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1.01 (1.00–1.02)</w:t>
            </w:r>
          </w:p>
        </w:tc>
      </w:tr>
      <w:tr w:rsidR="003625A7" w:rsidRPr="00BB330F" w14:paraId="075F4340" w14:textId="77777777" w:rsidTr="00341AD1">
        <w:tc>
          <w:tcPr>
            <w:cnfStyle w:val="001000000000" w:firstRow="0" w:lastRow="0" w:firstColumn="1" w:lastColumn="0" w:oddVBand="0" w:evenVBand="0" w:oddHBand="0" w:evenHBand="0" w:firstRowFirstColumn="0" w:firstRowLastColumn="0" w:lastRowFirstColumn="0" w:lastRowLastColumn="0"/>
            <w:tcW w:w="770" w:type="pct"/>
            <w:hideMark/>
          </w:tcPr>
          <w:p w14:paraId="2E6DE1CD" w14:textId="77777777" w:rsidR="003625A7" w:rsidRPr="00BB330F" w:rsidRDefault="003625A7" w:rsidP="00341AD1">
            <w:pPr>
              <w:rPr>
                <w:rFonts w:cs="Times New Roman"/>
                <w:color w:val="000000"/>
                <w:sz w:val="20"/>
                <w:szCs w:val="20"/>
              </w:rPr>
            </w:pPr>
          </w:p>
        </w:tc>
        <w:tc>
          <w:tcPr>
            <w:tcW w:w="1592" w:type="pct"/>
            <w:hideMark/>
          </w:tcPr>
          <w:p w14:paraId="487C529C"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Male sex</w:t>
            </w:r>
          </w:p>
        </w:tc>
        <w:tc>
          <w:tcPr>
            <w:tcW w:w="930" w:type="pct"/>
            <w:hideMark/>
          </w:tcPr>
          <w:p w14:paraId="6479FC0B"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-0.10 (0.06)</w:t>
            </w:r>
          </w:p>
        </w:tc>
        <w:tc>
          <w:tcPr>
            <w:tcW w:w="560" w:type="pct"/>
            <w:hideMark/>
          </w:tcPr>
          <w:p w14:paraId="36C715E0"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0.126</w:t>
            </w:r>
          </w:p>
        </w:tc>
        <w:tc>
          <w:tcPr>
            <w:tcW w:w="1148" w:type="pct"/>
            <w:hideMark/>
          </w:tcPr>
          <w:p w14:paraId="0E9F1116"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0.91 (0.81–1.02)</w:t>
            </w:r>
          </w:p>
        </w:tc>
      </w:tr>
      <w:tr w:rsidR="003625A7" w:rsidRPr="00BB330F" w14:paraId="1E885F20" w14:textId="77777777" w:rsidTr="00341AD1">
        <w:tc>
          <w:tcPr>
            <w:cnfStyle w:val="001000000000" w:firstRow="0" w:lastRow="0" w:firstColumn="1" w:lastColumn="0" w:oddVBand="0" w:evenVBand="0" w:oddHBand="0" w:evenHBand="0" w:firstRowFirstColumn="0" w:firstRowLastColumn="0" w:lastRowFirstColumn="0" w:lastRowLastColumn="0"/>
            <w:tcW w:w="770" w:type="pct"/>
            <w:hideMark/>
          </w:tcPr>
          <w:p w14:paraId="6CA3A1F3" w14:textId="77777777" w:rsidR="003625A7" w:rsidRPr="00BB330F" w:rsidRDefault="003625A7" w:rsidP="00341AD1">
            <w:pPr>
              <w:rPr>
                <w:rFonts w:cs="Times New Roman"/>
                <w:color w:val="000000"/>
                <w:sz w:val="20"/>
                <w:szCs w:val="20"/>
              </w:rPr>
            </w:pPr>
          </w:p>
        </w:tc>
        <w:tc>
          <w:tcPr>
            <w:tcW w:w="1592" w:type="pct"/>
            <w:hideMark/>
          </w:tcPr>
          <w:p w14:paraId="5C88CDDA"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eGFR (per ml/min/1.73 m²)</w:t>
            </w:r>
          </w:p>
        </w:tc>
        <w:tc>
          <w:tcPr>
            <w:tcW w:w="930" w:type="pct"/>
            <w:hideMark/>
          </w:tcPr>
          <w:p w14:paraId="074E17AA"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-0.001 (0.002)</w:t>
            </w:r>
          </w:p>
        </w:tc>
        <w:tc>
          <w:tcPr>
            <w:tcW w:w="560" w:type="pct"/>
            <w:hideMark/>
          </w:tcPr>
          <w:p w14:paraId="59EE84B6"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0.678</w:t>
            </w:r>
          </w:p>
        </w:tc>
        <w:tc>
          <w:tcPr>
            <w:tcW w:w="1148" w:type="pct"/>
            <w:hideMark/>
          </w:tcPr>
          <w:p w14:paraId="2E661D8C"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1.00 (0.99–1.00)</w:t>
            </w:r>
          </w:p>
        </w:tc>
      </w:tr>
      <w:tr w:rsidR="003625A7" w:rsidRPr="00BB330F" w14:paraId="67CEE1A9" w14:textId="77777777" w:rsidTr="00341AD1">
        <w:tc>
          <w:tcPr>
            <w:cnfStyle w:val="001000000000" w:firstRow="0" w:lastRow="0" w:firstColumn="1" w:lastColumn="0" w:oddVBand="0" w:evenVBand="0" w:oddHBand="0" w:evenHBand="0" w:firstRowFirstColumn="0" w:firstRowLastColumn="0" w:lastRowFirstColumn="0" w:lastRowLastColumn="0"/>
            <w:tcW w:w="770" w:type="pct"/>
            <w:hideMark/>
          </w:tcPr>
          <w:p w14:paraId="70B60B3D" w14:textId="77777777" w:rsidR="003625A7" w:rsidRPr="00BB330F" w:rsidRDefault="003625A7" w:rsidP="00341AD1">
            <w:pPr>
              <w:rPr>
                <w:rFonts w:cs="Times New Roman"/>
                <w:color w:val="000000"/>
                <w:sz w:val="20"/>
                <w:szCs w:val="20"/>
              </w:rPr>
            </w:pPr>
          </w:p>
        </w:tc>
        <w:tc>
          <w:tcPr>
            <w:tcW w:w="1592" w:type="pct"/>
            <w:hideMark/>
          </w:tcPr>
          <w:p w14:paraId="12DA2158"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Style w:val="Fett"/>
                <w:rFonts w:cs="Times New Roman"/>
                <w:color w:val="000000"/>
                <w:sz w:val="20"/>
                <w:szCs w:val="20"/>
              </w:rPr>
              <w:t>Model fit</w:t>
            </w:r>
          </w:p>
        </w:tc>
        <w:tc>
          <w:tcPr>
            <w:tcW w:w="930" w:type="pct"/>
            <w:hideMark/>
          </w:tcPr>
          <w:p w14:paraId="553DDBF3"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p>
        </w:tc>
        <w:tc>
          <w:tcPr>
            <w:tcW w:w="560" w:type="pct"/>
            <w:hideMark/>
          </w:tcPr>
          <w:p w14:paraId="412BCED9"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148" w:type="pct"/>
            <w:hideMark/>
          </w:tcPr>
          <w:p w14:paraId="48AB1EF1"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Adjusted R² = 0.24</w:t>
            </w:r>
          </w:p>
        </w:tc>
      </w:tr>
      <w:tr w:rsidR="003625A7" w:rsidRPr="00BB330F" w14:paraId="7F7AAFD0" w14:textId="77777777" w:rsidTr="00341AD1">
        <w:tc>
          <w:tcPr>
            <w:cnfStyle w:val="001000000000" w:firstRow="0" w:lastRow="0" w:firstColumn="1" w:lastColumn="0" w:oddVBand="0" w:evenVBand="0" w:oddHBand="0" w:evenHBand="0" w:firstRowFirstColumn="0" w:firstRowLastColumn="0" w:lastRowFirstColumn="0" w:lastRowLastColumn="0"/>
            <w:tcW w:w="770" w:type="pct"/>
            <w:hideMark/>
          </w:tcPr>
          <w:p w14:paraId="06B3EFA2" w14:textId="77777777" w:rsidR="003625A7" w:rsidRPr="00BB330F" w:rsidRDefault="003625A7" w:rsidP="00341AD1">
            <w:pPr>
              <w:rPr>
                <w:rFonts w:cs="Times New Roman"/>
                <w:b w:val="0"/>
                <w:bCs w:val="0"/>
                <w:color w:val="000000"/>
                <w:sz w:val="20"/>
                <w:szCs w:val="20"/>
              </w:rPr>
            </w:pPr>
            <w:r w:rsidRPr="00BB330F">
              <w:rPr>
                <w:rStyle w:val="Fett"/>
                <w:rFonts w:cs="Times New Roman"/>
                <w:b/>
                <w:bCs/>
                <w:color w:val="000000"/>
                <w:sz w:val="20"/>
                <w:szCs w:val="20"/>
              </w:rPr>
              <w:t>GFAP (log)</w:t>
            </w:r>
          </w:p>
        </w:tc>
        <w:tc>
          <w:tcPr>
            <w:tcW w:w="1592" w:type="pct"/>
            <w:hideMark/>
          </w:tcPr>
          <w:p w14:paraId="3FFCC828"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PCS vs recovered</w:t>
            </w:r>
          </w:p>
        </w:tc>
        <w:tc>
          <w:tcPr>
            <w:tcW w:w="930" w:type="pct"/>
            <w:hideMark/>
          </w:tcPr>
          <w:p w14:paraId="5F978A1C"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0.10 (0.07)</w:t>
            </w:r>
          </w:p>
        </w:tc>
        <w:tc>
          <w:tcPr>
            <w:tcW w:w="560" w:type="pct"/>
            <w:hideMark/>
          </w:tcPr>
          <w:p w14:paraId="539A3D5F"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0.183</w:t>
            </w:r>
          </w:p>
        </w:tc>
        <w:tc>
          <w:tcPr>
            <w:tcW w:w="1148" w:type="pct"/>
            <w:hideMark/>
          </w:tcPr>
          <w:p w14:paraId="5F314040"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1.10 (0.93–1.31)</w:t>
            </w:r>
          </w:p>
        </w:tc>
      </w:tr>
      <w:tr w:rsidR="003625A7" w:rsidRPr="00BB330F" w14:paraId="7DE6F81A" w14:textId="77777777" w:rsidTr="00341AD1">
        <w:tc>
          <w:tcPr>
            <w:cnfStyle w:val="001000000000" w:firstRow="0" w:lastRow="0" w:firstColumn="1" w:lastColumn="0" w:oddVBand="0" w:evenVBand="0" w:oddHBand="0" w:evenHBand="0" w:firstRowFirstColumn="0" w:firstRowLastColumn="0" w:lastRowFirstColumn="0" w:lastRowLastColumn="0"/>
            <w:tcW w:w="770" w:type="pct"/>
            <w:hideMark/>
          </w:tcPr>
          <w:p w14:paraId="20B7B33A" w14:textId="77777777" w:rsidR="003625A7" w:rsidRPr="00BB330F" w:rsidRDefault="003625A7" w:rsidP="00341AD1">
            <w:pPr>
              <w:rPr>
                <w:rFonts w:cs="Times New Roman"/>
                <w:color w:val="000000"/>
                <w:sz w:val="20"/>
                <w:szCs w:val="20"/>
              </w:rPr>
            </w:pPr>
          </w:p>
        </w:tc>
        <w:tc>
          <w:tcPr>
            <w:tcW w:w="1592" w:type="pct"/>
            <w:hideMark/>
          </w:tcPr>
          <w:p w14:paraId="42638ADE"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Age (per year)</w:t>
            </w:r>
          </w:p>
        </w:tc>
        <w:tc>
          <w:tcPr>
            <w:tcW w:w="930" w:type="pct"/>
            <w:hideMark/>
          </w:tcPr>
          <w:p w14:paraId="7FD33578"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0.010 (0.004)</w:t>
            </w:r>
          </w:p>
        </w:tc>
        <w:tc>
          <w:tcPr>
            <w:tcW w:w="560" w:type="pct"/>
            <w:hideMark/>
          </w:tcPr>
          <w:p w14:paraId="64B74017"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b/>
                <w:bCs/>
                <w:color w:val="000000"/>
                <w:sz w:val="20"/>
                <w:szCs w:val="20"/>
              </w:rPr>
            </w:pPr>
            <w:r w:rsidRPr="00BB330F">
              <w:rPr>
                <w:rFonts w:cs="Times New Roman"/>
                <w:b/>
                <w:bCs/>
                <w:color w:val="000000"/>
                <w:sz w:val="20"/>
                <w:szCs w:val="20"/>
              </w:rPr>
              <w:t>0.006</w:t>
            </w:r>
          </w:p>
        </w:tc>
        <w:tc>
          <w:tcPr>
            <w:tcW w:w="1148" w:type="pct"/>
            <w:hideMark/>
          </w:tcPr>
          <w:p w14:paraId="6522AA2A"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1.01 (1.00–1.02)</w:t>
            </w:r>
          </w:p>
        </w:tc>
      </w:tr>
      <w:tr w:rsidR="003625A7" w:rsidRPr="00BB330F" w14:paraId="3928241E" w14:textId="77777777" w:rsidTr="00341AD1">
        <w:tc>
          <w:tcPr>
            <w:cnfStyle w:val="001000000000" w:firstRow="0" w:lastRow="0" w:firstColumn="1" w:lastColumn="0" w:oddVBand="0" w:evenVBand="0" w:oddHBand="0" w:evenHBand="0" w:firstRowFirstColumn="0" w:firstRowLastColumn="0" w:lastRowFirstColumn="0" w:lastRowLastColumn="0"/>
            <w:tcW w:w="770" w:type="pct"/>
            <w:hideMark/>
          </w:tcPr>
          <w:p w14:paraId="20C8FE66" w14:textId="77777777" w:rsidR="003625A7" w:rsidRPr="00BB330F" w:rsidRDefault="003625A7" w:rsidP="00341AD1">
            <w:pPr>
              <w:rPr>
                <w:rFonts w:cs="Times New Roman"/>
                <w:color w:val="000000"/>
                <w:sz w:val="20"/>
                <w:szCs w:val="20"/>
              </w:rPr>
            </w:pPr>
          </w:p>
        </w:tc>
        <w:tc>
          <w:tcPr>
            <w:tcW w:w="1592" w:type="pct"/>
            <w:hideMark/>
          </w:tcPr>
          <w:p w14:paraId="59D459C2"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Male sex</w:t>
            </w:r>
          </w:p>
        </w:tc>
        <w:tc>
          <w:tcPr>
            <w:tcW w:w="930" w:type="pct"/>
            <w:hideMark/>
          </w:tcPr>
          <w:p w14:paraId="428444FD"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-0.13 (0.07)</w:t>
            </w:r>
          </w:p>
        </w:tc>
        <w:tc>
          <w:tcPr>
            <w:tcW w:w="560" w:type="pct"/>
            <w:hideMark/>
          </w:tcPr>
          <w:p w14:paraId="67576BC2"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0.082</w:t>
            </w:r>
          </w:p>
        </w:tc>
        <w:tc>
          <w:tcPr>
            <w:tcW w:w="1148" w:type="pct"/>
            <w:hideMark/>
          </w:tcPr>
          <w:p w14:paraId="1FCDE71E"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0.88 (0.77–1.01)</w:t>
            </w:r>
          </w:p>
        </w:tc>
      </w:tr>
      <w:tr w:rsidR="003625A7" w:rsidRPr="00BB330F" w14:paraId="60C77485" w14:textId="77777777" w:rsidTr="00341AD1">
        <w:tc>
          <w:tcPr>
            <w:cnfStyle w:val="001000000000" w:firstRow="0" w:lastRow="0" w:firstColumn="1" w:lastColumn="0" w:oddVBand="0" w:evenVBand="0" w:oddHBand="0" w:evenHBand="0" w:firstRowFirstColumn="0" w:firstRowLastColumn="0" w:lastRowFirstColumn="0" w:lastRowLastColumn="0"/>
            <w:tcW w:w="770" w:type="pct"/>
            <w:hideMark/>
          </w:tcPr>
          <w:p w14:paraId="53FE71E8" w14:textId="77777777" w:rsidR="003625A7" w:rsidRPr="00BB330F" w:rsidRDefault="003625A7" w:rsidP="00341AD1">
            <w:pPr>
              <w:rPr>
                <w:rFonts w:cs="Times New Roman"/>
                <w:color w:val="000000"/>
                <w:sz w:val="20"/>
                <w:szCs w:val="20"/>
              </w:rPr>
            </w:pPr>
          </w:p>
        </w:tc>
        <w:tc>
          <w:tcPr>
            <w:tcW w:w="1592" w:type="pct"/>
            <w:hideMark/>
          </w:tcPr>
          <w:p w14:paraId="6364B768"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eGFR (per ml/min/1.73 m²)</w:t>
            </w:r>
          </w:p>
        </w:tc>
        <w:tc>
          <w:tcPr>
            <w:tcW w:w="930" w:type="pct"/>
            <w:hideMark/>
          </w:tcPr>
          <w:p w14:paraId="29DD00BA"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-0.003 (0.002)</w:t>
            </w:r>
          </w:p>
        </w:tc>
        <w:tc>
          <w:tcPr>
            <w:tcW w:w="560" w:type="pct"/>
            <w:hideMark/>
          </w:tcPr>
          <w:p w14:paraId="1E71A149"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0.239</w:t>
            </w:r>
          </w:p>
        </w:tc>
        <w:tc>
          <w:tcPr>
            <w:tcW w:w="1148" w:type="pct"/>
            <w:hideMark/>
          </w:tcPr>
          <w:p w14:paraId="08452C77"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1.00 (0.99–1.01)</w:t>
            </w:r>
          </w:p>
        </w:tc>
      </w:tr>
      <w:tr w:rsidR="003625A7" w:rsidRPr="00BB330F" w14:paraId="0FA8EC90" w14:textId="77777777" w:rsidTr="00341AD1">
        <w:tc>
          <w:tcPr>
            <w:cnfStyle w:val="001000000000" w:firstRow="0" w:lastRow="0" w:firstColumn="1" w:lastColumn="0" w:oddVBand="0" w:evenVBand="0" w:oddHBand="0" w:evenHBand="0" w:firstRowFirstColumn="0" w:firstRowLastColumn="0" w:lastRowFirstColumn="0" w:lastRowLastColumn="0"/>
            <w:tcW w:w="770" w:type="pct"/>
            <w:hideMark/>
          </w:tcPr>
          <w:p w14:paraId="5ECE015C" w14:textId="77777777" w:rsidR="003625A7" w:rsidRPr="00BB330F" w:rsidRDefault="003625A7" w:rsidP="00341AD1">
            <w:pPr>
              <w:rPr>
                <w:rFonts w:cs="Times New Roman"/>
                <w:color w:val="000000"/>
                <w:sz w:val="20"/>
                <w:szCs w:val="20"/>
              </w:rPr>
            </w:pPr>
          </w:p>
        </w:tc>
        <w:tc>
          <w:tcPr>
            <w:tcW w:w="1592" w:type="pct"/>
            <w:hideMark/>
          </w:tcPr>
          <w:p w14:paraId="2017079B"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Style w:val="Fett"/>
                <w:rFonts w:cs="Times New Roman"/>
                <w:color w:val="000000"/>
                <w:sz w:val="20"/>
                <w:szCs w:val="20"/>
              </w:rPr>
              <w:t>Model fit</w:t>
            </w:r>
          </w:p>
        </w:tc>
        <w:tc>
          <w:tcPr>
            <w:tcW w:w="930" w:type="pct"/>
            <w:hideMark/>
          </w:tcPr>
          <w:p w14:paraId="2E8B8F57"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p>
        </w:tc>
        <w:tc>
          <w:tcPr>
            <w:tcW w:w="560" w:type="pct"/>
            <w:hideMark/>
          </w:tcPr>
          <w:p w14:paraId="3B06C1C4" w14:textId="77777777" w:rsidR="003625A7" w:rsidRPr="00BB330F" w:rsidRDefault="003625A7" w:rsidP="00341AD1">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148" w:type="pct"/>
            <w:hideMark/>
          </w:tcPr>
          <w:p w14:paraId="0D4448C9" w14:textId="77777777" w:rsidR="003625A7" w:rsidRPr="00BB330F" w:rsidRDefault="003625A7" w:rsidP="00341AD1">
            <w:pPr>
              <w:keepNext/>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B330F">
              <w:rPr>
                <w:rFonts w:cs="Times New Roman"/>
                <w:color w:val="000000"/>
                <w:sz w:val="20"/>
                <w:szCs w:val="20"/>
              </w:rPr>
              <w:t>Adjusted R² = 0.19</w:t>
            </w:r>
          </w:p>
        </w:tc>
      </w:tr>
    </w:tbl>
    <w:p w14:paraId="5E8803DD" w14:textId="23370E4A" w:rsidR="003625A7" w:rsidRPr="004D6A33" w:rsidRDefault="003625A7" w:rsidP="003625A7">
      <w:pPr>
        <w:pStyle w:val="Manuskript"/>
        <w:rPr>
          <w:rFonts w:ascii="Times New Roman" w:hAnsi="Times New Roman" w:cs="Times New Roman"/>
        </w:rPr>
      </w:pPr>
      <w:r w:rsidRPr="004D6A33">
        <w:rPr>
          <w:rFonts w:ascii="Times New Roman" w:hAnsi="Times New Roman" w:cs="Times New Roman"/>
          <w:b/>
          <w:bCs/>
        </w:rPr>
        <w:t xml:space="preserve">Supplementary Table </w:t>
      </w:r>
      <w:r w:rsidRPr="004D6A33">
        <w:rPr>
          <w:rFonts w:ascii="Times New Roman" w:hAnsi="Times New Roman" w:cs="Times New Roman"/>
          <w:b/>
          <w:bCs/>
        </w:rPr>
        <w:fldChar w:fldCharType="begin"/>
      </w:r>
      <w:r w:rsidRPr="004D6A33">
        <w:rPr>
          <w:rFonts w:ascii="Times New Roman" w:hAnsi="Times New Roman" w:cs="Times New Roman"/>
          <w:b/>
          <w:bCs/>
        </w:rPr>
        <w:instrText xml:space="preserve"> SEQ Supplementary_Table \* ARABIC </w:instrText>
      </w:r>
      <w:r w:rsidRPr="004D6A33">
        <w:rPr>
          <w:rFonts w:ascii="Times New Roman" w:hAnsi="Times New Roman" w:cs="Times New Roman"/>
          <w:b/>
          <w:bCs/>
        </w:rPr>
        <w:fldChar w:fldCharType="separate"/>
      </w:r>
      <w:r w:rsidR="00FE267B">
        <w:rPr>
          <w:rFonts w:ascii="Times New Roman" w:hAnsi="Times New Roman" w:cs="Times New Roman"/>
          <w:b/>
          <w:bCs/>
          <w:noProof/>
        </w:rPr>
        <w:t>11</w:t>
      </w:r>
      <w:r w:rsidRPr="004D6A33">
        <w:rPr>
          <w:rFonts w:ascii="Times New Roman" w:hAnsi="Times New Roman" w:cs="Times New Roman"/>
          <w:b/>
          <w:bCs/>
        </w:rPr>
        <w:fldChar w:fldCharType="end"/>
      </w:r>
      <w:r w:rsidRPr="004D6A33">
        <w:rPr>
          <w:rFonts w:ascii="Times New Roman" w:hAnsi="Times New Roman" w:cs="Times New Roman"/>
        </w:rPr>
        <w:t xml:space="preserve"> Values are regression coefficients (β) with standard errors (SE) from linear models fitted on the log scale. GMR = geometric mean ratio. For PCS patients, FU biomarker values were analyzed; for recovered controls, BL values were used. Sex was coded as male versus female (reference).</w:t>
      </w:r>
    </w:p>
    <w:p w14:paraId="223478EF" w14:textId="0DEDB2D3" w:rsidR="009823D2" w:rsidRDefault="003625A7" w:rsidP="009823D2">
      <w:r w:rsidRPr="00BB330F">
        <w:t>Exploratory correlation analyses revealed no significant associations between NFL and GFAP and HGS parameters, including Fmean, Fatigue Ratio, and Recovery, at either BL or FU</w:t>
      </w:r>
      <w:r w:rsidR="00FE267B">
        <w:t xml:space="preserve"> (Supplementary Figure 3)</w:t>
      </w:r>
      <w:r w:rsidRPr="00BB330F">
        <w:t xml:space="preserve">. Correlation coefficients were consistently small and did not reach statistical significance, </w:t>
      </w:r>
      <w:r w:rsidRPr="00BB330F">
        <w:lastRenderedPageBreak/>
        <w:t>indicating that circulating neuroaxonal injury markers were not directly related to peripheral muscle function in this PCS cohort.</w:t>
      </w:r>
    </w:p>
    <w:p w14:paraId="2D68125E" w14:textId="26EB0BE8" w:rsidR="003625A7" w:rsidRPr="009823D2" w:rsidRDefault="009823D2" w:rsidP="009823D2">
      <w:r>
        <w:rPr>
          <w:noProof/>
        </w:rPr>
        <w:drawing>
          <wp:inline distT="0" distB="0" distL="0" distR="0" wp14:anchorId="4A7E1F41" wp14:editId="10ADB600">
            <wp:extent cx="6206453" cy="2637155"/>
            <wp:effectExtent l="0" t="0" r="4445" b="4445"/>
            <wp:docPr id="1693146164"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146164" name="Grafik 1693146164"/>
                    <pic:cNvPicPr/>
                  </pic:nvPicPr>
                  <pic:blipFill rotWithShape="1">
                    <a:blip r:embed="rId9">
                      <a:extLst>
                        <a:ext uri="{28A0092B-C50C-407E-A947-70E740481C1C}">
                          <a14:useLocalDpi xmlns:a14="http://schemas.microsoft.com/office/drawing/2010/main" val="0"/>
                        </a:ext>
                      </a:extLst>
                    </a:blip>
                    <a:srcRect t="21447" b="11711"/>
                    <a:stretch>
                      <a:fillRect/>
                    </a:stretch>
                  </pic:blipFill>
                  <pic:spPr bwMode="auto">
                    <a:xfrm>
                      <a:off x="0" y="0"/>
                      <a:ext cx="6208395" cy="2637980"/>
                    </a:xfrm>
                    <a:prstGeom prst="rect">
                      <a:avLst/>
                    </a:prstGeom>
                    <a:ln>
                      <a:noFill/>
                    </a:ln>
                    <a:extLst>
                      <a:ext uri="{53640926-AAD7-44D8-BBD7-CCE9431645EC}">
                        <a14:shadowObscured xmlns:a14="http://schemas.microsoft.com/office/drawing/2010/main"/>
                      </a:ext>
                    </a:extLst>
                  </pic:spPr>
                </pic:pic>
              </a:graphicData>
            </a:graphic>
          </wp:inline>
        </w:drawing>
      </w:r>
    </w:p>
    <w:p w14:paraId="7D8EE4E5" w14:textId="1675AB93" w:rsidR="002E1ED8" w:rsidRPr="003625A7" w:rsidRDefault="003625A7" w:rsidP="003625A7">
      <w:pPr>
        <w:pStyle w:val="Beschriftung1"/>
        <w:rPr>
          <w:rFonts w:ascii="Times New Roman" w:hAnsi="Times New Roman" w:cs="Times New Roman"/>
          <w:sz w:val="24"/>
          <w:szCs w:val="24"/>
        </w:rPr>
      </w:pPr>
      <w:r w:rsidRPr="0054367B">
        <w:rPr>
          <w:rFonts w:ascii="Times New Roman" w:hAnsi="Times New Roman" w:cs="Times New Roman"/>
          <w:b/>
          <w:bCs/>
          <w:sz w:val="24"/>
          <w:szCs w:val="24"/>
        </w:rPr>
        <w:t xml:space="preserve">Supplementary Figure </w:t>
      </w:r>
      <w:r w:rsidRPr="0054367B">
        <w:rPr>
          <w:rFonts w:ascii="Times New Roman" w:hAnsi="Times New Roman" w:cs="Times New Roman"/>
          <w:b/>
          <w:bCs/>
          <w:sz w:val="24"/>
          <w:szCs w:val="24"/>
        </w:rPr>
        <w:fldChar w:fldCharType="begin"/>
      </w:r>
      <w:r w:rsidRPr="0054367B">
        <w:rPr>
          <w:rFonts w:ascii="Times New Roman" w:hAnsi="Times New Roman" w:cs="Times New Roman"/>
          <w:b/>
          <w:bCs/>
          <w:sz w:val="24"/>
          <w:szCs w:val="24"/>
        </w:rPr>
        <w:instrText xml:space="preserve"> SEQ Supplementary_Figure \* ARABIC </w:instrText>
      </w:r>
      <w:r w:rsidRPr="0054367B">
        <w:rPr>
          <w:rFonts w:ascii="Times New Roman" w:hAnsi="Times New Roman" w:cs="Times New Roman"/>
          <w:b/>
          <w:bCs/>
          <w:sz w:val="24"/>
          <w:szCs w:val="24"/>
        </w:rPr>
        <w:fldChar w:fldCharType="separate"/>
      </w:r>
      <w:r w:rsidR="00FE267B">
        <w:rPr>
          <w:rFonts w:ascii="Times New Roman" w:hAnsi="Times New Roman" w:cs="Times New Roman"/>
          <w:b/>
          <w:bCs/>
          <w:noProof/>
          <w:sz w:val="24"/>
          <w:szCs w:val="24"/>
        </w:rPr>
        <w:t>3</w:t>
      </w:r>
      <w:r w:rsidRPr="0054367B">
        <w:rPr>
          <w:rFonts w:ascii="Times New Roman" w:hAnsi="Times New Roman" w:cs="Times New Roman"/>
          <w:b/>
          <w:bCs/>
          <w:sz w:val="24"/>
          <w:szCs w:val="24"/>
        </w:rPr>
        <w:fldChar w:fldCharType="end"/>
      </w:r>
      <w:r w:rsidRPr="0054367B">
        <w:rPr>
          <w:rFonts w:ascii="Times New Roman" w:hAnsi="Times New Roman" w:cs="Times New Roman"/>
          <w:sz w:val="24"/>
          <w:szCs w:val="24"/>
        </w:rPr>
        <w:t xml:space="preserve"> Heatmaps display Spearman’s correlation coefficients (ρ) between serum neurofilament light chain (NFL) and glial fibrillary acidic protein (GFAP) and handgrip strength parameters (Fmean, fatigue ratio, and recovery) assessed at BL and six-month follow-up. Numbers indicate Spearman’s ρ; asterisks denote unadjusted significance (* p &lt; 0.05). </w:t>
      </w:r>
    </w:p>
    <w:sectPr w:rsidR="002E1ED8" w:rsidRPr="003625A7" w:rsidSect="00CD567B">
      <w:footerReference w:type="even" r:id="rId10"/>
      <w:footerReference w:type="default" r:id="rId11"/>
      <w:headerReference w:type="first" r:id="rId12"/>
      <w:pgSz w:w="12240" w:h="15840"/>
      <w:pgMar w:top="1138" w:right="1181" w:bottom="1138" w:left="1282" w:header="283" w:footer="51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098B3" w14:textId="77777777" w:rsidR="00E3545E" w:rsidRDefault="00E3545E" w:rsidP="00CD567B">
      <w:pPr>
        <w:spacing w:before="0" w:after="0"/>
      </w:pPr>
      <w:r>
        <w:separator/>
      </w:r>
    </w:p>
  </w:endnote>
  <w:endnote w:type="continuationSeparator" w:id="0">
    <w:p w14:paraId="46913902" w14:textId="77777777" w:rsidR="00E3545E" w:rsidRDefault="00E3545E" w:rsidP="00CD567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Textkörper CS)">
    <w:altName w:val="Times New Roman"/>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DCB9B" w14:textId="77777777" w:rsidR="00C004A9" w:rsidRPr="00577C4C" w:rsidRDefault="00000000">
    <w:pPr>
      <w:pStyle w:val="Fuzeile"/>
      <w:rPr>
        <w:color w:val="C00000"/>
        <w:szCs w:val="24"/>
      </w:rPr>
    </w:pPr>
    <w:r w:rsidRPr="00577C4C">
      <w:rPr>
        <w:noProof/>
        <w:color w:val="C00000"/>
        <w:szCs w:val="24"/>
        <w:lang w:val="en-GB" w:eastAsia="en-GB"/>
      </w:rPr>
      <mc:AlternateContent>
        <mc:Choice Requires="wps">
          <w:drawing>
            <wp:anchor distT="0" distB="0" distL="114300" distR="114300" simplePos="0" relativeHeight="251661312" behindDoc="0" locked="0" layoutInCell="1" allowOverlap="1" wp14:anchorId="10B7FD41" wp14:editId="7D7B5763">
              <wp:simplePos x="0" y="0"/>
              <wp:positionH relativeFrom="column">
                <wp:posOffset>-108280</wp:posOffset>
              </wp:positionH>
              <wp:positionV relativeFrom="paragraph">
                <wp:posOffset>-58420</wp:posOffset>
              </wp:positionV>
              <wp:extent cx="3672231" cy="1403985"/>
              <wp:effectExtent l="0" t="0" r="444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231" cy="1403985"/>
                      </a:xfrm>
                      <a:prstGeom prst="rect">
                        <a:avLst/>
                      </a:prstGeom>
                      <a:solidFill>
                        <a:srgbClr val="FFFFFF"/>
                      </a:solidFill>
                      <a:ln w="9525">
                        <a:noFill/>
                        <a:miter lim="800000"/>
                        <a:headEnd/>
                        <a:tailEnd/>
                      </a:ln>
                    </wps:spPr>
                    <wps:txbx>
                      <w:txbxContent>
                        <w:p w14:paraId="7E4DEFA6" w14:textId="77777777" w:rsidR="00C004A9" w:rsidRPr="00E9561B" w:rsidRDefault="00000000">
                          <w:pPr>
                            <w:rPr>
                              <w:color w:val="C00000"/>
                            </w:rPr>
                          </w:pPr>
                          <w:r w:rsidRPr="00E9561B">
                            <w:rPr>
                              <w:color w:val="C00000"/>
                            </w:rPr>
                            <w:t>This is a provisional file, not the final typeset article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B7FD41" id="_x0000_t202" coordsize="21600,21600" o:spt="202" path="m,l,21600r21600,l21600,xe">
              <v:stroke joinstyle="miter"/>
              <v:path gradientshapeok="t" o:connecttype="rect"/>
            </v:shapetype>
            <v:shape id="Text Box 2" o:spid="_x0000_s1026" type="#_x0000_t202" style="position:absolute;margin-left:-8.55pt;margin-top:-4.6pt;width:289.1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" stroked="f">
              <v:textbox style="mso-fit-shape-to-text:t">
                <w:txbxContent>
                  <w:p w14:paraId="7E4DEFA6" w14:textId="77777777" w:rsidR="00C004A9" w:rsidRPr="00E9561B" w:rsidRDefault="00000000">
                    <w:pPr>
                      <w:rPr>
                        <w:color w:val="C00000"/>
                      </w:rPr>
                    </w:pPr>
                    <w:r w:rsidRPr="00E9561B">
                      <w:rPr>
                        <w:color w:val="C00000"/>
                      </w:rPr>
                      <w:t>This is a provisional file, not the final typeset article</w:t>
                    </w:r>
                  </w:p>
                </w:txbxContent>
              </v:textbox>
            </v:shape>
          </w:pict>
        </mc:Fallback>
      </mc:AlternateContent>
    </w:r>
    <w:r>
      <w:rPr>
        <w:noProof/>
        <w:lang w:val="en-GB" w:eastAsia="en-GB"/>
      </w:rPr>
      <mc:AlternateContent>
        <mc:Choice Requires="wps">
          <w:drawing>
            <wp:anchor distT="0" distB="0" distL="114300" distR="114300" simplePos="0" relativeHeight="251660288" behindDoc="0" locked="0" layoutInCell="1" allowOverlap="1" wp14:anchorId="7FD47AAE" wp14:editId="15735FDF">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1EAEFDFE" w14:textId="77777777" w:rsidR="00C004A9" w:rsidRPr="00577C4C" w:rsidRDefault="00000000">
                          <w:pPr>
                            <w:pStyle w:val="Fuzeile"/>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Pr="0088513A">
                            <w:rPr>
                              <w:noProof/>
                              <w:color w:val="000000" w:themeColor="text1"/>
                              <w:sz w:val="22"/>
                              <w:szCs w:val="40"/>
                            </w:rPr>
                            <w:t>4</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FD47AAE" id="Text Box 1" o:spid="_x0000_s1027" type="#_x0000_t202" style="position:absolute;margin-left:67.6pt;margin-top:0;width:118.8pt;height:31.15pt;z-index:251660288;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" filled="f" stroked="f" strokeweight=".5pt">
              <v:textbox style="mso-fit-shape-to-text:t">
                <w:txbxContent>
                  <w:p w14:paraId="1EAEFDFE" w14:textId="77777777" w:rsidR="00C004A9" w:rsidRPr="00577C4C" w:rsidRDefault="00000000">
                    <w:pPr>
                      <w:pStyle w:val="Fuzeile"/>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Pr="0088513A">
                      <w:rPr>
                        <w:noProof/>
                        <w:color w:val="000000" w:themeColor="text1"/>
                        <w:sz w:val="22"/>
                        <w:szCs w:val="40"/>
                      </w:rPr>
                      <w:t>4</w:t>
                    </w:r>
                    <w:r w:rsidRPr="00577C4C">
                      <w:rPr>
                        <w:color w:val="000000" w:themeColor="text1"/>
                        <w:szCs w:val="40"/>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D2876" w14:textId="77777777" w:rsidR="00C004A9" w:rsidRPr="00577C4C" w:rsidRDefault="00000000">
    <w:pPr>
      <w:pStyle w:val="Fuzeile"/>
      <w:rPr>
        <w:b/>
        <w:sz w:val="20"/>
        <w:szCs w:val="24"/>
      </w:rPr>
    </w:pPr>
    <w:r>
      <w:rPr>
        <w:noProof/>
        <w:lang w:val="en-GB" w:eastAsia="en-GB"/>
      </w:rPr>
      <mc:AlternateContent>
        <mc:Choice Requires="wps">
          <w:drawing>
            <wp:anchor distT="0" distB="0" distL="114300" distR="114300" simplePos="0" relativeHeight="251659264" behindDoc="0" locked="0" layoutInCell="1" allowOverlap="1" wp14:anchorId="0631AED4" wp14:editId="3B0CB310">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1032F981" w14:textId="77777777" w:rsidR="00C004A9" w:rsidRPr="00577C4C" w:rsidRDefault="00000000">
                          <w:pPr>
                            <w:pStyle w:val="Fuzeile"/>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Pr="0088513A">
                            <w:rPr>
                              <w:noProof/>
                              <w:color w:val="000000" w:themeColor="text1"/>
                              <w:sz w:val="22"/>
                              <w:szCs w:val="40"/>
                            </w:rPr>
                            <w:t>3</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631AED4" id="_x0000_t202" coordsize="21600,21600" o:spt="202" path="m,l,21600r21600,l21600,xe">
              <v:stroke joinstyle="miter"/>
              <v:path gradientshapeok="t" o:connecttype="rect"/>
            </v:shapetype>
            <v:shape id="Text Box 56" o:spid="_x0000_s1028"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" filled="f" stroked="f" strokeweight=".5pt">
              <v:textbox style="mso-fit-shape-to-text:t">
                <w:txbxContent>
                  <w:p w14:paraId="1032F981" w14:textId="77777777" w:rsidR="00C004A9" w:rsidRPr="00577C4C" w:rsidRDefault="00000000">
                    <w:pPr>
                      <w:pStyle w:val="Fuzeile"/>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Pr="0088513A">
                      <w:rPr>
                        <w:noProof/>
                        <w:color w:val="000000" w:themeColor="text1"/>
                        <w:sz w:val="22"/>
                        <w:szCs w:val="40"/>
                      </w:rPr>
                      <w:t>3</w:t>
                    </w:r>
                    <w:r w:rsidRPr="00577C4C">
                      <w:rPr>
                        <w:color w:val="000000" w:themeColor="text1"/>
                        <w:szCs w:val="4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B0617" w14:textId="77777777" w:rsidR="00E3545E" w:rsidRDefault="00E3545E" w:rsidP="00CD567B">
      <w:pPr>
        <w:spacing w:before="0" w:after="0"/>
      </w:pPr>
      <w:r>
        <w:separator/>
      </w:r>
    </w:p>
  </w:footnote>
  <w:footnote w:type="continuationSeparator" w:id="0">
    <w:p w14:paraId="1EDA4597" w14:textId="77777777" w:rsidR="00E3545E" w:rsidRDefault="00E3545E" w:rsidP="00CD567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770AC" w14:textId="77777777" w:rsidR="00C004A9" w:rsidRDefault="00000000" w:rsidP="00A53000">
    <w:pPr>
      <w:pStyle w:val="Kopfzeile"/>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7666"/>
    <w:multiLevelType w:val="multilevel"/>
    <w:tmpl w:val="615EAD26"/>
    <w:lvl w:ilvl="0">
      <w:start w:val="1"/>
      <w:numFmt w:val="decimal"/>
      <w:lvlText w:val="%1."/>
      <w:lvlJc w:val="left"/>
      <w:pPr>
        <w:ind w:left="0" w:firstLine="0"/>
      </w:pPr>
      <w:rPr>
        <w:rFonts w:hint="default"/>
        <w:b/>
        <w:lang w:val="en-G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4746B0"/>
    <w:multiLevelType w:val="multilevel"/>
    <w:tmpl w:val="062AF76A"/>
    <w:numStyleLink w:val="Headings"/>
  </w:abstractNum>
  <w:abstractNum w:abstractNumId="2" w15:restartNumberingAfterBreak="0">
    <w:nsid w:val="0EDF3AB7"/>
    <w:multiLevelType w:val="hybridMultilevel"/>
    <w:tmpl w:val="8E5C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D47E1"/>
    <w:multiLevelType w:val="multilevel"/>
    <w:tmpl w:val="062AF76A"/>
    <w:numStyleLink w:val="Headings"/>
  </w:abstractNum>
  <w:abstractNum w:abstractNumId="4" w15:restartNumberingAfterBreak="0">
    <w:nsid w:val="11966C22"/>
    <w:multiLevelType w:val="multilevel"/>
    <w:tmpl w:val="062AF76A"/>
    <w:numStyleLink w:val="Headings"/>
  </w:abstractNum>
  <w:abstractNum w:abstractNumId="5" w15:restartNumberingAfterBreak="0">
    <w:nsid w:val="1581228D"/>
    <w:multiLevelType w:val="multilevel"/>
    <w:tmpl w:val="7EDE9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C0601A"/>
    <w:multiLevelType w:val="multilevel"/>
    <w:tmpl w:val="062AF76A"/>
    <w:styleLink w:val="Headings"/>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7" w15:restartNumberingAfterBreak="0">
    <w:nsid w:val="30B140DC"/>
    <w:multiLevelType w:val="multilevel"/>
    <w:tmpl w:val="0407001F"/>
    <w:numStyleLink w:val="111111"/>
  </w:abstractNum>
  <w:abstractNum w:abstractNumId="8" w15:restartNumberingAfterBreak="0">
    <w:nsid w:val="36255CE2"/>
    <w:multiLevelType w:val="multilevel"/>
    <w:tmpl w:val="062AF76A"/>
    <w:numStyleLink w:val="Headings"/>
  </w:abstractNum>
  <w:abstractNum w:abstractNumId="9" w15:restartNumberingAfterBreak="0">
    <w:nsid w:val="3EF15965"/>
    <w:multiLevelType w:val="multilevel"/>
    <w:tmpl w:val="062AF76A"/>
    <w:numStyleLink w:val="Headings"/>
  </w:abstractNum>
  <w:abstractNum w:abstractNumId="10" w15:restartNumberingAfterBreak="0">
    <w:nsid w:val="4514415B"/>
    <w:multiLevelType w:val="multilevel"/>
    <w:tmpl w:val="0407001F"/>
    <w:styleLink w:val="111111"/>
    <w:lvl w:ilvl="0">
      <w:start w:val="1"/>
      <w:numFmt w:val="decimal"/>
      <w:pStyle w:val="berschrift1"/>
      <w:lvlText w:val="%1."/>
      <w:lvlJc w:val="left"/>
      <w:pPr>
        <w:ind w:left="360" w:hanging="360"/>
      </w:pPr>
    </w:lvl>
    <w:lvl w:ilvl="1">
      <w:start w:val="1"/>
      <w:numFmt w:val="decimal"/>
      <w:pStyle w:val="berschrift2"/>
      <w:lvlText w:val="%1.%2."/>
      <w:lvlJc w:val="left"/>
      <w:pPr>
        <w:ind w:left="792" w:hanging="432"/>
      </w:pPr>
    </w:lvl>
    <w:lvl w:ilvl="2">
      <w:start w:val="1"/>
      <w:numFmt w:val="decimal"/>
      <w:pStyle w:val="berschrift3"/>
      <w:lvlText w:val="%1.%2.%3."/>
      <w:lvlJc w:val="left"/>
      <w:pPr>
        <w:ind w:left="1224" w:hanging="504"/>
      </w:pPr>
    </w:lvl>
    <w:lvl w:ilvl="3">
      <w:start w:val="1"/>
      <w:numFmt w:val="decimal"/>
      <w:pStyle w:val="berschrift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6944EC2"/>
    <w:multiLevelType w:val="multilevel"/>
    <w:tmpl w:val="65587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54750A"/>
    <w:multiLevelType w:val="multilevel"/>
    <w:tmpl w:val="0407001F"/>
    <w:numStyleLink w:val="111111"/>
  </w:abstractNum>
  <w:abstractNum w:abstractNumId="13" w15:restartNumberingAfterBreak="0">
    <w:nsid w:val="4EBF446F"/>
    <w:multiLevelType w:val="multilevel"/>
    <w:tmpl w:val="062AF76A"/>
    <w:numStyleLink w:val="Headings"/>
  </w:abstractNum>
  <w:abstractNum w:abstractNumId="14" w15:restartNumberingAfterBreak="0">
    <w:nsid w:val="549F1D82"/>
    <w:multiLevelType w:val="hybridMultilevel"/>
    <w:tmpl w:val="734A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027BEE"/>
    <w:multiLevelType w:val="multilevel"/>
    <w:tmpl w:val="37868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0C0CE1"/>
    <w:multiLevelType w:val="multilevel"/>
    <w:tmpl w:val="0407001F"/>
    <w:numStyleLink w:val="111111"/>
  </w:abstractNum>
  <w:abstractNum w:abstractNumId="17" w15:restartNumberingAfterBreak="0">
    <w:nsid w:val="657874BC"/>
    <w:multiLevelType w:val="multilevel"/>
    <w:tmpl w:val="0407001F"/>
    <w:numStyleLink w:val="111111"/>
  </w:abstractNum>
  <w:abstractNum w:abstractNumId="18" w15:restartNumberingAfterBreak="0">
    <w:nsid w:val="683E6C4F"/>
    <w:multiLevelType w:val="hybridMultilevel"/>
    <w:tmpl w:val="E39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173C1D"/>
    <w:multiLevelType w:val="multilevel"/>
    <w:tmpl w:val="61DCC3B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20" w15:restartNumberingAfterBreak="0">
    <w:nsid w:val="6F6C5F7B"/>
    <w:multiLevelType w:val="multilevel"/>
    <w:tmpl w:val="0407001F"/>
    <w:numStyleLink w:val="111111"/>
  </w:abstractNum>
  <w:abstractNum w:abstractNumId="21" w15:restartNumberingAfterBreak="0">
    <w:nsid w:val="71047510"/>
    <w:multiLevelType w:val="multilevel"/>
    <w:tmpl w:val="062AF76A"/>
    <w:numStyleLink w:val="Headings"/>
  </w:abstractNum>
  <w:num w:numId="1" w16cid:durableId="2002923295">
    <w:abstractNumId w:val="6"/>
    <w:lvlOverride w:ilvl="0">
      <w:lvl w:ilvl="0">
        <w:start w:val="1"/>
        <w:numFmt w:val="decimal"/>
        <w:lvlText w:val="%1"/>
        <w:lvlJc w:val="left"/>
        <w:pPr>
          <w:tabs>
            <w:tab w:val="num" w:pos="567"/>
          </w:tabs>
          <w:ind w:left="567" w:hanging="567"/>
        </w:pPr>
        <w:rPr>
          <w:rFonts w:hint="default"/>
        </w:rPr>
      </w:lvl>
    </w:lvlOverride>
    <w:lvlOverride w:ilvl="1">
      <w:lvl w:ilvl="1">
        <w:start w:val="1"/>
        <w:numFmt w:val="decimal"/>
        <w:lvlText w:val="%1.%2"/>
        <w:lvlJc w:val="left"/>
        <w:pPr>
          <w:tabs>
            <w:tab w:val="num" w:pos="567"/>
          </w:tabs>
          <w:ind w:left="567" w:hanging="567"/>
        </w:pPr>
        <w:rPr>
          <w:rFonts w:hint="default"/>
        </w:rPr>
      </w:lvl>
    </w:lvlOverride>
    <w:lvlOverride w:ilvl="2">
      <w:lvl w:ilvl="2">
        <w:start w:val="1"/>
        <w:numFmt w:val="decimal"/>
        <w:lvlText w:val="%1.%2.%3"/>
        <w:lvlJc w:val="left"/>
        <w:pPr>
          <w:tabs>
            <w:tab w:val="num" w:pos="567"/>
          </w:tabs>
          <w:ind w:left="567" w:hanging="567"/>
        </w:pPr>
        <w:rPr>
          <w:rFonts w:hint="default"/>
        </w:rPr>
      </w:lvl>
    </w:lvlOverride>
    <w:lvlOverride w:ilvl="3">
      <w:lvl w:ilvl="3">
        <w:start w:val="1"/>
        <w:numFmt w:val="decimal"/>
        <w:lvlText w:val="%1.%2.%3.%4"/>
        <w:lvlJc w:val="left"/>
        <w:pPr>
          <w:tabs>
            <w:tab w:val="num" w:pos="567"/>
          </w:tabs>
          <w:ind w:left="567" w:hanging="567"/>
        </w:pPr>
        <w:rPr>
          <w:rFonts w:hint="default"/>
        </w:rPr>
      </w:lvl>
    </w:lvlOverride>
    <w:lvlOverride w:ilvl="4">
      <w:lvl w:ilvl="4">
        <w:start w:val="1"/>
        <w:numFmt w:val="decimal"/>
        <w:lvlText w:val="%1.%2.%3.%4.%5"/>
        <w:lvlJc w:val="left"/>
        <w:pPr>
          <w:tabs>
            <w:tab w:val="num" w:pos="567"/>
          </w:tabs>
          <w:ind w:left="567" w:hanging="567"/>
        </w:pPr>
        <w:rPr>
          <w:rFonts w:hint="default"/>
        </w:rPr>
      </w:lvl>
    </w:lvlOverride>
    <w:lvlOverride w:ilvl="5">
      <w:lvl w:ilvl="5">
        <w:start w:val="1"/>
        <w:numFmt w:val="lowerRoman"/>
        <w:lvlText w:val="%6."/>
        <w:lvlJc w:val="right"/>
        <w:pPr>
          <w:tabs>
            <w:tab w:val="num" w:pos="567"/>
          </w:tabs>
          <w:ind w:left="567" w:hanging="567"/>
        </w:pPr>
        <w:rPr>
          <w:rFonts w:hint="default"/>
        </w:rPr>
      </w:lvl>
    </w:lvlOverride>
    <w:lvlOverride w:ilvl="6">
      <w:lvl w:ilvl="6">
        <w:start w:val="1"/>
        <w:numFmt w:val="decimal"/>
        <w:lvlText w:val="%7."/>
        <w:lvlJc w:val="left"/>
        <w:pPr>
          <w:tabs>
            <w:tab w:val="num" w:pos="567"/>
          </w:tabs>
          <w:ind w:left="567" w:hanging="567"/>
        </w:pPr>
        <w:rPr>
          <w:rFonts w:hint="default"/>
        </w:rPr>
      </w:lvl>
    </w:lvlOverride>
    <w:lvlOverride w:ilvl="7">
      <w:lvl w:ilvl="7">
        <w:start w:val="1"/>
        <w:numFmt w:val="lowerLetter"/>
        <w:lvlText w:val="%8."/>
        <w:lvlJc w:val="left"/>
        <w:pPr>
          <w:tabs>
            <w:tab w:val="num" w:pos="567"/>
          </w:tabs>
          <w:ind w:left="567" w:hanging="567"/>
        </w:pPr>
        <w:rPr>
          <w:rFonts w:hint="default"/>
        </w:rPr>
      </w:lvl>
    </w:lvlOverride>
    <w:lvlOverride w:ilvl="8">
      <w:lvl w:ilvl="8">
        <w:start w:val="1"/>
        <w:numFmt w:val="lowerRoman"/>
        <w:lvlText w:val="%9."/>
        <w:lvlJc w:val="right"/>
        <w:pPr>
          <w:tabs>
            <w:tab w:val="num" w:pos="567"/>
          </w:tabs>
          <w:ind w:left="567" w:hanging="567"/>
        </w:pPr>
        <w:rPr>
          <w:rFonts w:hint="default"/>
        </w:rPr>
      </w:lvl>
    </w:lvlOverride>
  </w:num>
  <w:num w:numId="2" w16cid:durableId="490292411">
    <w:abstractNumId w:val="6"/>
  </w:num>
  <w:num w:numId="3" w16cid:durableId="1086225472">
    <w:abstractNumId w:val="21"/>
  </w:num>
  <w:num w:numId="4" w16cid:durableId="1838229576">
    <w:abstractNumId w:val="1"/>
  </w:num>
  <w:num w:numId="5" w16cid:durableId="974290206">
    <w:abstractNumId w:val="8"/>
  </w:num>
  <w:num w:numId="6" w16cid:durableId="1087844518">
    <w:abstractNumId w:val="3"/>
  </w:num>
  <w:num w:numId="7" w16cid:durableId="17706637">
    <w:abstractNumId w:val="4"/>
  </w:num>
  <w:num w:numId="8" w16cid:durableId="1130244697">
    <w:abstractNumId w:val="13"/>
  </w:num>
  <w:num w:numId="9" w16cid:durableId="1403597798">
    <w:abstractNumId w:val="9"/>
  </w:num>
  <w:num w:numId="10" w16cid:durableId="12415588">
    <w:abstractNumId w:val="10"/>
  </w:num>
  <w:num w:numId="11" w16cid:durableId="840584241">
    <w:abstractNumId w:val="12"/>
  </w:num>
  <w:num w:numId="12" w16cid:durableId="506671898">
    <w:abstractNumId w:val="7"/>
  </w:num>
  <w:num w:numId="13" w16cid:durableId="803236162">
    <w:abstractNumId w:val="16"/>
  </w:num>
  <w:num w:numId="14" w16cid:durableId="618223684">
    <w:abstractNumId w:val="17"/>
  </w:num>
  <w:num w:numId="15" w16cid:durableId="1809325577">
    <w:abstractNumId w:val="20"/>
  </w:num>
  <w:num w:numId="16" w16cid:durableId="1821115517">
    <w:abstractNumId w:val="0"/>
  </w:num>
  <w:num w:numId="17" w16cid:durableId="1683165481">
    <w:abstractNumId w:val="14"/>
  </w:num>
  <w:num w:numId="18" w16cid:durableId="615480040">
    <w:abstractNumId w:val="2"/>
  </w:num>
  <w:num w:numId="19" w16cid:durableId="1566183234">
    <w:abstractNumId w:val="18"/>
  </w:num>
  <w:num w:numId="20" w16cid:durableId="18077027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59550598">
    <w:abstractNumId w:val="19"/>
  </w:num>
  <w:num w:numId="22" w16cid:durableId="1562521747">
    <w:abstractNumId w:val="5"/>
  </w:num>
  <w:num w:numId="23" w16cid:durableId="1970478964">
    <w:abstractNumId w:val="11"/>
  </w:num>
  <w:num w:numId="24" w16cid:durableId="10329209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1"/>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90E"/>
    <w:rsid w:val="0000294A"/>
    <w:rsid w:val="00013E6A"/>
    <w:rsid w:val="00020BCF"/>
    <w:rsid w:val="00024EED"/>
    <w:rsid w:val="00033D75"/>
    <w:rsid w:val="00034AB9"/>
    <w:rsid w:val="0004540F"/>
    <w:rsid w:val="00050A9C"/>
    <w:rsid w:val="00054D0E"/>
    <w:rsid w:val="00057FEF"/>
    <w:rsid w:val="00066C41"/>
    <w:rsid w:val="00067A0E"/>
    <w:rsid w:val="00074FA1"/>
    <w:rsid w:val="00082247"/>
    <w:rsid w:val="00097342"/>
    <w:rsid w:val="00097EDE"/>
    <w:rsid w:val="000A282F"/>
    <w:rsid w:val="000A79A8"/>
    <w:rsid w:val="000A79DA"/>
    <w:rsid w:val="000A7DAC"/>
    <w:rsid w:val="000B0B28"/>
    <w:rsid w:val="000B3ADA"/>
    <w:rsid w:val="000B41DC"/>
    <w:rsid w:val="000C3AC5"/>
    <w:rsid w:val="000C5B60"/>
    <w:rsid w:val="000E0EE4"/>
    <w:rsid w:val="000F1AAC"/>
    <w:rsid w:val="000F2D4B"/>
    <w:rsid w:val="000F36F2"/>
    <w:rsid w:val="00103D9C"/>
    <w:rsid w:val="00104C6D"/>
    <w:rsid w:val="001061CA"/>
    <w:rsid w:val="00122662"/>
    <w:rsid w:val="00123DFE"/>
    <w:rsid w:val="00136BE6"/>
    <w:rsid w:val="00143C2A"/>
    <w:rsid w:val="00150AAD"/>
    <w:rsid w:val="00151B0E"/>
    <w:rsid w:val="00167876"/>
    <w:rsid w:val="00170295"/>
    <w:rsid w:val="001732C2"/>
    <w:rsid w:val="00174BA0"/>
    <w:rsid w:val="001759D8"/>
    <w:rsid w:val="00184E4D"/>
    <w:rsid w:val="001850CC"/>
    <w:rsid w:val="001A06F6"/>
    <w:rsid w:val="001A5791"/>
    <w:rsid w:val="001A63A9"/>
    <w:rsid w:val="001B2464"/>
    <w:rsid w:val="001B5E47"/>
    <w:rsid w:val="001B7299"/>
    <w:rsid w:val="001C79FC"/>
    <w:rsid w:val="001D0935"/>
    <w:rsid w:val="001D641A"/>
    <w:rsid w:val="001D71B9"/>
    <w:rsid w:val="001D7FD7"/>
    <w:rsid w:val="001E35AC"/>
    <w:rsid w:val="001E744F"/>
    <w:rsid w:val="001F196F"/>
    <w:rsid w:val="001F2585"/>
    <w:rsid w:val="001F3008"/>
    <w:rsid w:val="001F4416"/>
    <w:rsid w:val="001F4AE7"/>
    <w:rsid w:val="00206430"/>
    <w:rsid w:val="00206F4A"/>
    <w:rsid w:val="00212409"/>
    <w:rsid w:val="00213B7F"/>
    <w:rsid w:val="002155F6"/>
    <w:rsid w:val="002160F1"/>
    <w:rsid w:val="002212EB"/>
    <w:rsid w:val="00223822"/>
    <w:rsid w:val="0023517E"/>
    <w:rsid w:val="00241473"/>
    <w:rsid w:val="002427B0"/>
    <w:rsid w:val="002436DB"/>
    <w:rsid w:val="00245CB7"/>
    <w:rsid w:val="00253954"/>
    <w:rsid w:val="00261C9E"/>
    <w:rsid w:val="002638E1"/>
    <w:rsid w:val="00266F71"/>
    <w:rsid w:val="00273009"/>
    <w:rsid w:val="0028135E"/>
    <w:rsid w:val="0028429B"/>
    <w:rsid w:val="00284CB6"/>
    <w:rsid w:val="0028792A"/>
    <w:rsid w:val="0029212E"/>
    <w:rsid w:val="002927F2"/>
    <w:rsid w:val="002A0135"/>
    <w:rsid w:val="002A309E"/>
    <w:rsid w:val="002B166C"/>
    <w:rsid w:val="002B2C7F"/>
    <w:rsid w:val="002B523E"/>
    <w:rsid w:val="002C0B5E"/>
    <w:rsid w:val="002D4453"/>
    <w:rsid w:val="002E1ED8"/>
    <w:rsid w:val="002E4E39"/>
    <w:rsid w:val="002F0A48"/>
    <w:rsid w:val="002F12CE"/>
    <w:rsid w:val="002F1C53"/>
    <w:rsid w:val="003046E9"/>
    <w:rsid w:val="003114A3"/>
    <w:rsid w:val="00316492"/>
    <w:rsid w:val="00317679"/>
    <w:rsid w:val="00327F1C"/>
    <w:rsid w:val="0033420F"/>
    <w:rsid w:val="003352CA"/>
    <w:rsid w:val="00335ADE"/>
    <w:rsid w:val="00337E0E"/>
    <w:rsid w:val="00337E6E"/>
    <w:rsid w:val="00344881"/>
    <w:rsid w:val="00347C8B"/>
    <w:rsid w:val="003554BA"/>
    <w:rsid w:val="003558E4"/>
    <w:rsid w:val="00355C3C"/>
    <w:rsid w:val="003625A7"/>
    <w:rsid w:val="00382CA2"/>
    <w:rsid w:val="00383A4E"/>
    <w:rsid w:val="0039491A"/>
    <w:rsid w:val="00396CFC"/>
    <w:rsid w:val="003A64CA"/>
    <w:rsid w:val="003B441C"/>
    <w:rsid w:val="003B50D1"/>
    <w:rsid w:val="003B712F"/>
    <w:rsid w:val="003B7823"/>
    <w:rsid w:val="003C0B87"/>
    <w:rsid w:val="003C15F5"/>
    <w:rsid w:val="003C1AC5"/>
    <w:rsid w:val="003C4BD4"/>
    <w:rsid w:val="003C5423"/>
    <w:rsid w:val="003D6845"/>
    <w:rsid w:val="003D7329"/>
    <w:rsid w:val="003E5E28"/>
    <w:rsid w:val="003F66CF"/>
    <w:rsid w:val="00411785"/>
    <w:rsid w:val="00412AEB"/>
    <w:rsid w:val="0041436D"/>
    <w:rsid w:val="0042294C"/>
    <w:rsid w:val="0042477B"/>
    <w:rsid w:val="00435BB5"/>
    <w:rsid w:val="0046380D"/>
    <w:rsid w:val="0046381C"/>
    <w:rsid w:val="004649D4"/>
    <w:rsid w:val="00474894"/>
    <w:rsid w:val="0047635C"/>
    <w:rsid w:val="00483885"/>
    <w:rsid w:val="00485633"/>
    <w:rsid w:val="00495676"/>
    <w:rsid w:val="004A4417"/>
    <w:rsid w:val="004B353F"/>
    <w:rsid w:val="004B6A52"/>
    <w:rsid w:val="004C061C"/>
    <w:rsid w:val="004C2366"/>
    <w:rsid w:val="004C7130"/>
    <w:rsid w:val="004D26F4"/>
    <w:rsid w:val="004E0128"/>
    <w:rsid w:val="004E7176"/>
    <w:rsid w:val="004F11AA"/>
    <w:rsid w:val="004F11E4"/>
    <w:rsid w:val="00502B38"/>
    <w:rsid w:val="0050470A"/>
    <w:rsid w:val="00504CC0"/>
    <w:rsid w:val="0050785D"/>
    <w:rsid w:val="00520F7B"/>
    <w:rsid w:val="0052280B"/>
    <w:rsid w:val="00531EE0"/>
    <w:rsid w:val="00535755"/>
    <w:rsid w:val="00544378"/>
    <w:rsid w:val="00544664"/>
    <w:rsid w:val="00546943"/>
    <w:rsid w:val="0055118D"/>
    <w:rsid w:val="00574E0B"/>
    <w:rsid w:val="00582E38"/>
    <w:rsid w:val="00583A80"/>
    <w:rsid w:val="0059415A"/>
    <w:rsid w:val="005B228F"/>
    <w:rsid w:val="005C4162"/>
    <w:rsid w:val="005C4455"/>
    <w:rsid w:val="005C7300"/>
    <w:rsid w:val="005C745C"/>
    <w:rsid w:val="005C76E7"/>
    <w:rsid w:val="005D7C55"/>
    <w:rsid w:val="005F2CBF"/>
    <w:rsid w:val="005F6929"/>
    <w:rsid w:val="00606A58"/>
    <w:rsid w:val="006129DF"/>
    <w:rsid w:val="0061383E"/>
    <w:rsid w:val="00615579"/>
    <w:rsid w:val="00617C4F"/>
    <w:rsid w:val="00621882"/>
    <w:rsid w:val="0062702C"/>
    <w:rsid w:val="00631195"/>
    <w:rsid w:val="00631DF6"/>
    <w:rsid w:val="0063301D"/>
    <w:rsid w:val="00634ACD"/>
    <w:rsid w:val="006404C2"/>
    <w:rsid w:val="00641464"/>
    <w:rsid w:val="00643722"/>
    <w:rsid w:val="00643989"/>
    <w:rsid w:val="00654BC4"/>
    <w:rsid w:val="0065503C"/>
    <w:rsid w:val="00656CE6"/>
    <w:rsid w:val="00664BE4"/>
    <w:rsid w:val="00667E2F"/>
    <w:rsid w:val="00672C86"/>
    <w:rsid w:val="00672D26"/>
    <w:rsid w:val="00677D58"/>
    <w:rsid w:val="00682E17"/>
    <w:rsid w:val="00686BB8"/>
    <w:rsid w:val="006879B4"/>
    <w:rsid w:val="00691799"/>
    <w:rsid w:val="0069292E"/>
    <w:rsid w:val="00692C4A"/>
    <w:rsid w:val="00693CD2"/>
    <w:rsid w:val="00697F4B"/>
    <w:rsid w:val="006A48B0"/>
    <w:rsid w:val="006A6B9D"/>
    <w:rsid w:val="006B30B7"/>
    <w:rsid w:val="006B5D9A"/>
    <w:rsid w:val="006B691B"/>
    <w:rsid w:val="006C2E23"/>
    <w:rsid w:val="006D2079"/>
    <w:rsid w:val="006D2F7B"/>
    <w:rsid w:val="006D4CD2"/>
    <w:rsid w:val="006E00F4"/>
    <w:rsid w:val="006E5A13"/>
    <w:rsid w:val="006F4C48"/>
    <w:rsid w:val="006F6F0E"/>
    <w:rsid w:val="006F7429"/>
    <w:rsid w:val="00703D6F"/>
    <w:rsid w:val="00712164"/>
    <w:rsid w:val="00712B76"/>
    <w:rsid w:val="00714D00"/>
    <w:rsid w:val="00732F9B"/>
    <w:rsid w:val="007340D7"/>
    <w:rsid w:val="00753C8C"/>
    <w:rsid w:val="007639FB"/>
    <w:rsid w:val="00774DFB"/>
    <w:rsid w:val="007757A2"/>
    <w:rsid w:val="00777028"/>
    <w:rsid w:val="00790E90"/>
    <w:rsid w:val="00791AEE"/>
    <w:rsid w:val="00792A5B"/>
    <w:rsid w:val="007940FD"/>
    <w:rsid w:val="0079492E"/>
    <w:rsid w:val="007A2BCC"/>
    <w:rsid w:val="007A7914"/>
    <w:rsid w:val="007B28A1"/>
    <w:rsid w:val="007B4C0B"/>
    <w:rsid w:val="007C39AB"/>
    <w:rsid w:val="007C5CE6"/>
    <w:rsid w:val="007D4ED9"/>
    <w:rsid w:val="007D4F2B"/>
    <w:rsid w:val="007E0943"/>
    <w:rsid w:val="007E3E0D"/>
    <w:rsid w:val="007F3162"/>
    <w:rsid w:val="007F617B"/>
    <w:rsid w:val="007F76F7"/>
    <w:rsid w:val="00802FF8"/>
    <w:rsid w:val="00804153"/>
    <w:rsid w:val="0081502A"/>
    <w:rsid w:val="00817254"/>
    <w:rsid w:val="008347BA"/>
    <w:rsid w:val="0083621C"/>
    <w:rsid w:val="00851371"/>
    <w:rsid w:val="00851F5B"/>
    <w:rsid w:val="00853351"/>
    <w:rsid w:val="00857234"/>
    <w:rsid w:val="008634C8"/>
    <w:rsid w:val="00867EC7"/>
    <w:rsid w:val="0087022E"/>
    <w:rsid w:val="00874988"/>
    <w:rsid w:val="0088301A"/>
    <w:rsid w:val="00885099"/>
    <w:rsid w:val="008949AC"/>
    <w:rsid w:val="0089629B"/>
    <w:rsid w:val="008A46AC"/>
    <w:rsid w:val="008A56BD"/>
    <w:rsid w:val="008A74A6"/>
    <w:rsid w:val="008B7880"/>
    <w:rsid w:val="008C4FF7"/>
    <w:rsid w:val="008C67EA"/>
    <w:rsid w:val="008D6C79"/>
    <w:rsid w:val="008E09C2"/>
    <w:rsid w:val="008E1855"/>
    <w:rsid w:val="008E2F7E"/>
    <w:rsid w:val="008F0302"/>
    <w:rsid w:val="008F2BBB"/>
    <w:rsid w:val="008F3778"/>
    <w:rsid w:val="008F6F57"/>
    <w:rsid w:val="00902BA1"/>
    <w:rsid w:val="00915888"/>
    <w:rsid w:val="00923659"/>
    <w:rsid w:val="009247FC"/>
    <w:rsid w:val="009248EC"/>
    <w:rsid w:val="00930B5C"/>
    <w:rsid w:val="00931447"/>
    <w:rsid w:val="00931E44"/>
    <w:rsid w:val="009322EA"/>
    <w:rsid w:val="00933C99"/>
    <w:rsid w:val="0094709C"/>
    <w:rsid w:val="0094783F"/>
    <w:rsid w:val="00950989"/>
    <w:rsid w:val="00962DA1"/>
    <w:rsid w:val="00967C7E"/>
    <w:rsid w:val="00974E6D"/>
    <w:rsid w:val="009823D2"/>
    <w:rsid w:val="00984169"/>
    <w:rsid w:val="00985B60"/>
    <w:rsid w:val="009870CD"/>
    <w:rsid w:val="00987B74"/>
    <w:rsid w:val="0099095E"/>
    <w:rsid w:val="00995D4D"/>
    <w:rsid w:val="00997B2B"/>
    <w:rsid w:val="009A0EC0"/>
    <w:rsid w:val="009B0087"/>
    <w:rsid w:val="009B1C6F"/>
    <w:rsid w:val="009B50C2"/>
    <w:rsid w:val="009B6B3A"/>
    <w:rsid w:val="009C39F5"/>
    <w:rsid w:val="009C6852"/>
    <w:rsid w:val="009C7474"/>
    <w:rsid w:val="009D0F77"/>
    <w:rsid w:val="009D2219"/>
    <w:rsid w:val="009D345E"/>
    <w:rsid w:val="009D3D34"/>
    <w:rsid w:val="009F1C67"/>
    <w:rsid w:val="009F211B"/>
    <w:rsid w:val="009F4665"/>
    <w:rsid w:val="009F4A53"/>
    <w:rsid w:val="009F5E45"/>
    <w:rsid w:val="00A00E7D"/>
    <w:rsid w:val="00A20B23"/>
    <w:rsid w:val="00A27CDD"/>
    <w:rsid w:val="00A310DD"/>
    <w:rsid w:val="00A33E69"/>
    <w:rsid w:val="00A51517"/>
    <w:rsid w:val="00A521AA"/>
    <w:rsid w:val="00A52C57"/>
    <w:rsid w:val="00A535B3"/>
    <w:rsid w:val="00A60609"/>
    <w:rsid w:val="00A63F94"/>
    <w:rsid w:val="00A6636A"/>
    <w:rsid w:val="00A7422B"/>
    <w:rsid w:val="00A81AF3"/>
    <w:rsid w:val="00A853C2"/>
    <w:rsid w:val="00AA4276"/>
    <w:rsid w:val="00AA42AA"/>
    <w:rsid w:val="00AB1945"/>
    <w:rsid w:val="00AB3E7E"/>
    <w:rsid w:val="00AB798D"/>
    <w:rsid w:val="00AC2ECE"/>
    <w:rsid w:val="00AC6142"/>
    <w:rsid w:val="00AD1204"/>
    <w:rsid w:val="00AD29AA"/>
    <w:rsid w:val="00AD431C"/>
    <w:rsid w:val="00AD5503"/>
    <w:rsid w:val="00AE021F"/>
    <w:rsid w:val="00AF1657"/>
    <w:rsid w:val="00AF1A23"/>
    <w:rsid w:val="00AF2165"/>
    <w:rsid w:val="00AF594C"/>
    <w:rsid w:val="00AF715C"/>
    <w:rsid w:val="00AF7339"/>
    <w:rsid w:val="00AF7F9B"/>
    <w:rsid w:val="00B04A4A"/>
    <w:rsid w:val="00B05837"/>
    <w:rsid w:val="00B07D6A"/>
    <w:rsid w:val="00B3078D"/>
    <w:rsid w:val="00B33D86"/>
    <w:rsid w:val="00B34094"/>
    <w:rsid w:val="00B50343"/>
    <w:rsid w:val="00B50F37"/>
    <w:rsid w:val="00B52CF2"/>
    <w:rsid w:val="00B52D31"/>
    <w:rsid w:val="00B726EE"/>
    <w:rsid w:val="00B81BF2"/>
    <w:rsid w:val="00B83970"/>
    <w:rsid w:val="00B92A69"/>
    <w:rsid w:val="00B9614F"/>
    <w:rsid w:val="00BB0468"/>
    <w:rsid w:val="00BB3C8D"/>
    <w:rsid w:val="00BC60A8"/>
    <w:rsid w:val="00BC743E"/>
    <w:rsid w:val="00BD4E57"/>
    <w:rsid w:val="00BD5311"/>
    <w:rsid w:val="00BD721E"/>
    <w:rsid w:val="00BE0ED6"/>
    <w:rsid w:val="00BE0F0D"/>
    <w:rsid w:val="00BE2D17"/>
    <w:rsid w:val="00BE3102"/>
    <w:rsid w:val="00BF1707"/>
    <w:rsid w:val="00BF4A05"/>
    <w:rsid w:val="00BF5651"/>
    <w:rsid w:val="00BF5AA5"/>
    <w:rsid w:val="00BF7CFB"/>
    <w:rsid w:val="00C00183"/>
    <w:rsid w:val="00C004A9"/>
    <w:rsid w:val="00C02721"/>
    <w:rsid w:val="00C071EF"/>
    <w:rsid w:val="00C129D4"/>
    <w:rsid w:val="00C12EC7"/>
    <w:rsid w:val="00C14BF4"/>
    <w:rsid w:val="00C1618F"/>
    <w:rsid w:val="00C162E9"/>
    <w:rsid w:val="00C16993"/>
    <w:rsid w:val="00C25426"/>
    <w:rsid w:val="00C25CAA"/>
    <w:rsid w:val="00C26950"/>
    <w:rsid w:val="00C655C6"/>
    <w:rsid w:val="00C66FE3"/>
    <w:rsid w:val="00C834CB"/>
    <w:rsid w:val="00C944B8"/>
    <w:rsid w:val="00C957F5"/>
    <w:rsid w:val="00CA0410"/>
    <w:rsid w:val="00CB196E"/>
    <w:rsid w:val="00CB4024"/>
    <w:rsid w:val="00CD35B0"/>
    <w:rsid w:val="00CD567B"/>
    <w:rsid w:val="00CD64FA"/>
    <w:rsid w:val="00CD6CCA"/>
    <w:rsid w:val="00CE4030"/>
    <w:rsid w:val="00CF1B2B"/>
    <w:rsid w:val="00CF30E1"/>
    <w:rsid w:val="00CF42F9"/>
    <w:rsid w:val="00D1417E"/>
    <w:rsid w:val="00D1502E"/>
    <w:rsid w:val="00D23EF8"/>
    <w:rsid w:val="00D30D91"/>
    <w:rsid w:val="00D32E40"/>
    <w:rsid w:val="00D336A0"/>
    <w:rsid w:val="00D37A6D"/>
    <w:rsid w:val="00D41056"/>
    <w:rsid w:val="00D44E5B"/>
    <w:rsid w:val="00D47455"/>
    <w:rsid w:val="00D477E8"/>
    <w:rsid w:val="00D56D35"/>
    <w:rsid w:val="00D61FFC"/>
    <w:rsid w:val="00D6217A"/>
    <w:rsid w:val="00D64A56"/>
    <w:rsid w:val="00D6528C"/>
    <w:rsid w:val="00D65A32"/>
    <w:rsid w:val="00D72168"/>
    <w:rsid w:val="00D72591"/>
    <w:rsid w:val="00D75625"/>
    <w:rsid w:val="00D7773A"/>
    <w:rsid w:val="00D77AAE"/>
    <w:rsid w:val="00D82A1F"/>
    <w:rsid w:val="00D86E4F"/>
    <w:rsid w:val="00D925D4"/>
    <w:rsid w:val="00D948D6"/>
    <w:rsid w:val="00DA0603"/>
    <w:rsid w:val="00DA3425"/>
    <w:rsid w:val="00DA5EE0"/>
    <w:rsid w:val="00DA79A2"/>
    <w:rsid w:val="00DB290A"/>
    <w:rsid w:val="00DB63A0"/>
    <w:rsid w:val="00DC42FA"/>
    <w:rsid w:val="00DC46BA"/>
    <w:rsid w:val="00DC4C91"/>
    <w:rsid w:val="00DD1FD0"/>
    <w:rsid w:val="00DD2FD9"/>
    <w:rsid w:val="00DD6111"/>
    <w:rsid w:val="00DE0EAA"/>
    <w:rsid w:val="00DE4A6D"/>
    <w:rsid w:val="00DE7081"/>
    <w:rsid w:val="00DF7D89"/>
    <w:rsid w:val="00E01C86"/>
    <w:rsid w:val="00E01D70"/>
    <w:rsid w:val="00E10E91"/>
    <w:rsid w:val="00E13E10"/>
    <w:rsid w:val="00E161B9"/>
    <w:rsid w:val="00E21421"/>
    <w:rsid w:val="00E32179"/>
    <w:rsid w:val="00E3545E"/>
    <w:rsid w:val="00E3583F"/>
    <w:rsid w:val="00E37A69"/>
    <w:rsid w:val="00E40321"/>
    <w:rsid w:val="00E4434A"/>
    <w:rsid w:val="00E44E2F"/>
    <w:rsid w:val="00E46D4E"/>
    <w:rsid w:val="00E505C4"/>
    <w:rsid w:val="00E53451"/>
    <w:rsid w:val="00E575A6"/>
    <w:rsid w:val="00E57B58"/>
    <w:rsid w:val="00E62A68"/>
    <w:rsid w:val="00E647E7"/>
    <w:rsid w:val="00E92A85"/>
    <w:rsid w:val="00E94729"/>
    <w:rsid w:val="00E9478B"/>
    <w:rsid w:val="00E96E27"/>
    <w:rsid w:val="00EA0C47"/>
    <w:rsid w:val="00EA2405"/>
    <w:rsid w:val="00EA3C76"/>
    <w:rsid w:val="00EA5535"/>
    <w:rsid w:val="00EA6F3B"/>
    <w:rsid w:val="00EB15FB"/>
    <w:rsid w:val="00EC331A"/>
    <w:rsid w:val="00ED37AC"/>
    <w:rsid w:val="00EE3295"/>
    <w:rsid w:val="00EE46B9"/>
    <w:rsid w:val="00EE5504"/>
    <w:rsid w:val="00EE7B5E"/>
    <w:rsid w:val="00EF0AB9"/>
    <w:rsid w:val="00EF1FFB"/>
    <w:rsid w:val="00EF4129"/>
    <w:rsid w:val="00F021E6"/>
    <w:rsid w:val="00F1535F"/>
    <w:rsid w:val="00F1590E"/>
    <w:rsid w:val="00F27F64"/>
    <w:rsid w:val="00F3125F"/>
    <w:rsid w:val="00F33E53"/>
    <w:rsid w:val="00F4114B"/>
    <w:rsid w:val="00F44C22"/>
    <w:rsid w:val="00F45B02"/>
    <w:rsid w:val="00F514D8"/>
    <w:rsid w:val="00F515AB"/>
    <w:rsid w:val="00F54C8E"/>
    <w:rsid w:val="00F55A9F"/>
    <w:rsid w:val="00F56B2A"/>
    <w:rsid w:val="00F65C6D"/>
    <w:rsid w:val="00F66C78"/>
    <w:rsid w:val="00F66DED"/>
    <w:rsid w:val="00F678BB"/>
    <w:rsid w:val="00F773EC"/>
    <w:rsid w:val="00FA6DEE"/>
    <w:rsid w:val="00FB7041"/>
    <w:rsid w:val="00FB7068"/>
    <w:rsid w:val="00FC1EDC"/>
    <w:rsid w:val="00FC3ED4"/>
    <w:rsid w:val="00FC4DAF"/>
    <w:rsid w:val="00FC6C6E"/>
    <w:rsid w:val="00FD09E1"/>
    <w:rsid w:val="00FE267B"/>
    <w:rsid w:val="00FE292A"/>
    <w:rsid w:val="00FE2D78"/>
    <w:rsid w:val="00FE5ADB"/>
    <w:rsid w:val="00FF3E94"/>
    <w:rsid w:val="00FF5F4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C9A26"/>
  <w14:defaultImageDpi w14:val="32767"/>
  <w15:chartTrackingRefBased/>
  <w15:docId w15:val="{A0EC8007-D809-E541-B1B9-807CCB1A2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CD567B"/>
    <w:pPr>
      <w:spacing w:before="120" w:after="240" w:line="240" w:lineRule="auto"/>
    </w:pPr>
    <w:rPr>
      <w:rFonts w:ascii="Times New Roman" w:hAnsi="Times New Roman"/>
      <w:sz w:val="24"/>
      <w:lang w:val="en-US"/>
    </w:rPr>
  </w:style>
  <w:style w:type="paragraph" w:styleId="berschrift1">
    <w:name w:val="heading 1"/>
    <w:basedOn w:val="Standard"/>
    <w:next w:val="Standard"/>
    <w:link w:val="berschrift1Zchn"/>
    <w:uiPriority w:val="9"/>
    <w:qFormat/>
    <w:rsid w:val="00CD567B"/>
    <w:pPr>
      <w:keepNext/>
      <w:keepLines/>
      <w:numPr>
        <w:numId w:val="13"/>
      </w:numPr>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unhideWhenUsed/>
    <w:qFormat/>
    <w:rsid w:val="00CD567B"/>
    <w:pPr>
      <w:keepNext/>
      <w:keepLines/>
      <w:numPr>
        <w:ilvl w:val="1"/>
        <w:numId w:val="13"/>
      </w:numPr>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unhideWhenUsed/>
    <w:qFormat/>
    <w:rsid w:val="00CD567B"/>
    <w:pPr>
      <w:keepNext/>
      <w:keepLines/>
      <w:numPr>
        <w:ilvl w:val="2"/>
        <w:numId w:val="14"/>
      </w:numPr>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unhideWhenUsed/>
    <w:qFormat/>
    <w:rsid w:val="00CD567B"/>
    <w:pPr>
      <w:keepNext/>
      <w:keepLines/>
      <w:numPr>
        <w:ilvl w:val="3"/>
        <w:numId w:val="15"/>
      </w:numPr>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unhideWhenUsed/>
    <w:qFormat/>
    <w:rsid w:val="00CD567B"/>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CD567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D567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D567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D567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uiPriority w:val="35"/>
    <w:unhideWhenUsed/>
    <w:qFormat/>
    <w:rsid w:val="00C129D4"/>
    <w:pPr>
      <w:spacing w:after="200"/>
    </w:pPr>
    <w:rPr>
      <w:i/>
      <w:iCs/>
      <w:color w:val="44546A" w:themeColor="text2"/>
      <w:sz w:val="18"/>
      <w:szCs w:val="18"/>
    </w:rPr>
  </w:style>
  <w:style w:type="paragraph" w:styleId="Listenabsatz">
    <w:name w:val="List Paragraph"/>
    <w:basedOn w:val="Standard"/>
    <w:uiPriority w:val="34"/>
    <w:qFormat/>
    <w:rsid w:val="00C129D4"/>
    <w:pPr>
      <w:ind w:left="720"/>
      <w:contextualSpacing/>
    </w:pPr>
  </w:style>
  <w:style w:type="paragraph" w:customStyle="1" w:styleId="Manuskript">
    <w:name w:val="Manuskript"/>
    <w:next w:val="Standard"/>
    <w:link w:val="ManuskriptZchn"/>
    <w:qFormat/>
    <w:rsid w:val="009D2219"/>
    <w:pPr>
      <w:keepLines/>
      <w:jc w:val="both"/>
    </w:pPr>
    <w:rPr>
      <w:rFonts w:ascii="Arial" w:hAnsi="Arial" w:cs="Times New Roman (Textkörper CS)"/>
      <w:sz w:val="24"/>
      <w:lang w:val="en-US"/>
    </w:rPr>
  </w:style>
  <w:style w:type="character" w:customStyle="1" w:styleId="berschrift1Zchn">
    <w:name w:val="Überschrift 1 Zchn"/>
    <w:basedOn w:val="Absatz-Standardschriftart"/>
    <w:link w:val="berschrift1"/>
    <w:uiPriority w:val="9"/>
    <w:rsid w:val="00CD567B"/>
    <w:rPr>
      <w:rFonts w:asciiTheme="majorHAnsi" w:eastAsiaTheme="majorEastAsia" w:hAnsiTheme="majorHAnsi" w:cstheme="majorBidi"/>
      <w:color w:val="2E74B5" w:themeColor="accent1" w:themeShade="BF"/>
      <w:sz w:val="40"/>
      <w:szCs w:val="40"/>
      <w:lang w:val="en-US"/>
    </w:rPr>
  </w:style>
  <w:style w:type="character" w:customStyle="1" w:styleId="berschrift2Zchn">
    <w:name w:val="Überschrift 2 Zchn"/>
    <w:basedOn w:val="Absatz-Standardschriftart"/>
    <w:link w:val="berschrift2"/>
    <w:uiPriority w:val="9"/>
    <w:rsid w:val="00CD567B"/>
    <w:rPr>
      <w:rFonts w:asciiTheme="majorHAnsi" w:eastAsiaTheme="majorEastAsia" w:hAnsiTheme="majorHAnsi" w:cstheme="majorBidi"/>
      <w:color w:val="2E74B5" w:themeColor="accent1" w:themeShade="BF"/>
      <w:sz w:val="32"/>
      <w:szCs w:val="32"/>
      <w:lang w:val="en-US"/>
    </w:rPr>
  </w:style>
  <w:style w:type="character" w:customStyle="1" w:styleId="berschrift3Zchn">
    <w:name w:val="Überschrift 3 Zchn"/>
    <w:basedOn w:val="Absatz-Standardschriftart"/>
    <w:link w:val="berschrift3"/>
    <w:uiPriority w:val="9"/>
    <w:rsid w:val="00CD567B"/>
    <w:rPr>
      <w:rFonts w:eastAsiaTheme="majorEastAsia" w:cstheme="majorBidi"/>
      <w:color w:val="2E74B5" w:themeColor="accent1" w:themeShade="BF"/>
      <w:sz w:val="28"/>
      <w:szCs w:val="28"/>
      <w:lang w:val="en-US"/>
    </w:rPr>
  </w:style>
  <w:style w:type="character" w:customStyle="1" w:styleId="berschrift4Zchn">
    <w:name w:val="Überschrift 4 Zchn"/>
    <w:basedOn w:val="Absatz-Standardschriftart"/>
    <w:link w:val="berschrift4"/>
    <w:uiPriority w:val="9"/>
    <w:rsid w:val="00CD567B"/>
    <w:rPr>
      <w:rFonts w:eastAsiaTheme="majorEastAsia" w:cstheme="majorBidi"/>
      <w:i/>
      <w:iCs/>
      <w:color w:val="2E74B5" w:themeColor="accent1" w:themeShade="BF"/>
      <w:lang w:val="en-US"/>
    </w:rPr>
  </w:style>
  <w:style w:type="character" w:customStyle="1" w:styleId="berschrift5Zchn">
    <w:name w:val="Überschrift 5 Zchn"/>
    <w:basedOn w:val="Absatz-Standardschriftart"/>
    <w:link w:val="berschrift5"/>
    <w:uiPriority w:val="9"/>
    <w:rsid w:val="00CD567B"/>
    <w:rPr>
      <w:rFonts w:eastAsiaTheme="majorEastAsia" w:cstheme="majorBidi"/>
      <w:color w:val="2E74B5" w:themeColor="accent1" w:themeShade="BF"/>
      <w:lang w:val="en-US"/>
    </w:rPr>
  </w:style>
  <w:style w:type="character" w:customStyle="1" w:styleId="berschrift6Zchn">
    <w:name w:val="Überschrift 6 Zchn"/>
    <w:basedOn w:val="Absatz-Standardschriftart"/>
    <w:link w:val="berschrift6"/>
    <w:uiPriority w:val="9"/>
    <w:semiHidden/>
    <w:rsid w:val="00CD567B"/>
    <w:rPr>
      <w:rFonts w:eastAsiaTheme="majorEastAsia" w:cstheme="majorBidi"/>
      <w:i/>
      <w:iCs/>
      <w:color w:val="595959" w:themeColor="text1" w:themeTint="A6"/>
      <w:lang w:val="en-US"/>
    </w:rPr>
  </w:style>
  <w:style w:type="character" w:customStyle="1" w:styleId="berschrift7Zchn">
    <w:name w:val="Überschrift 7 Zchn"/>
    <w:basedOn w:val="Absatz-Standardschriftart"/>
    <w:link w:val="berschrift7"/>
    <w:uiPriority w:val="9"/>
    <w:semiHidden/>
    <w:rsid w:val="00CD567B"/>
    <w:rPr>
      <w:rFonts w:eastAsiaTheme="majorEastAsia" w:cstheme="majorBidi"/>
      <w:color w:val="595959" w:themeColor="text1" w:themeTint="A6"/>
      <w:lang w:val="en-US"/>
    </w:rPr>
  </w:style>
  <w:style w:type="character" w:customStyle="1" w:styleId="berschrift8Zchn">
    <w:name w:val="Überschrift 8 Zchn"/>
    <w:basedOn w:val="Absatz-Standardschriftart"/>
    <w:link w:val="berschrift8"/>
    <w:uiPriority w:val="9"/>
    <w:semiHidden/>
    <w:rsid w:val="00CD567B"/>
    <w:rPr>
      <w:rFonts w:eastAsiaTheme="majorEastAsia" w:cstheme="majorBidi"/>
      <w:i/>
      <w:iCs/>
      <w:color w:val="272727" w:themeColor="text1" w:themeTint="D8"/>
      <w:lang w:val="en-US"/>
    </w:rPr>
  </w:style>
  <w:style w:type="character" w:customStyle="1" w:styleId="berschrift9Zchn">
    <w:name w:val="Überschrift 9 Zchn"/>
    <w:basedOn w:val="Absatz-Standardschriftart"/>
    <w:link w:val="berschrift9"/>
    <w:uiPriority w:val="9"/>
    <w:semiHidden/>
    <w:rsid w:val="00CD567B"/>
    <w:rPr>
      <w:rFonts w:eastAsiaTheme="majorEastAsia" w:cstheme="majorBidi"/>
      <w:color w:val="272727" w:themeColor="text1" w:themeTint="D8"/>
      <w:lang w:val="en-US"/>
    </w:rPr>
  </w:style>
  <w:style w:type="paragraph" w:styleId="Titel">
    <w:name w:val="Title"/>
    <w:basedOn w:val="Standard"/>
    <w:next w:val="Standard"/>
    <w:link w:val="TitelZchn"/>
    <w:uiPriority w:val="10"/>
    <w:qFormat/>
    <w:rsid w:val="00CD567B"/>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D567B"/>
    <w:rPr>
      <w:rFonts w:asciiTheme="majorHAnsi" w:eastAsiaTheme="majorEastAsia" w:hAnsiTheme="majorHAnsi" w:cstheme="majorBidi"/>
      <w:spacing w:val="-10"/>
      <w:kern w:val="28"/>
      <w:sz w:val="56"/>
      <w:szCs w:val="56"/>
      <w:lang w:val="en-US"/>
    </w:rPr>
  </w:style>
  <w:style w:type="paragraph" w:styleId="Untertitel">
    <w:name w:val="Subtitle"/>
    <w:basedOn w:val="Standard"/>
    <w:next w:val="Standard"/>
    <w:link w:val="UntertitelZchn"/>
    <w:uiPriority w:val="11"/>
    <w:qFormat/>
    <w:rsid w:val="00CD567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D567B"/>
    <w:rPr>
      <w:rFonts w:eastAsiaTheme="majorEastAsia" w:cstheme="majorBidi"/>
      <w:color w:val="595959" w:themeColor="text1" w:themeTint="A6"/>
      <w:spacing w:val="15"/>
      <w:sz w:val="28"/>
      <w:szCs w:val="28"/>
      <w:lang w:val="en-US"/>
    </w:rPr>
  </w:style>
  <w:style w:type="paragraph" w:styleId="Zitat">
    <w:name w:val="Quote"/>
    <w:basedOn w:val="Standard"/>
    <w:next w:val="Standard"/>
    <w:link w:val="ZitatZchn"/>
    <w:uiPriority w:val="29"/>
    <w:qFormat/>
    <w:rsid w:val="00CD567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D567B"/>
    <w:rPr>
      <w:i/>
      <w:iCs/>
      <w:color w:val="404040" w:themeColor="text1" w:themeTint="BF"/>
      <w:lang w:val="en-US"/>
    </w:rPr>
  </w:style>
  <w:style w:type="character" w:styleId="IntensiveHervorhebung">
    <w:name w:val="Intense Emphasis"/>
    <w:basedOn w:val="Absatz-Standardschriftart"/>
    <w:uiPriority w:val="21"/>
    <w:qFormat/>
    <w:rsid w:val="00CD567B"/>
    <w:rPr>
      <w:i/>
      <w:iCs/>
      <w:color w:val="2E74B5" w:themeColor="accent1" w:themeShade="BF"/>
    </w:rPr>
  </w:style>
  <w:style w:type="paragraph" w:styleId="IntensivesZitat">
    <w:name w:val="Intense Quote"/>
    <w:basedOn w:val="Standard"/>
    <w:next w:val="Standard"/>
    <w:link w:val="IntensivesZitatZchn"/>
    <w:uiPriority w:val="30"/>
    <w:qFormat/>
    <w:rsid w:val="00CD567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CD567B"/>
    <w:rPr>
      <w:i/>
      <w:iCs/>
      <w:color w:val="2E74B5" w:themeColor="accent1" w:themeShade="BF"/>
      <w:lang w:val="en-US"/>
    </w:rPr>
  </w:style>
  <w:style w:type="character" w:styleId="IntensiverVerweis">
    <w:name w:val="Intense Reference"/>
    <w:basedOn w:val="Absatz-Standardschriftart"/>
    <w:uiPriority w:val="32"/>
    <w:qFormat/>
    <w:rsid w:val="00CD567B"/>
    <w:rPr>
      <w:b/>
      <w:bCs/>
      <w:smallCaps/>
      <w:color w:val="2E74B5" w:themeColor="accent1" w:themeShade="BF"/>
      <w:spacing w:val="5"/>
    </w:rPr>
  </w:style>
  <w:style w:type="character" w:styleId="Hervorhebung">
    <w:name w:val="Emphasis"/>
    <w:basedOn w:val="Absatz-Standardschriftart"/>
    <w:uiPriority w:val="20"/>
    <w:qFormat/>
    <w:rsid w:val="00CD567B"/>
    <w:rPr>
      <w:rFonts w:ascii="Times New Roman" w:hAnsi="Times New Roman"/>
      <w:i/>
      <w:iCs/>
    </w:rPr>
  </w:style>
  <w:style w:type="character" w:styleId="Fett">
    <w:name w:val="Strong"/>
    <w:basedOn w:val="Absatz-Standardschriftart"/>
    <w:uiPriority w:val="22"/>
    <w:qFormat/>
    <w:rsid w:val="00CD567B"/>
    <w:rPr>
      <w:rFonts w:ascii="Times New Roman" w:hAnsi="Times New Roman"/>
      <w:b/>
      <w:bCs/>
    </w:rPr>
  </w:style>
  <w:style w:type="paragraph" w:styleId="StandardWeb">
    <w:name w:val="Normal (Web)"/>
    <w:basedOn w:val="Standard"/>
    <w:link w:val="StandardWebZchn"/>
    <w:uiPriority w:val="99"/>
    <w:unhideWhenUsed/>
    <w:rsid w:val="00CD567B"/>
    <w:pPr>
      <w:spacing w:before="100" w:beforeAutospacing="1" w:after="100" w:afterAutospacing="1"/>
    </w:pPr>
    <w:rPr>
      <w:rFonts w:eastAsia="Times New Roman" w:cs="Times New Roman"/>
      <w:szCs w:val="24"/>
    </w:rPr>
  </w:style>
  <w:style w:type="paragraph" w:styleId="Kopfzeile">
    <w:name w:val="header"/>
    <w:basedOn w:val="Standard"/>
    <w:link w:val="KopfzeileZchn"/>
    <w:uiPriority w:val="99"/>
    <w:unhideWhenUsed/>
    <w:rsid w:val="00CD567B"/>
    <w:pPr>
      <w:tabs>
        <w:tab w:val="center" w:pos="4844"/>
        <w:tab w:val="right" w:pos="9689"/>
      </w:tabs>
    </w:pPr>
    <w:rPr>
      <w:b/>
    </w:rPr>
  </w:style>
  <w:style w:type="character" w:customStyle="1" w:styleId="KopfzeileZchn">
    <w:name w:val="Kopfzeile Zchn"/>
    <w:basedOn w:val="Absatz-Standardschriftart"/>
    <w:link w:val="Kopfzeile"/>
    <w:uiPriority w:val="99"/>
    <w:rsid w:val="00CD567B"/>
    <w:rPr>
      <w:rFonts w:ascii="Times New Roman" w:hAnsi="Times New Roman"/>
      <w:b/>
      <w:sz w:val="24"/>
      <w:lang w:val="en-US"/>
    </w:rPr>
  </w:style>
  <w:style w:type="paragraph" w:styleId="Fuzeile">
    <w:name w:val="footer"/>
    <w:basedOn w:val="Standard"/>
    <w:link w:val="FuzeileZchn"/>
    <w:uiPriority w:val="99"/>
    <w:unhideWhenUsed/>
    <w:rsid w:val="00CD567B"/>
    <w:pPr>
      <w:tabs>
        <w:tab w:val="center" w:pos="4844"/>
        <w:tab w:val="right" w:pos="9689"/>
      </w:tabs>
      <w:spacing w:after="0"/>
    </w:pPr>
  </w:style>
  <w:style w:type="character" w:customStyle="1" w:styleId="FuzeileZchn">
    <w:name w:val="Fußzeile Zchn"/>
    <w:basedOn w:val="Absatz-Standardschriftart"/>
    <w:link w:val="Fuzeile"/>
    <w:uiPriority w:val="99"/>
    <w:rsid w:val="00CD567B"/>
    <w:rPr>
      <w:rFonts w:ascii="Times New Roman" w:hAnsi="Times New Roman"/>
      <w:sz w:val="24"/>
      <w:lang w:val="en-US"/>
    </w:rPr>
  </w:style>
  <w:style w:type="table" w:styleId="Tabellenraster">
    <w:name w:val="Table Grid"/>
    <w:basedOn w:val="NormaleTabelle"/>
    <w:uiPriority w:val="39"/>
    <w:rsid w:val="00CD567B"/>
    <w:pPr>
      <w:spacing w:after="0" w:line="240" w:lineRule="auto"/>
    </w:pPr>
    <w:rPr>
      <w:rFonts w:asciiTheme="majorHAnsi" w:hAnsiTheme="maj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CD567B"/>
    <w:pPr>
      <w:spacing w:after="0"/>
    </w:pPr>
    <w:rPr>
      <w:sz w:val="20"/>
      <w:szCs w:val="20"/>
    </w:rPr>
  </w:style>
  <w:style w:type="character" w:customStyle="1" w:styleId="FunotentextZchn">
    <w:name w:val="Fußnotentext Zchn"/>
    <w:basedOn w:val="Absatz-Standardschriftart"/>
    <w:link w:val="Funotentext"/>
    <w:uiPriority w:val="99"/>
    <w:semiHidden/>
    <w:rsid w:val="00CD567B"/>
    <w:rPr>
      <w:rFonts w:ascii="Times New Roman" w:hAnsi="Times New Roman"/>
      <w:sz w:val="20"/>
      <w:szCs w:val="20"/>
      <w:lang w:val="en-US"/>
    </w:rPr>
  </w:style>
  <w:style w:type="character" w:styleId="Funotenzeichen">
    <w:name w:val="footnote reference"/>
    <w:basedOn w:val="Absatz-Standardschriftart"/>
    <w:uiPriority w:val="99"/>
    <w:semiHidden/>
    <w:unhideWhenUsed/>
    <w:rsid w:val="00CD567B"/>
    <w:rPr>
      <w:vertAlign w:val="superscript"/>
    </w:rPr>
  </w:style>
  <w:style w:type="paragraph" w:styleId="Sprechblasentext">
    <w:name w:val="Balloon Text"/>
    <w:basedOn w:val="Standard"/>
    <w:link w:val="SprechblasentextZchn"/>
    <w:uiPriority w:val="99"/>
    <w:semiHidden/>
    <w:unhideWhenUsed/>
    <w:rsid w:val="00CD567B"/>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D567B"/>
    <w:rPr>
      <w:rFonts w:ascii="Tahoma" w:hAnsi="Tahoma" w:cs="Tahoma"/>
      <w:sz w:val="16"/>
      <w:szCs w:val="16"/>
      <w:lang w:val="en-US"/>
    </w:rPr>
  </w:style>
  <w:style w:type="character" w:styleId="Zeilennummer">
    <w:name w:val="line number"/>
    <w:basedOn w:val="Absatz-Standardschriftart"/>
    <w:uiPriority w:val="99"/>
    <w:semiHidden/>
    <w:unhideWhenUsed/>
    <w:rsid w:val="00CD567B"/>
  </w:style>
  <w:style w:type="paragraph" w:styleId="Endnotentext">
    <w:name w:val="endnote text"/>
    <w:basedOn w:val="Standard"/>
    <w:link w:val="EndnotentextZchn"/>
    <w:uiPriority w:val="99"/>
    <w:semiHidden/>
    <w:unhideWhenUsed/>
    <w:rsid w:val="00CD567B"/>
    <w:pPr>
      <w:spacing w:after="0"/>
    </w:pPr>
    <w:rPr>
      <w:sz w:val="20"/>
      <w:szCs w:val="20"/>
    </w:rPr>
  </w:style>
  <w:style w:type="character" w:customStyle="1" w:styleId="EndnotentextZchn">
    <w:name w:val="Endnotentext Zchn"/>
    <w:basedOn w:val="Absatz-Standardschriftart"/>
    <w:link w:val="Endnotentext"/>
    <w:uiPriority w:val="99"/>
    <w:semiHidden/>
    <w:rsid w:val="00CD567B"/>
    <w:rPr>
      <w:rFonts w:ascii="Times New Roman" w:hAnsi="Times New Roman"/>
      <w:sz w:val="20"/>
      <w:szCs w:val="20"/>
      <w:lang w:val="en-US"/>
    </w:rPr>
  </w:style>
  <w:style w:type="character" w:styleId="Endnotenzeichen">
    <w:name w:val="endnote reference"/>
    <w:basedOn w:val="Absatz-Standardschriftart"/>
    <w:uiPriority w:val="99"/>
    <w:semiHidden/>
    <w:unhideWhenUsed/>
    <w:rsid w:val="00CD567B"/>
    <w:rPr>
      <w:vertAlign w:val="superscript"/>
    </w:rPr>
  </w:style>
  <w:style w:type="character" w:styleId="Kommentarzeichen">
    <w:name w:val="annotation reference"/>
    <w:basedOn w:val="Absatz-Standardschriftart"/>
    <w:uiPriority w:val="99"/>
    <w:semiHidden/>
    <w:unhideWhenUsed/>
    <w:rsid w:val="00CD567B"/>
    <w:rPr>
      <w:sz w:val="16"/>
      <w:szCs w:val="16"/>
    </w:rPr>
  </w:style>
  <w:style w:type="paragraph" w:styleId="Kommentartext">
    <w:name w:val="annotation text"/>
    <w:basedOn w:val="Standard"/>
    <w:link w:val="KommentartextZchn"/>
    <w:uiPriority w:val="99"/>
    <w:unhideWhenUsed/>
    <w:rsid w:val="00CD567B"/>
    <w:rPr>
      <w:sz w:val="20"/>
      <w:szCs w:val="20"/>
    </w:rPr>
  </w:style>
  <w:style w:type="character" w:customStyle="1" w:styleId="KommentartextZchn">
    <w:name w:val="Kommentartext Zchn"/>
    <w:basedOn w:val="Absatz-Standardschriftart"/>
    <w:link w:val="Kommentartext"/>
    <w:uiPriority w:val="99"/>
    <w:rsid w:val="00CD567B"/>
    <w:rPr>
      <w:rFonts w:ascii="Times New Roman" w:hAnsi="Times New Roman"/>
      <w:sz w:val="20"/>
      <w:szCs w:val="20"/>
      <w:lang w:val="en-US"/>
    </w:rPr>
  </w:style>
  <w:style w:type="paragraph" w:styleId="Kommentarthema">
    <w:name w:val="annotation subject"/>
    <w:basedOn w:val="Kommentartext"/>
    <w:next w:val="Kommentartext"/>
    <w:link w:val="KommentarthemaZchn"/>
    <w:uiPriority w:val="99"/>
    <w:semiHidden/>
    <w:unhideWhenUsed/>
    <w:rsid w:val="00CD567B"/>
    <w:rPr>
      <w:b/>
      <w:bCs/>
    </w:rPr>
  </w:style>
  <w:style w:type="character" w:customStyle="1" w:styleId="KommentarthemaZchn">
    <w:name w:val="Kommentarthema Zchn"/>
    <w:basedOn w:val="KommentartextZchn"/>
    <w:link w:val="Kommentarthema"/>
    <w:uiPriority w:val="99"/>
    <w:semiHidden/>
    <w:rsid w:val="00CD567B"/>
    <w:rPr>
      <w:rFonts w:ascii="Times New Roman" w:hAnsi="Times New Roman"/>
      <w:b/>
      <w:bCs/>
      <w:sz w:val="20"/>
      <w:szCs w:val="20"/>
      <w:lang w:val="en-US"/>
    </w:rPr>
  </w:style>
  <w:style w:type="character" w:styleId="Hyperlink">
    <w:name w:val="Hyperlink"/>
    <w:basedOn w:val="Absatz-Standardschriftart"/>
    <w:uiPriority w:val="99"/>
    <w:unhideWhenUsed/>
    <w:rsid w:val="00CD567B"/>
    <w:rPr>
      <w:color w:val="0000FF"/>
      <w:u w:val="single"/>
    </w:rPr>
  </w:style>
  <w:style w:type="character" w:styleId="BesuchterLink">
    <w:name w:val="FollowedHyperlink"/>
    <w:basedOn w:val="Absatz-Standardschriftart"/>
    <w:uiPriority w:val="99"/>
    <w:semiHidden/>
    <w:unhideWhenUsed/>
    <w:rsid w:val="00CD567B"/>
    <w:rPr>
      <w:color w:val="954F72" w:themeColor="followedHyperlink"/>
      <w:u w:val="single"/>
    </w:rPr>
  </w:style>
  <w:style w:type="paragraph" w:styleId="KeinLeerraum">
    <w:name w:val="No Spacing"/>
    <w:uiPriority w:val="99"/>
    <w:unhideWhenUsed/>
    <w:qFormat/>
    <w:rsid w:val="00CD567B"/>
    <w:pPr>
      <w:spacing w:after="0" w:line="240" w:lineRule="auto"/>
    </w:pPr>
    <w:rPr>
      <w:rFonts w:ascii="Times New Roman" w:hAnsi="Times New Roman"/>
      <w:sz w:val="24"/>
      <w:lang w:val="en-US"/>
    </w:rPr>
  </w:style>
  <w:style w:type="paragraph" w:customStyle="1" w:styleId="AuthorList">
    <w:name w:val="Author List"/>
    <w:aliases w:val="Keywords,Abstract"/>
    <w:basedOn w:val="Untertitel"/>
    <w:next w:val="Standard"/>
    <w:uiPriority w:val="1"/>
    <w:qFormat/>
    <w:rsid w:val="00CD567B"/>
    <w:pPr>
      <w:numPr>
        <w:ilvl w:val="0"/>
      </w:numPr>
      <w:spacing w:before="240"/>
    </w:pPr>
    <w:rPr>
      <w:rFonts w:eastAsiaTheme="minorHAnsi" w:cs="Times New Roman"/>
      <w:b/>
      <w:color w:val="auto"/>
      <w:spacing w:val="0"/>
      <w:sz w:val="24"/>
      <w:szCs w:val="24"/>
    </w:rPr>
  </w:style>
  <w:style w:type="character" w:styleId="SchwacheHervorhebung">
    <w:name w:val="Subtle Emphasis"/>
    <w:basedOn w:val="Absatz-Standardschriftart"/>
    <w:uiPriority w:val="19"/>
    <w:qFormat/>
    <w:rsid w:val="00CD567B"/>
    <w:rPr>
      <w:rFonts w:ascii="Times New Roman" w:hAnsi="Times New Roman"/>
      <w:i/>
      <w:iCs/>
      <w:color w:val="404040" w:themeColor="text1" w:themeTint="BF"/>
    </w:rPr>
  </w:style>
  <w:style w:type="character" w:styleId="Buchtitel">
    <w:name w:val="Book Title"/>
    <w:basedOn w:val="Absatz-Standardschriftart"/>
    <w:uiPriority w:val="33"/>
    <w:qFormat/>
    <w:rsid w:val="00CD567B"/>
    <w:rPr>
      <w:rFonts w:ascii="Times New Roman" w:hAnsi="Times New Roman"/>
      <w:b/>
      <w:bCs/>
      <w:i/>
      <w:iCs/>
      <w:spacing w:val="5"/>
    </w:rPr>
  </w:style>
  <w:style w:type="numbering" w:customStyle="1" w:styleId="Headings">
    <w:name w:val="Headings"/>
    <w:uiPriority w:val="99"/>
    <w:rsid w:val="00CD567B"/>
    <w:pPr>
      <w:numPr>
        <w:numId w:val="2"/>
      </w:numPr>
    </w:pPr>
  </w:style>
  <w:style w:type="paragraph" w:styleId="berarbeitung">
    <w:name w:val="Revision"/>
    <w:hidden/>
    <w:uiPriority w:val="99"/>
    <w:semiHidden/>
    <w:rsid w:val="00CD567B"/>
    <w:pPr>
      <w:spacing w:after="0" w:line="240" w:lineRule="auto"/>
    </w:pPr>
    <w:rPr>
      <w:rFonts w:ascii="Times New Roman" w:hAnsi="Times New Roman"/>
      <w:sz w:val="24"/>
      <w:lang w:val="en-US"/>
    </w:rPr>
  </w:style>
  <w:style w:type="character" w:styleId="NichtaufgelsteErwhnung">
    <w:name w:val="Unresolved Mention"/>
    <w:basedOn w:val="Absatz-Standardschriftart"/>
    <w:uiPriority w:val="99"/>
    <w:unhideWhenUsed/>
    <w:rsid w:val="00CD567B"/>
    <w:rPr>
      <w:color w:val="605E5C"/>
      <w:shd w:val="clear" w:color="auto" w:fill="E1DFDD"/>
    </w:rPr>
  </w:style>
  <w:style w:type="character" w:customStyle="1" w:styleId="ManuskriptZchn">
    <w:name w:val="Manuskript Zchn"/>
    <w:basedOn w:val="Absatz-Standardschriftart"/>
    <w:link w:val="Manuskript"/>
    <w:rsid w:val="00CD567B"/>
    <w:rPr>
      <w:rFonts w:ascii="Arial" w:hAnsi="Arial" w:cs="Times New Roman (Textkörper CS)"/>
      <w:sz w:val="24"/>
      <w:lang w:val="en-US"/>
    </w:rPr>
  </w:style>
  <w:style w:type="table" w:styleId="EinfacheTabelle3">
    <w:name w:val="Plain Table 3"/>
    <w:basedOn w:val="NormaleTabelle"/>
    <w:uiPriority w:val="43"/>
    <w:rsid w:val="00CD567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itternetztabelle1hell">
    <w:name w:val="Grid Table 1 Light"/>
    <w:basedOn w:val="NormaleTabelle"/>
    <w:uiPriority w:val="46"/>
    <w:rsid w:val="00CD567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CD567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EinfacheTabelle5">
    <w:name w:val="Plain Table 5"/>
    <w:basedOn w:val="NormaleTabelle"/>
    <w:uiPriority w:val="45"/>
    <w:rsid w:val="00CD567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EinfacheTabelle4">
    <w:name w:val="Plain Table 4"/>
    <w:basedOn w:val="NormaleTabelle"/>
    <w:uiPriority w:val="44"/>
    <w:rsid w:val="00CD567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eschriftung1">
    <w:name w:val="Beschriftung1"/>
    <w:basedOn w:val="Manuskript"/>
    <w:next w:val="Manuskript"/>
    <w:qFormat/>
    <w:rsid w:val="00CD567B"/>
    <w:pPr>
      <w:keepLines w:val="0"/>
      <w:spacing w:after="320" w:line="240" w:lineRule="auto"/>
      <w:contextualSpacing/>
    </w:pPr>
    <w:rPr>
      <w:rFonts w:cs="Arial"/>
      <w:iCs/>
      <w:color w:val="000000" w:themeColor="text1"/>
      <w:sz w:val="18"/>
    </w:rPr>
  </w:style>
  <w:style w:type="table" w:styleId="EinfacheTabelle1">
    <w:name w:val="Plain Table 1"/>
    <w:basedOn w:val="NormaleTabelle"/>
    <w:uiPriority w:val="41"/>
    <w:rsid w:val="00CD567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arkedcontent">
    <w:name w:val="markedcontent"/>
    <w:basedOn w:val="Absatz-Standardschriftart"/>
    <w:rsid w:val="00CD567B"/>
  </w:style>
  <w:style w:type="character" w:customStyle="1" w:styleId="StandardWebZchn">
    <w:name w:val="Standard (Web) Zchn"/>
    <w:basedOn w:val="Absatz-Standardschriftart"/>
    <w:link w:val="StandardWeb"/>
    <w:uiPriority w:val="99"/>
    <w:rsid w:val="00CD567B"/>
    <w:rPr>
      <w:rFonts w:ascii="Times New Roman" w:eastAsia="Times New Roman" w:hAnsi="Times New Roman" w:cs="Times New Roman"/>
      <w:sz w:val="24"/>
      <w:szCs w:val="24"/>
      <w:lang w:val="en-US"/>
    </w:rPr>
  </w:style>
  <w:style w:type="character" w:customStyle="1" w:styleId="apple-converted-space">
    <w:name w:val="apple-converted-space"/>
    <w:basedOn w:val="Absatz-Standardschriftart"/>
    <w:rsid w:val="00CD567B"/>
  </w:style>
  <w:style w:type="character" w:styleId="HTMLCode">
    <w:name w:val="HTML Code"/>
    <w:basedOn w:val="Absatz-Standardschriftart"/>
    <w:uiPriority w:val="99"/>
    <w:semiHidden/>
    <w:unhideWhenUsed/>
    <w:rsid w:val="00CD567B"/>
    <w:rPr>
      <w:rFonts w:ascii="Courier New" w:eastAsia="Times New Roman" w:hAnsi="Courier New" w:cs="Courier New"/>
      <w:sz w:val="20"/>
      <w:szCs w:val="20"/>
    </w:rPr>
  </w:style>
  <w:style w:type="paragraph" w:customStyle="1" w:styleId="EndNoteBibliographyTitle">
    <w:name w:val="EndNote Bibliography Title"/>
    <w:basedOn w:val="Standard"/>
    <w:link w:val="EndNoteBibliographyTitleZchn"/>
    <w:rsid w:val="00CD567B"/>
    <w:pPr>
      <w:spacing w:before="0" w:after="0"/>
      <w:jc w:val="center"/>
    </w:pPr>
    <w:rPr>
      <w:rFonts w:eastAsia="Times New Roman" w:cs="Times New Roman"/>
      <w:szCs w:val="24"/>
      <w:lang w:eastAsia="de-DE"/>
    </w:rPr>
  </w:style>
  <w:style w:type="character" w:customStyle="1" w:styleId="EndNoteBibliographyTitleZchn">
    <w:name w:val="EndNote Bibliography Title Zchn"/>
    <w:basedOn w:val="StandardWebZchn"/>
    <w:link w:val="EndNoteBibliographyTitle"/>
    <w:rsid w:val="00CD567B"/>
    <w:rPr>
      <w:rFonts w:ascii="Times New Roman" w:eastAsia="Times New Roman" w:hAnsi="Times New Roman" w:cs="Times New Roman"/>
      <w:sz w:val="24"/>
      <w:szCs w:val="24"/>
      <w:lang w:val="en-US" w:eastAsia="de-DE"/>
    </w:rPr>
  </w:style>
  <w:style w:type="paragraph" w:customStyle="1" w:styleId="EndNoteBibliography">
    <w:name w:val="EndNote Bibliography"/>
    <w:basedOn w:val="Standard"/>
    <w:link w:val="EndNoteBibliographyZchn"/>
    <w:rsid w:val="00CD567B"/>
    <w:pPr>
      <w:spacing w:before="0" w:after="0"/>
    </w:pPr>
    <w:rPr>
      <w:rFonts w:eastAsia="Times New Roman" w:cs="Times New Roman"/>
      <w:szCs w:val="24"/>
      <w:lang w:eastAsia="de-DE"/>
    </w:rPr>
  </w:style>
  <w:style w:type="character" w:customStyle="1" w:styleId="EndNoteBibliographyZchn">
    <w:name w:val="EndNote Bibliography Zchn"/>
    <w:basedOn w:val="StandardWebZchn"/>
    <w:link w:val="EndNoteBibliography"/>
    <w:rsid w:val="00CD567B"/>
    <w:rPr>
      <w:rFonts w:ascii="Times New Roman" w:eastAsia="Times New Roman" w:hAnsi="Times New Roman" w:cs="Times New Roman"/>
      <w:sz w:val="24"/>
      <w:szCs w:val="24"/>
      <w:lang w:val="en-US" w:eastAsia="de-DE"/>
    </w:rPr>
  </w:style>
  <w:style w:type="character" w:styleId="Platzhaltertext">
    <w:name w:val="Placeholder Text"/>
    <w:basedOn w:val="Absatz-Standardschriftart"/>
    <w:uiPriority w:val="99"/>
    <w:semiHidden/>
    <w:rsid w:val="00CD567B"/>
    <w:rPr>
      <w:color w:val="666666"/>
    </w:rPr>
  </w:style>
  <w:style w:type="numbering" w:styleId="111111">
    <w:name w:val="Outline List 2"/>
    <w:basedOn w:val="KeineListe"/>
    <w:uiPriority w:val="99"/>
    <w:semiHidden/>
    <w:unhideWhenUsed/>
    <w:rsid w:val="00F1590E"/>
    <w:pPr>
      <w:numPr>
        <w:numId w:val="10"/>
      </w:numPr>
    </w:pPr>
  </w:style>
  <w:style w:type="paragraph" w:customStyle="1" w:styleId="SupplementaryMaterial">
    <w:name w:val="Supplementary Material"/>
    <w:basedOn w:val="Titel"/>
    <w:next w:val="Titel"/>
    <w:qFormat/>
    <w:rsid w:val="003625A7"/>
    <w:pPr>
      <w:suppressLineNumbers/>
      <w:spacing w:before="240" w:after="120"/>
      <w:contextualSpacing w:val="0"/>
      <w:jc w:val="center"/>
    </w:pPr>
    <w:rPr>
      <w:rFonts w:ascii="Times New Roman" w:eastAsiaTheme="minorHAnsi" w:hAnsi="Times New Roman" w:cs="Times New Roman"/>
      <w:b/>
      <w:i/>
      <w:spacing w:val="0"/>
      <w:kern w:val="0"/>
      <w:sz w:val="32"/>
      <w:szCs w:val="32"/>
    </w:rPr>
  </w:style>
  <w:style w:type="paragraph" w:styleId="Abbildungsverzeichnis">
    <w:name w:val="table of figures"/>
    <w:basedOn w:val="Standard"/>
    <w:next w:val="Standard"/>
    <w:uiPriority w:val="99"/>
    <w:unhideWhenUsed/>
    <w:rsid w:val="003625A7"/>
    <w:pPr>
      <w:spacing w:before="0" w:after="0"/>
    </w:pPr>
    <w:rPr>
      <w:rFonts w:eastAsia="Times New Roman" w:cs="Times New Roman"/>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ichel/Desktop/Forschung/Vorlagen/Manuscript_samp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Manuscript_sample.dotx</Template>
  <TotalTime>0</TotalTime>
  <Pages>12</Pages>
  <Words>2472</Words>
  <Characters>15577</Characters>
  <Application>Microsoft Office Word</Application>
  <DocSecurity>0</DocSecurity>
  <Lines>129</Lines>
  <Paragraphs>36</Paragraphs>
  <ScaleCrop>false</ScaleCrop>
  <Company/>
  <LinksUpToDate>false</LinksUpToDate>
  <CharactersWithSpaces>18013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Wunderle</dc:creator>
  <cp:keywords/>
  <dc:description/>
  <cp:lastModifiedBy>Michael Wunderle</cp:lastModifiedBy>
  <cp:revision>3</cp:revision>
  <cp:lastPrinted>2026-05-29T10:43:00Z</cp:lastPrinted>
  <dcterms:created xsi:type="dcterms:W3CDTF">2026-05-29T10:43:00Z</dcterms:created>
  <dcterms:modified xsi:type="dcterms:W3CDTF">2026-05-29T10:43:00Z</dcterms:modified>
</cp:coreProperties>
</file>