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702ED" w14:textId="77777777" w:rsidR="00F37C9E" w:rsidRDefault="00A94E9D">
      <w:r>
        <w:rPr>
          <w:rFonts w:hint="eastAsia"/>
        </w:rPr>
        <w:t>S</w:t>
      </w:r>
      <w:r>
        <w:t xml:space="preserve">upplementary </w:t>
      </w:r>
      <w:r w:rsidR="006E219F">
        <w:t>Figure</w:t>
      </w:r>
      <w:r w:rsidR="004F3552">
        <w:rPr>
          <w:rFonts w:hint="eastAsia"/>
        </w:rPr>
        <w:t>s</w:t>
      </w:r>
      <w:r w:rsidR="004F3552">
        <w:t xml:space="preserve"> 1</w:t>
      </w:r>
    </w:p>
    <w:p w14:paraId="78681BC1" w14:textId="544DE2FC" w:rsidR="004F3552" w:rsidRDefault="004F3552">
      <w:pPr>
        <w:rPr>
          <w:rFonts w:ascii="Times New Roman" w:hAnsi="Times New Roman" w:cs="Times New Roman"/>
          <w:color w:val="374151"/>
          <w:szCs w:val="24"/>
        </w:rPr>
      </w:pPr>
    </w:p>
    <w:p w14:paraId="4B09C15A" w14:textId="16CBFDB4" w:rsidR="004F3552" w:rsidRDefault="0020074E">
      <w:pPr>
        <w:rPr>
          <w:rFonts w:ascii="Times New Roman" w:hAnsi="Times New Roman" w:cs="Times New Roman"/>
          <w:color w:val="374151"/>
          <w:szCs w:val="24"/>
        </w:rPr>
      </w:pPr>
      <w:r>
        <w:rPr>
          <w:rFonts w:ascii="Times New Roman" w:hAnsi="Times New Roman" w:cs="Times New Roman"/>
          <w:noProof/>
          <w:color w:val="374151"/>
          <w:szCs w:val="24"/>
        </w:rPr>
        <w:drawing>
          <wp:inline distT="0" distB="0" distL="0" distR="0" wp14:anchorId="5B26AD4E" wp14:editId="00494AEC">
            <wp:extent cx="5273675" cy="5287010"/>
            <wp:effectExtent l="0" t="0" r="3175" b="889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528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BFAD" w14:textId="77777777" w:rsidR="004F3552" w:rsidRDefault="004F3552">
      <w:pPr>
        <w:rPr>
          <w:rFonts w:ascii="Times New Roman" w:hAnsi="Times New Roman" w:cs="Times New Roman"/>
          <w:color w:val="374151"/>
          <w:szCs w:val="24"/>
        </w:rPr>
      </w:pPr>
    </w:p>
    <w:p w14:paraId="4CFDBD43" w14:textId="27F2305D" w:rsidR="006E219F" w:rsidRDefault="001F3058">
      <w:pPr>
        <w:rPr>
          <w:rFonts w:ascii="Times New Roman" w:hAnsi="Times New Roman" w:cs="Times New Roman"/>
        </w:rPr>
      </w:pPr>
      <w:r w:rsidRPr="00B97A04">
        <w:rPr>
          <w:rFonts w:ascii="Times New Roman" w:hAnsi="Times New Roman" w:cs="Times New Roman"/>
          <w:b/>
          <w:color w:val="374151"/>
          <w:szCs w:val="24"/>
        </w:rPr>
        <w:t>Supplementary</w:t>
      </w:r>
      <w:r w:rsidR="006E219F" w:rsidRPr="00B97A04">
        <w:rPr>
          <w:rFonts w:ascii="Times New Roman" w:hAnsi="Times New Roman" w:cs="Times New Roman" w:hint="eastAsia"/>
          <w:b/>
          <w:color w:val="374151"/>
          <w:szCs w:val="24"/>
        </w:rPr>
        <w:t xml:space="preserve"> Figure 1. </w:t>
      </w:r>
      <w:r w:rsidR="006E219F" w:rsidRPr="00B97A04">
        <w:rPr>
          <w:rFonts w:ascii="Times New Roman" w:hAnsi="Times New Roman" w:cs="Times New Roman"/>
          <w:b/>
          <w:color w:val="374151"/>
          <w:szCs w:val="24"/>
        </w:rPr>
        <w:t xml:space="preserve">Deciphering </w:t>
      </w:r>
      <w:r w:rsidR="006E219F" w:rsidRPr="00B97A04">
        <w:rPr>
          <w:rFonts w:ascii="Times New Roman" w:hAnsi="Times New Roman" w:cs="Times New Roman" w:hint="eastAsia"/>
          <w:b/>
          <w:color w:val="374151"/>
          <w:szCs w:val="24"/>
        </w:rPr>
        <w:t>l</w:t>
      </w:r>
      <w:r w:rsidR="006E219F" w:rsidRPr="00B97A04">
        <w:rPr>
          <w:rFonts w:ascii="Times New Roman" w:hAnsi="Times New Roman" w:cs="Times New Roman"/>
          <w:b/>
          <w:color w:val="374151"/>
          <w:szCs w:val="24"/>
        </w:rPr>
        <w:t xml:space="preserve">actic </w:t>
      </w:r>
      <w:r w:rsidR="006E219F" w:rsidRPr="00B97A04">
        <w:rPr>
          <w:rFonts w:ascii="Times New Roman" w:hAnsi="Times New Roman" w:cs="Times New Roman" w:hint="eastAsia"/>
          <w:b/>
          <w:color w:val="374151"/>
          <w:szCs w:val="24"/>
        </w:rPr>
        <w:t>a</w:t>
      </w:r>
      <w:r w:rsidR="006E219F" w:rsidRPr="00B97A04">
        <w:rPr>
          <w:rFonts w:ascii="Times New Roman" w:hAnsi="Times New Roman" w:cs="Times New Roman"/>
          <w:b/>
          <w:color w:val="374151"/>
          <w:szCs w:val="24"/>
        </w:rPr>
        <w:t xml:space="preserve">cid </w:t>
      </w:r>
      <w:r w:rsidR="006E219F" w:rsidRPr="00B97A04">
        <w:rPr>
          <w:rFonts w:ascii="Times New Roman" w:hAnsi="Times New Roman" w:cs="Times New Roman" w:hint="eastAsia"/>
          <w:b/>
          <w:color w:val="374151"/>
          <w:szCs w:val="24"/>
        </w:rPr>
        <w:t>t</w:t>
      </w:r>
      <w:r w:rsidR="006E219F" w:rsidRPr="00B97A04">
        <w:rPr>
          <w:rFonts w:ascii="Times New Roman" w:hAnsi="Times New Roman" w:cs="Times New Roman"/>
          <w:b/>
          <w:color w:val="374151"/>
          <w:szCs w:val="24"/>
        </w:rPr>
        <w:t xml:space="preserve">reatment's </w:t>
      </w:r>
      <w:r w:rsidR="006E219F" w:rsidRPr="00B97A04">
        <w:rPr>
          <w:rFonts w:ascii="Times New Roman" w:hAnsi="Times New Roman" w:cs="Times New Roman" w:hint="eastAsia"/>
          <w:b/>
          <w:color w:val="374151"/>
          <w:szCs w:val="24"/>
        </w:rPr>
        <w:t>i</w:t>
      </w:r>
      <w:r w:rsidR="006E219F" w:rsidRPr="00B97A04">
        <w:rPr>
          <w:rFonts w:ascii="Times New Roman" w:hAnsi="Times New Roman" w:cs="Times New Roman"/>
          <w:b/>
          <w:color w:val="374151"/>
          <w:szCs w:val="24"/>
        </w:rPr>
        <w:t xml:space="preserve">mpact on </w:t>
      </w:r>
      <w:r w:rsidR="006E219F" w:rsidRPr="00B97A04">
        <w:rPr>
          <w:rFonts w:ascii="Times New Roman" w:hAnsi="Times New Roman" w:cs="Times New Roman"/>
          <w:b/>
          <w:lang w:val="el-GR"/>
        </w:rPr>
        <w:t>αβ</w:t>
      </w:r>
      <w:r w:rsidR="006E219F" w:rsidRPr="00B97A04">
        <w:rPr>
          <w:rFonts w:ascii="Times New Roman" w:hAnsi="Times New Roman" w:cs="Times New Roman"/>
          <w:b/>
        </w:rPr>
        <w:t xml:space="preserve">- and </w:t>
      </w:r>
      <w:r w:rsidR="006E219F" w:rsidRPr="00B97A04">
        <w:rPr>
          <w:rFonts w:ascii="Times New Roman" w:hAnsi="Times New Roman" w:cs="Times New Roman"/>
          <w:b/>
          <w:lang w:val="el-GR"/>
        </w:rPr>
        <w:t>γδ</w:t>
      </w:r>
      <w:r w:rsidR="006E219F" w:rsidRPr="00B97A04">
        <w:rPr>
          <w:rFonts w:ascii="Times New Roman" w:hAnsi="Times New Roman" w:cs="Times New Roman"/>
          <w:b/>
        </w:rPr>
        <w:t>-T cell</w:t>
      </w:r>
      <w:r w:rsidR="006E219F" w:rsidRPr="00B97A04">
        <w:rPr>
          <w:rFonts w:ascii="Times New Roman" w:hAnsi="Times New Roman" w:cs="Times New Roman" w:hint="eastAsia"/>
          <w:b/>
        </w:rPr>
        <w:t xml:space="preserve"> </w:t>
      </w:r>
      <w:r w:rsidR="006E219F" w:rsidRPr="00B97A04">
        <w:rPr>
          <w:rFonts w:ascii="Times New Roman" w:hAnsi="Times New Roman" w:cs="Times New Roman" w:hint="eastAsia"/>
          <w:b/>
          <w:color w:val="374151"/>
          <w:szCs w:val="24"/>
        </w:rPr>
        <w:t>r</w:t>
      </w:r>
      <w:r w:rsidR="006E219F" w:rsidRPr="00B97A04">
        <w:rPr>
          <w:rFonts w:ascii="Times New Roman" w:hAnsi="Times New Roman" w:cs="Times New Roman"/>
          <w:b/>
          <w:color w:val="374151"/>
          <w:szCs w:val="24"/>
        </w:rPr>
        <w:t>atios.</w:t>
      </w:r>
      <w:r w:rsidR="006E219F">
        <w:rPr>
          <w:rFonts w:ascii="Times New Roman" w:hAnsi="Times New Roman" w:cs="Times New Roman" w:hint="eastAsia"/>
          <w:color w:val="374151"/>
          <w:szCs w:val="24"/>
        </w:rPr>
        <w:t xml:space="preserve"> </w:t>
      </w:r>
      <w:r w:rsidR="006E219F" w:rsidRPr="00C568FA">
        <w:rPr>
          <w:rFonts w:ascii="Times New Roman" w:hAnsi="Times New Roman" w:cs="Times New Roman"/>
          <w:color w:val="374151"/>
          <w:szCs w:val="24"/>
        </w:rPr>
        <w:t>2 × 10</w:t>
      </w:r>
      <w:r w:rsidR="006E219F" w:rsidRPr="00C568FA">
        <w:rPr>
          <w:rFonts w:ascii="Times New Roman" w:hAnsi="Times New Roman" w:cs="Times New Roman"/>
          <w:color w:val="374151"/>
          <w:szCs w:val="24"/>
          <w:vertAlign w:val="superscript"/>
        </w:rPr>
        <w:t>6</w:t>
      </w:r>
      <w:r w:rsidR="006E219F" w:rsidRPr="00C568FA">
        <w:rPr>
          <w:rFonts w:ascii="Times New Roman" w:hAnsi="Times New Roman" w:cs="Times New Roman"/>
          <w:color w:val="374151"/>
          <w:szCs w:val="24"/>
        </w:rPr>
        <w:t xml:space="preserve"> of PBMCs were stimulated with anti-CD3 and anti-CD28 antibody or zoledronic acid to </w:t>
      </w:r>
      <w:r>
        <w:rPr>
          <w:rFonts w:ascii="Times New Roman" w:hAnsi="Times New Roman" w:cs="Times New Roman"/>
          <w:color w:val="374151"/>
          <w:szCs w:val="24"/>
        </w:rPr>
        <w:t>expand</w:t>
      </w:r>
      <w:r w:rsidR="006E219F">
        <w:rPr>
          <w:rFonts w:ascii="Times New Roman" w:hAnsi="Times New Roman" w:cs="Times New Roman" w:hint="eastAsia"/>
          <w:color w:val="374151"/>
          <w:szCs w:val="24"/>
        </w:rPr>
        <w:t xml:space="preserve"> </w:t>
      </w:r>
      <w:r w:rsidR="006E219F" w:rsidRPr="00C568FA">
        <w:rPr>
          <w:rFonts w:ascii="Times New Roman" w:hAnsi="Times New Roman" w:cs="Times New Roman"/>
          <w:lang w:val="el-GR"/>
        </w:rPr>
        <w:t>αβ</w:t>
      </w:r>
      <w:r w:rsidR="006E219F" w:rsidRPr="00C568FA">
        <w:rPr>
          <w:rFonts w:ascii="Times New Roman" w:hAnsi="Times New Roman" w:cs="Times New Roman"/>
        </w:rPr>
        <w:t xml:space="preserve">- and </w:t>
      </w:r>
      <w:r w:rsidR="006E219F" w:rsidRPr="00C568FA">
        <w:rPr>
          <w:rFonts w:ascii="Times New Roman" w:hAnsi="Times New Roman" w:cs="Times New Roman"/>
          <w:lang w:val="el-GR"/>
        </w:rPr>
        <w:t>γδ</w:t>
      </w:r>
      <w:r w:rsidR="006E219F" w:rsidRPr="00C568FA">
        <w:rPr>
          <w:rFonts w:ascii="Times New Roman" w:hAnsi="Times New Roman" w:cs="Times New Roman"/>
        </w:rPr>
        <w:t>-T cell</w:t>
      </w:r>
      <w:r w:rsidR="006E219F">
        <w:rPr>
          <w:rFonts w:ascii="Times New Roman" w:hAnsi="Times New Roman" w:cs="Times New Roman" w:hint="eastAsia"/>
        </w:rPr>
        <w:t>s</w:t>
      </w:r>
      <w:r w:rsidR="006E219F" w:rsidRPr="00C568FA">
        <w:rPr>
          <w:rFonts w:ascii="Times New Roman" w:hAnsi="Times New Roman" w:cs="Times New Roman"/>
          <w:color w:val="374151"/>
          <w:szCs w:val="24"/>
        </w:rPr>
        <w:t xml:space="preserve"> separately</w:t>
      </w:r>
      <w:r w:rsidR="006E219F">
        <w:rPr>
          <w:rFonts w:ascii="Times New Roman" w:hAnsi="Times New Roman" w:cs="Times New Roman" w:hint="eastAsia"/>
          <w:color w:val="374151"/>
          <w:szCs w:val="24"/>
        </w:rPr>
        <w:t xml:space="preserve"> for 7 days</w:t>
      </w:r>
      <w:r w:rsidR="006E219F" w:rsidRPr="00C568FA">
        <w:rPr>
          <w:rFonts w:ascii="Times New Roman" w:hAnsi="Times New Roman" w:cs="Times New Roman"/>
          <w:color w:val="374151"/>
          <w:szCs w:val="24"/>
        </w:rPr>
        <w:t>.</w:t>
      </w:r>
      <w:r w:rsidR="006E219F">
        <w:rPr>
          <w:rFonts w:ascii="Times New Roman" w:hAnsi="Times New Roman" w:cs="Times New Roman" w:hint="eastAsia"/>
          <w:color w:val="374151"/>
          <w:szCs w:val="24"/>
        </w:rPr>
        <w:t xml:space="preserve"> The expanded T cells were treated with different </w:t>
      </w:r>
      <w:r>
        <w:rPr>
          <w:rFonts w:ascii="Times New Roman" w:hAnsi="Times New Roman" w:cs="Times New Roman"/>
          <w:color w:val="374151"/>
          <w:szCs w:val="24"/>
        </w:rPr>
        <w:t>concentrations</w:t>
      </w:r>
      <w:r w:rsidR="006E219F">
        <w:rPr>
          <w:rFonts w:ascii="Times New Roman" w:hAnsi="Times New Roman" w:cs="Times New Roman" w:hint="eastAsia"/>
          <w:color w:val="374151"/>
          <w:szCs w:val="24"/>
        </w:rPr>
        <w:t xml:space="preserve"> of lactic acid. To </w:t>
      </w:r>
      <w:r>
        <w:rPr>
          <w:rFonts w:ascii="Times New Roman" w:hAnsi="Times New Roman" w:cs="Times New Roman"/>
          <w:color w:val="374151"/>
          <w:szCs w:val="24"/>
        </w:rPr>
        <w:t>evaluate</w:t>
      </w:r>
      <w:r w:rsidR="006E219F">
        <w:rPr>
          <w:rFonts w:ascii="Times New Roman" w:hAnsi="Times New Roman" w:cs="Times New Roman" w:hint="eastAsia"/>
          <w:color w:val="374151"/>
          <w:szCs w:val="24"/>
        </w:rPr>
        <w:t xml:space="preserve"> the (A) The effect of lactic acid on the proliferation of </w:t>
      </w:r>
      <w:r w:rsidR="006E219F" w:rsidRPr="00BC5A98">
        <w:rPr>
          <w:rFonts w:ascii="Times New Roman" w:hAnsi="Times New Roman" w:cs="Times New Roman"/>
          <w:lang w:val="el-GR"/>
        </w:rPr>
        <w:t>αβ</w:t>
      </w:r>
      <w:r w:rsidR="006E219F" w:rsidRPr="00BC5A98">
        <w:rPr>
          <w:rFonts w:ascii="Times New Roman" w:hAnsi="Times New Roman" w:cs="Times New Roman"/>
        </w:rPr>
        <w:t xml:space="preserve">- and </w:t>
      </w:r>
      <w:r w:rsidR="006E219F" w:rsidRPr="00BC5A98">
        <w:rPr>
          <w:rFonts w:ascii="Times New Roman" w:hAnsi="Times New Roman" w:cs="Times New Roman"/>
          <w:lang w:val="el-GR"/>
        </w:rPr>
        <w:t>γδ</w:t>
      </w:r>
      <w:r w:rsidR="006E219F" w:rsidRPr="00BC5A98">
        <w:rPr>
          <w:rFonts w:ascii="Times New Roman" w:hAnsi="Times New Roman" w:cs="Times New Roman"/>
        </w:rPr>
        <w:t>-T cells</w:t>
      </w:r>
      <w:r w:rsidR="006E219F">
        <w:rPr>
          <w:rFonts w:ascii="Times New Roman" w:hAnsi="Times New Roman" w:cs="Times New Roman" w:hint="eastAsia"/>
        </w:rPr>
        <w:t xml:space="preserve">. (B) The impact of lactic acid on the apoptosis of </w:t>
      </w:r>
      <w:r w:rsidR="006E219F" w:rsidRPr="00BC5A98">
        <w:rPr>
          <w:rFonts w:ascii="Times New Roman" w:hAnsi="Times New Roman" w:cs="Times New Roman"/>
          <w:lang w:val="el-GR"/>
        </w:rPr>
        <w:t>αβ</w:t>
      </w:r>
      <w:r w:rsidR="006E219F" w:rsidRPr="00BC5A98">
        <w:rPr>
          <w:rFonts w:ascii="Times New Roman" w:hAnsi="Times New Roman" w:cs="Times New Roman"/>
        </w:rPr>
        <w:t xml:space="preserve">- and </w:t>
      </w:r>
      <w:r w:rsidR="006E219F" w:rsidRPr="00BC5A98">
        <w:rPr>
          <w:rFonts w:ascii="Times New Roman" w:hAnsi="Times New Roman" w:cs="Times New Roman"/>
          <w:lang w:val="el-GR"/>
        </w:rPr>
        <w:t>γδ</w:t>
      </w:r>
      <w:r w:rsidR="006E219F" w:rsidRPr="00BC5A98">
        <w:rPr>
          <w:rFonts w:ascii="Times New Roman" w:hAnsi="Times New Roman" w:cs="Times New Roman"/>
        </w:rPr>
        <w:t>-T cells</w:t>
      </w:r>
      <w:r w:rsidR="006E219F">
        <w:rPr>
          <w:rFonts w:ascii="Times New Roman" w:hAnsi="Times New Roman" w:cs="Times New Roman" w:hint="eastAsia"/>
        </w:rPr>
        <w:t>. (C) The influence of lactic acid on the expression of CD3 and TCR</w:t>
      </w:r>
      <w:r w:rsidR="006E219F">
        <w:rPr>
          <w:rFonts w:ascii="Times New Roman" w:hAnsi="Times New Roman" w:cs="Times New Roman" w:hint="eastAsia"/>
          <w:lang w:val="el-GR"/>
        </w:rPr>
        <w:t xml:space="preserve"> at </w:t>
      </w:r>
      <w:r w:rsidR="006E219F" w:rsidRPr="00BC5A98">
        <w:rPr>
          <w:rFonts w:ascii="Times New Roman" w:hAnsi="Times New Roman" w:cs="Times New Roman"/>
          <w:lang w:val="el-GR"/>
        </w:rPr>
        <w:t>αβ</w:t>
      </w:r>
      <w:r w:rsidR="006E219F" w:rsidRPr="00BC5A98">
        <w:rPr>
          <w:rFonts w:ascii="Times New Roman" w:hAnsi="Times New Roman" w:cs="Times New Roman"/>
        </w:rPr>
        <w:t>-</w:t>
      </w:r>
      <w:r w:rsidR="006E219F">
        <w:rPr>
          <w:rFonts w:ascii="Times New Roman" w:hAnsi="Times New Roman" w:cs="Times New Roman" w:hint="eastAsia"/>
        </w:rPr>
        <w:t xml:space="preserve">T and </w:t>
      </w:r>
      <w:r w:rsidR="006E219F" w:rsidRPr="00BC5A98">
        <w:rPr>
          <w:rFonts w:ascii="Times New Roman" w:hAnsi="Times New Roman" w:cs="Times New Roman"/>
          <w:lang w:val="el-GR"/>
        </w:rPr>
        <w:t>γδ</w:t>
      </w:r>
      <w:r w:rsidR="006E219F" w:rsidRPr="00BC5A98">
        <w:rPr>
          <w:rFonts w:ascii="Times New Roman" w:hAnsi="Times New Roman" w:cs="Times New Roman"/>
        </w:rPr>
        <w:t>-T cells</w:t>
      </w:r>
      <w:r w:rsidR="006E219F">
        <w:rPr>
          <w:rFonts w:ascii="Times New Roman" w:hAnsi="Times New Roman" w:cs="Times New Roman" w:hint="eastAsia"/>
        </w:rPr>
        <w:t xml:space="preserve">. </w:t>
      </w:r>
      <w:r w:rsidR="00E45480">
        <w:rPr>
          <w:rFonts w:ascii="Times New Roman" w:hAnsi="Times New Roman" w:cs="Times New Roman"/>
        </w:rPr>
        <w:t>S</w:t>
      </w:r>
      <w:r w:rsidR="00E45480">
        <w:rPr>
          <w:rFonts w:ascii="Times New Roman" w:hAnsi="Times New Roman" w:cs="Times New Roman" w:hint="eastAsia"/>
        </w:rPr>
        <w:t>t</w:t>
      </w:r>
      <w:r w:rsidR="00E45480">
        <w:rPr>
          <w:rFonts w:ascii="Times New Roman" w:hAnsi="Times New Roman" w:cs="Times New Roman"/>
        </w:rPr>
        <w:t xml:space="preserve">atistics were analyzed using a t-test. </w:t>
      </w:r>
      <w:r w:rsidR="006E219F">
        <w:rPr>
          <w:rFonts w:ascii="Times New Roman" w:hAnsi="Times New Roman" w:cs="Times New Roman" w:hint="eastAsia"/>
        </w:rPr>
        <w:t>***</w:t>
      </w:r>
      <w:r w:rsidR="006E219F" w:rsidRPr="001A4668">
        <w:rPr>
          <w:rFonts w:ascii="Times New Roman" w:hAnsi="Times New Roman" w:cs="Times New Roman" w:hint="eastAsia"/>
          <w:i/>
        </w:rPr>
        <w:t>p</w:t>
      </w:r>
      <w:r w:rsidR="006E219F">
        <w:rPr>
          <w:rFonts w:ascii="Times New Roman" w:hAnsi="Times New Roman" w:cs="Times New Roman" w:hint="eastAsia"/>
        </w:rPr>
        <w:t>&lt;0.001</w:t>
      </w:r>
    </w:p>
    <w:p w14:paraId="3D52A0D0" w14:textId="77777777" w:rsidR="006E219F" w:rsidRDefault="006E219F"/>
    <w:p w14:paraId="25F00D80" w14:textId="77777777" w:rsidR="004F3552" w:rsidRDefault="004F3552" w:rsidP="006E219F">
      <w:pPr>
        <w:rPr>
          <w:rFonts w:ascii="Times New Roman" w:hAnsi="Times New Roman" w:cs="Times New Roman"/>
        </w:rPr>
      </w:pPr>
    </w:p>
    <w:p w14:paraId="0542BB59" w14:textId="77777777" w:rsidR="004F3552" w:rsidRDefault="004F3552" w:rsidP="006E219F">
      <w:pPr>
        <w:rPr>
          <w:rFonts w:ascii="Times New Roman" w:hAnsi="Times New Roman" w:cs="Times New Roman"/>
        </w:rPr>
      </w:pPr>
    </w:p>
    <w:p w14:paraId="109857ED" w14:textId="77777777" w:rsidR="004F3552" w:rsidRDefault="004F3552" w:rsidP="006E219F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 w:hint="eastAsia"/>
        </w:rPr>
        <w:lastRenderedPageBreak/>
        <w:t>S</w:t>
      </w:r>
      <w:r>
        <w:rPr>
          <w:rFonts w:ascii="Times New Roman" w:hAnsi="Times New Roman" w:cs="Times New Roman"/>
        </w:rPr>
        <w:t>upplementary Figure 2</w:t>
      </w:r>
    </w:p>
    <w:p w14:paraId="3F71DD97" w14:textId="60F34289" w:rsidR="004F3552" w:rsidRDefault="004F3552" w:rsidP="006E219F">
      <w:pPr>
        <w:rPr>
          <w:rFonts w:ascii="Times New Roman" w:hAnsi="Times New Roman" w:cs="Times New Roman"/>
        </w:rPr>
      </w:pPr>
    </w:p>
    <w:p w14:paraId="6F4C7C93" w14:textId="0DC107E7" w:rsidR="00773EF9" w:rsidRPr="00773EF9" w:rsidRDefault="00CC6320" w:rsidP="006E21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FDFE2A8" wp14:editId="6C8B8070">
            <wp:extent cx="5274000" cy="2376000"/>
            <wp:effectExtent l="0" t="0" r="3175" b="571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4EB011" w14:textId="29828FC1" w:rsidR="006E219F" w:rsidRDefault="006E219F" w:rsidP="006E219F">
      <w:pPr>
        <w:rPr>
          <w:rFonts w:ascii="Times New Roman" w:hAnsi="Times New Roman" w:cs="Times New Roman"/>
        </w:rPr>
      </w:pPr>
      <w:r w:rsidRPr="00B97A04">
        <w:rPr>
          <w:rFonts w:ascii="Times New Roman" w:hAnsi="Times New Roman" w:cs="Times New Roman"/>
          <w:b/>
        </w:rPr>
        <w:t xml:space="preserve">Supplementary Figure 2. Effect of lactic acid on TCR signaling of αβ and </w:t>
      </w:r>
      <w:proofErr w:type="spellStart"/>
      <w:r w:rsidRPr="00B97A04">
        <w:rPr>
          <w:rFonts w:ascii="Times New Roman" w:hAnsi="Times New Roman" w:cs="Times New Roman"/>
          <w:b/>
        </w:rPr>
        <w:t>γδ</w:t>
      </w:r>
      <w:proofErr w:type="spellEnd"/>
      <w:r w:rsidRPr="00B97A04">
        <w:rPr>
          <w:rFonts w:ascii="Times New Roman" w:hAnsi="Times New Roman" w:cs="Times New Roman"/>
          <w:b/>
        </w:rPr>
        <w:t xml:space="preserve"> T cells.</w:t>
      </w:r>
      <w:r w:rsidRPr="006E219F">
        <w:rPr>
          <w:rFonts w:ascii="Times New Roman" w:hAnsi="Times New Roman" w:cs="Times New Roman"/>
        </w:rPr>
        <w:t xml:space="preserve"> (A) Effect of lactic acid on </w:t>
      </w:r>
      <w:r w:rsidR="001F3058">
        <w:rPr>
          <w:rFonts w:ascii="Times New Roman" w:hAnsi="Times New Roman" w:cs="Times New Roman"/>
        </w:rPr>
        <w:t xml:space="preserve">the </w:t>
      </w:r>
      <w:r w:rsidRPr="006E219F">
        <w:rPr>
          <w:rFonts w:ascii="Times New Roman" w:hAnsi="Times New Roman" w:cs="Times New Roman"/>
        </w:rPr>
        <w:t xml:space="preserve">early stage of TCR signaling in αβ and </w:t>
      </w:r>
      <w:proofErr w:type="spellStart"/>
      <w:r w:rsidRPr="006E219F">
        <w:rPr>
          <w:rFonts w:ascii="Times New Roman" w:hAnsi="Times New Roman" w:cs="Times New Roman"/>
        </w:rPr>
        <w:t>γδ</w:t>
      </w:r>
      <w:proofErr w:type="spellEnd"/>
      <w:r w:rsidRPr="006E219F">
        <w:rPr>
          <w:rFonts w:ascii="Times New Roman" w:hAnsi="Times New Roman" w:cs="Times New Roman"/>
        </w:rPr>
        <w:t xml:space="preserve"> T cells. Both 2×106 of rested αβ and </w:t>
      </w:r>
      <w:proofErr w:type="spellStart"/>
      <w:r w:rsidRPr="006E219F">
        <w:rPr>
          <w:rFonts w:ascii="Times New Roman" w:hAnsi="Times New Roman" w:cs="Times New Roman"/>
        </w:rPr>
        <w:t>γδ</w:t>
      </w:r>
      <w:proofErr w:type="spellEnd"/>
      <w:r w:rsidRPr="006E219F">
        <w:rPr>
          <w:rFonts w:ascii="Times New Roman" w:hAnsi="Times New Roman" w:cs="Times New Roman"/>
        </w:rPr>
        <w:t xml:space="preserve"> T cells were cultured in different </w:t>
      </w:r>
      <w:r w:rsidR="001F3058">
        <w:rPr>
          <w:rFonts w:ascii="Times New Roman" w:hAnsi="Times New Roman" w:cs="Times New Roman"/>
        </w:rPr>
        <w:t>doses of lactic acid-containing medium for 5 hours</w:t>
      </w:r>
      <w:r w:rsidRPr="006E219F">
        <w:rPr>
          <w:rFonts w:ascii="Times New Roman" w:hAnsi="Times New Roman" w:cs="Times New Roman"/>
        </w:rPr>
        <w:t xml:space="preserve">. The treated T cells were then activated by OKT-3/anti-mouse IgG complex. The total </w:t>
      </w:r>
      <w:r w:rsidR="001F3058">
        <w:rPr>
          <w:rFonts w:ascii="Times New Roman" w:hAnsi="Times New Roman" w:cs="Times New Roman"/>
        </w:rPr>
        <w:t>protein lysates were harvested at the designated</w:t>
      </w:r>
      <w:r w:rsidRPr="006E219F">
        <w:rPr>
          <w:rFonts w:ascii="Times New Roman" w:hAnsi="Times New Roman" w:cs="Times New Roman"/>
        </w:rPr>
        <w:t xml:space="preserve"> time. The phosphorylation level of CD3ε and LCK </w:t>
      </w:r>
      <w:r w:rsidR="001F3058">
        <w:rPr>
          <w:rFonts w:ascii="Times New Roman" w:hAnsi="Times New Roman" w:cs="Times New Roman"/>
        </w:rPr>
        <w:t>was</w:t>
      </w:r>
      <w:r w:rsidRPr="006E219F">
        <w:rPr>
          <w:rFonts w:ascii="Times New Roman" w:hAnsi="Times New Roman" w:cs="Times New Roman"/>
        </w:rPr>
        <w:t xml:space="preserve"> further analyzed by </w:t>
      </w:r>
      <w:r w:rsidR="001F3058">
        <w:rPr>
          <w:rFonts w:ascii="Times New Roman" w:hAnsi="Times New Roman" w:cs="Times New Roman"/>
        </w:rPr>
        <w:t>Western</w:t>
      </w:r>
      <w:r w:rsidRPr="006E219F">
        <w:rPr>
          <w:rFonts w:ascii="Times New Roman" w:hAnsi="Times New Roman" w:cs="Times New Roman"/>
        </w:rPr>
        <w:t xml:space="preserve"> blot. (B) Effect of lactic acid on </w:t>
      </w:r>
      <w:proofErr w:type="spellStart"/>
      <w:r w:rsidRPr="006E219F">
        <w:rPr>
          <w:rFonts w:ascii="Times New Roman" w:hAnsi="Times New Roman" w:cs="Times New Roman"/>
        </w:rPr>
        <w:t>Kv</w:t>
      </w:r>
      <w:proofErr w:type="spellEnd"/>
      <w:r w:rsidRPr="006E219F">
        <w:rPr>
          <w:rFonts w:ascii="Times New Roman" w:hAnsi="Times New Roman" w:cs="Times New Roman"/>
        </w:rPr>
        <w:t xml:space="preserve"> 1.3 </w:t>
      </w:r>
      <w:r w:rsidR="001F3058">
        <w:rPr>
          <w:rFonts w:ascii="Times New Roman" w:hAnsi="Times New Roman" w:cs="Times New Roman"/>
        </w:rPr>
        <w:t>channel-mediated</w:t>
      </w:r>
      <w:r w:rsidRPr="006E219F">
        <w:rPr>
          <w:rFonts w:ascii="Times New Roman" w:hAnsi="Times New Roman" w:cs="Times New Roman"/>
        </w:rPr>
        <w:t xml:space="preserve"> plasma membrane depolarization. Two million </w:t>
      </w:r>
      <w:r w:rsidR="001F3058">
        <w:rPr>
          <w:rFonts w:ascii="Times New Roman" w:hAnsi="Times New Roman" w:cs="Times New Roman"/>
        </w:rPr>
        <w:t xml:space="preserve">αβ- or </w:t>
      </w:r>
      <w:proofErr w:type="spellStart"/>
      <w:r w:rsidR="001F3058">
        <w:rPr>
          <w:rFonts w:ascii="Times New Roman" w:hAnsi="Times New Roman" w:cs="Times New Roman"/>
        </w:rPr>
        <w:t>γδ</w:t>
      </w:r>
      <w:proofErr w:type="spellEnd"/>
      <w:r w:rsidR="001F3058">
        <w:rPr>
          <w:rFonts w:ascii="Times New Roman" w:hAnsi="Times New Roman" w:cs="Times New Roman"/>
        </w:rPr>
        <w:t xml:space="preserve">-T cells were cultured in 2mL </w:t>
      </w:r>
      <w:r w:rsidR="0085303A">
        <w:rPr>
          <w:rFonts w:ascii="Times New Roman" w:hAnsi="Times New Roman" w:cs="Times New Roman"/>
        </w:rPr>
        <w:t xml:space="preserve">of culture medium with lactic acid or various doses of HsTX1 overnight in </w:t>
      </w:r>
      <w:r w:rsidRPr="006E219F">
        <w:rPr>
          <w:rFonts w:ascii="Times New Roman" w:hAnsi="Times New Roman" w:cs="Times New Roman"/>
        </w:rPr>
        <w:t xml:space="preserve">24-well plates pre-coated with anti-CD3. Cells cultured in normal medium were set as </w:t>
      </w:r>
      <w:r w:rsidR="001F3058">
        <w:rPr>
          <w:rFonts w:ascii="Times New Roman" w:hAnsi="Times New Roman" w:cs="Times New Roman"/>
        </w:rPr>
        <w:t xml:space="preserve">the </w:t>
      </w:r>
      <w:r w:rsidRPr="006E219F">
        <w:rPr>
          <w:rFonts w:ascii="Times New Roman" w:hAnsi="Times New Roman" w:cs="Times New Roman"/>
        </w:rPr>
        <w:t xml:space="preserve">control. </w:t>
      </w:r>
      <w:r w:rsidR="001F3058">
        <w:rPr>
          <w:rFonts w:ascii="Times New Roman" w:hAnsi="Times New Roman" w:cs="Times New Roman"/>
        </w:rPr>
        <w:t>T cell polarization was evaluated by DIBAC4 staining and flow cytometry</w:t>
      </w:r>
      <w:r w:rsidRPr="006E219F">
        <w:rPr>
          <w:rFonts w:ascii="Times New Roman" w:hAnsi="Times New Roman" w:cs="Times New Roman"/>
        </w:rPr>
        <w:t xml:space="preserve">. (C) Effect of KV 1.3 channel inhibition on cell surface TCR expression of αβ and </w:t>
      </w:r>
      <w:proofErr w:type="spellStart"/>
      <w:r w:rsidRPr="006E219F">
        <w:rPr>
          <w:rFonts w:ascii="Times New Roman" w:hAnsi="Times New Roman" w:cs="Times New Roman"/>
        </w:rPr>
        <w:t>γδ</w:t>
      </w:r>
      <w:proofErr w:type="spellEnd"/>
      <w:r w:rsidRPr="006E219F">
        <w:rPr>
          <w:rFonts w:ascii="Times New Roman" w:hAnsi="Times New Roman" w:cs="Times New Roman"/>
        </w:rPr>
        <w:t xml:space="preserve"> T cells. </w:t>
      </w:r>
      <w:r w:rsidR="00E45480">
        <w:rPr>
          <w:rFonts w:ascii="Times New Roman" w:hAnsi="Times New Roman" w:cs="Times New Roman"/>
        </w:rPr>
        <w:t xml:space="preserve">Statistics were analyzed using a t-test compared with the control group. </w:t>
      </w:r>
      <w:r w:rsidRPr="006E219F">
        <w:rPr>
          <w:rFonts w:ascii="Times New Roman" w:hAnsi="Times New Roman" w:cs="Times New Roman"/>
        </w:rPr>
        <w:t>***p&lt;0.001</w:t>
      </w:r>
    </w:p>
    <w:p w14:paraId="7BC53737" w14:textId="77777777" w:rsidR="006E219F" w:rsidRDefault="006E219F" w:rsidP="006E219F">
      <w:pPr>
        <w:rPr>
          <w:rFonts w:ascii="Times New Roman" w:hAnsi="Times New Roman" w:cs="Times New Roman"/>
        </w:rPr>
      </w:pPr>
    </w:p>
    <w:p w14:paraId="57E43E47" w14:textId="77777777" w:rsidR="004F3552" w:rsidRDefault="004F3552" w:rsidP="006E219F">
      <w:pPr>
        <w:rPr>
          <w:rFonts w:ascii="Times New Roman" w:hAnsi="Times New Roman" w:cs="Times New Roman"/>
        </w:rPr>
      </w:pPr>
    </w:p>
    <w:p w14:paraId="6A360906" w14:textId="77777777" w:rsidR="004F3552" w:rsidRDefault="004F3552" w:rsidP="006E219F">
      <w:pPr>
        <w:rPr>
          <w:rFonts w:ascii="Times New Roman" w:hAnsi="Times New Roman" w:cs="Times New Roman"/>
        </w:rPr>
      </w:pPr>
    </w:p>
    <w:p w14:paraId="36052636" w14:textId="77777777" w:rsidR="004F3552" w:rsidRDefault="004F3552" w:rsidP="006E219F">
      <w:pPr>
        <w:rPr>
          <w:rFonts w:ascii="Times New Roman" w:hAnsi="Times New Roman" w:cs="Times New Roman"/>
        </w:rPr>
      </w:pPr>
    </w:p>
    <w:p w14:paraId="7E97C932" w14:textId="77777777" w:rsidR="004F3552" w:rsidRDefault="004F3552" w:rsidP="006E219F">
      <w:pPr>
        <w:rPr>
          <w:rFonts w:ascii="Times New Roman" w:hAnsi="Times New Roman" w:cs="Times New Roman"/>
        </w:rPr>
      </w:pPr>
    </w:p>
    <w:p w14:paraId="200E6C5E" w14:textId="77777777" w:rsidR="004F3552" w:rsidRDefault="004F3552" w:rsidP="006E219F">
      <w:pPr>
        <w:rPr>
          <w:rFonts w:ascii="Times New Roman" w:hAnsi="Times New Roman" w:cs="Times New Roman"/>
        </w:rPr>
      </w:pPr>
    </w:p>
    <w:p w14:paraId="64600685" w14:textId="77777777" w:rsidR="004F3552" w:rsidRDefault="004F3552" w:rsidP="006E219F">
      <w:pPr>
        <w:rPr>
          <w:rFonts w:ascii="Times New Roman" w:hAnsi="Times New Roman" w:cs="Times New Roman"/>
        </w:rPr>
      </w:pPr>
    </w:p>
    <w:p w14:paraId="52E71B3E" w14:textId="77777777" w:rsidR="004F3552" w:rsidRDefault="004F3552" w:rsidP="006E219F">
      <w:pPr>
        <w:rPr>
          <w:rFonts w:ascii="Times New Roman" w:hAnsi="Times New Roman" w:cs="Times New Roman"/>
        </w:rPr>
      </w:pPr>
    </w:p>
    <w:p w14:paraId="070D0E31" w14:textId="77777777" w:rsidR="004F3552" w:rsidRDefault="004F3552" w:rsidP="006E219F">
      <w:pPr>
        <w:rPr>
          <w:rFonts w:ascii="Times New Roman" w:hAnsi="Times New Roman" w:cs="Times New Roman"/>
        </w:rPr>
      </w:pPr>
    </w:p>
    <w:p w14:paraId="1AE61A29" w14:textId="77777777" w:rsidR="004F3552" w:rsidRDefault="004F3552" w:rsidP="006E219F">
      <w:pPr>
        <w:rPr>
          <w:rFonts w:ascii="Times New Roman" w:hAnsi="Times New Roman" w:cs="Times New Roman"/>
        </w:rPr>
      </w:pPr>
    </w:p>
    <w:p w14:paraId="0C2813A0" w14:textId="77777777" w:rsidR="006E219F" w:rsidRDefault="006E219F"/>
    <w:sectPr w:rsidR="006E21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F37A8" w14:textId="77777777" w:rsidR="00F34C56" w:rsidRDefault="00F34C56" w:rsidP="0085303A">
      <w:r>
        <w:separator/>
      </w:r>
    </w:p>
  </w:endnote>
  <w:endnote w:type="continuationSeparator" w:id="0">
    <w:p w14:paraId="3E9B045D" w14:textId="77777777" w:rsidR="00F34C56" w:rsidRDefault="00F34C56" w:rsidP="0085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1AB66" w14:textId="77777777" w:rsidR="00F34C56" w:rsidRDefault="00F34C56" w:rsidP="0085303A">
      <w:r>
        <w:separator/>
      </w:r>
    </w:p>
  </w:footnote>
  <w:footnote w:type="continuationSeparator" w:id="0">
    <w:p w14:paraId="4E4D64B4" w14:textId="77777777" w:rsidR="00F34C56" w:rsidRDefault="00F34C56" w:rsidP="00853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E9D"/>
    <w:rsid w:val="001F3058"/>
    <w:rsid w:val="0020074E"/>
    <w:rsid w:val="004F3552"/>
    <w:rsid w:val="005377E8"/>
    <w:rsid w:val="006E219F"/>
    <w:rsid w:val="00773EF9"/>
    <w:rsid w:val="0085303A"/>
    <w:rsid w:val="009E277B"/>
    <w:rsid w:val="00A94E9D"/>
    <w:rsid w:val="00B97A04"/>
    <w:rsid w:val="00BE6B2F"/>
    <w:rsid w:val="00CC6320"/>
    <w:rsid w:val="00E2272B"/>
    <w:rsid w:val="00E45480"/>
    <w:rsid w:val="00F34C56"/>
    <w:rsid w:val="00F3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8B750"/>
  <w15:chartTrackingRefBased/>
  <w15:docId w15:val="{44C170B8-8357-419B-87A1-F59ECA53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30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30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30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30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2026-02-23T09:58:00Z</cp:lastPrinted>
  <dcterms:created xsi:type="dcterms:W3CDTF">2025-10-14T08:18:00Z</dcterms:created>
  <dcterms:modified xsi:type="dcterms:W3CDTF">2026-05-21T02:14:00Z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07c10631-fa04-4299-8393-1a2f49cfa243</vt:lpwstr>
  </property>
</Properties>
</file>