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4C72" w14:textId="77777777" w:rsidR="00FB0A13" w:rsidRDefault="00FB0A13" w:rsidP="00FB0A13">
      <w:pPr>
        <w:pStyle w:val="Heading2"/>
        <w:spacing w:before="0" w:after="200"/>
        <w:ind w:left="-270" w:right="-2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Supplemental Materials</w:t>
      </w:r>
    </w:p>
    <w:p w14:paraId="5EDF7CB7" w14:textId="77777777" w:rsidR="00FB0A13" w:rsidRDefault="00FB0A13" w:rsidP="00FB0A13">
      <w:pPr>
        <w:pStyle w:val="Heading3"/>
        <w:spacing w:before="0" w:after="200"/>
        <w:ind w:left="-270" w:right="-27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79qrath9dj7e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Supplement 1. Item-level symptom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change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at post-session 6</w:t>
      </w:r>
    </w:p>
    <w:p w14:paraId="3EC06760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Change in each of the 10 PGD-13 symptom items from baseline to post-session 6, ranked by mean change (n = 121 completers).</w:t>
      </w:r>
    </w:p>
    <w:tbl>
      <w:tblPr>
        <w:tblW w:w="9405" w:type="dxa"/>
        <w:tblInd w:w="-27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850"/>
        <w:gridCol w:w="990"/>
        <w:gridCol w:w="900"/>
        <w:gridCol w:w="1005"/>
        <w:gridCol w:w="1260"/>
        <w:gridCol w:w="1665"/>
      </w:tblGrid>
      <w:tr w:rsidR="00FB0A13" w14:paraId="05BA7D00" w14:textId="77777777" w:rsidTr="0034751D">
        <w:trPr>
          <w:trHeight w:val="259"/>
          <w:tblHeader/>
        </w:trPr>
        <w:tc>
          <w:tcPr>
            <w:tcW w:w="73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64AA11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Rank</w:t>
            </w:r>
          </w:p>
        </w:tc>
        <w:tc>
          <w:tcPr>
            <w:tcW w:w="285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813F489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PGD-13 item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098F05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Baseline mean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648A81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Post-s6 mean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4C64A76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Mean change Δ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4C773E1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% change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594BA4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bootstrap CI on Δ</w:t>
            </w:r>
          </w:p>
        </w:tc>
      </w:tr>
      <w:tr w:rsidR="00FB0A13" w14:paraId="2D0996F5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E5A289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43D4F10B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Q3 - identity / role confusion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B2FFCF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B07DAD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762EE1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95440C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−35.9%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046893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−1.70 to −1.24</w:t>
            </w:r>
          </w:p>
        </w:tc>
      </w:tr>
      <w:tr w:rsidR="00FB0A13" w14:paraId="0C971379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63F10866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30DC1FA6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Q2 - preoccupation (trouble doing things)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7B7010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3.53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2AFBF6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2.24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B4E223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−1.29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F845FD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−36.5%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45E9C1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−1.50 to −1.06</w:t>
            </w:r>
          </w:p>
        </w:tc>
      </w:tr>
      <w:tr w:rsidR="00FB0A13" w14:paraId="35DFCA48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AD2B8C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106E656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Q8 - emotional numbness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0BF2E6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3.93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616347D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2.65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38C7953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−1.28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BB51D5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−32.6%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4E33D78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−1.48 to −1.08</w:t>
            </w:r>
          </w:p>
        </w:tc>
      </w:tr>
      <w:tr w:rsidR="00FB0A13" w14:paraId="6FF05BB3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655FF22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CD91B95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Q7 - trouble re-engaging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003E81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0EA8BD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2.72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103DC1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−1.28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C1F83E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−32.0%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012E53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−1.49 to −1.07</w:t>
            </w:r>
          </w:p>
        </w:tc>
      </w:tr>
      <w:tr w:rsidR="00FB0A13" w14:paraId="0B5E54F4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2FAD15F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B3F0DFE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Q1 - yearning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D08931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4.31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CFF3CE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3.06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6CF830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−1.26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1E307C6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−29.1%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DAE1B6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−1.48 to −1.05</w:t>
            </w:r>
          </w:p>
        </w:tc>
      </w:tr>
      <w:tr w:rsidR="00FB0A13" w14:paraId="7B90CE2C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3CEDC4E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8A75E23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Q6 - emotional pain (anger, bitterness, sorrow)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7D3092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4.35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6121B7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3.20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4FB4945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−1.15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DAB03C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−26.4%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4BDAC8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−1.39 to −0.91</w:t>
            </w:r>
          </w:p>
        </w:tc>
      </w:tr>
      <w:tr w:rsidR="00FB0A13" w14:paraId="02A3F376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D4255F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4E982E1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Q10 - loneliness without the deceased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3D4EE5F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3.88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6D890F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2.88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D3F217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−1.01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49F386C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−26.0%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E85809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−1.21 to −0.80</w:t>
            </w:r>
          </w:p>
        </w:tc>
      </w:tr>
      <w:tr w:rsidR="00FB0A13" w14:paraId="1DF1ABD9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66BFA2F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60DC11A2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Q9 -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life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meaningless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59D694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2.90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32DC216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2.01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41F971C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−0.89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98E126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−30.8%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A655EC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−1.11 to −0.68</w:t>
            </w:r>
          </w:p>
        </w:tc>
      </w:tr>
      <w:tr w:rsidR="00FB0A13" w14:paraId="56CFE91E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5B5A561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33A64571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Q4 - trouble believing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CC2CEA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2.78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87EA4E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1.95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D88E94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−0.83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86A9EA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−29.8%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1D54BC7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−1.07 to −0.58</w:t>
            </w:r>
          </w:p>
        </w:tc>
      </w:tr>
      <w:tr w:rsidR="00FB0A13" w14:paraId="440F1BA4" w14:textId="77777777" w:rsidTr="0034751D">
        <w:trPr>
          <w:trHeight w:val="259"/>
        </w:trPr>
        <w:tc>
          <w:tcPr>
            <w:tcW w:w="73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12EF85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01FA16A6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Q5 - avoid reminders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243872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3.18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3A4553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2.47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726513B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−0.71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2AB12D7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−22.3%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</w:tcPr>
          <w:p w14:paraId="6A290E1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−0.97 to −0.45</w:t>
            </w:r>
          </w:p>
        </w:tc>
      </w:tr>
    </w:tbl>
    <w:p w14:paraId="12A449C2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</w:rPr>
      </w:pPr>
    </w:p>
    <w:p w14:paraId="43AE4F86" w14:textId="77777777" w:rsidR="00FB0A13" w:rsidRDefault="00FB0A13" w:rsidP="00FB0A13">
      <w:pPr>
        <w:pStyle w:val="Heading3"/>
        <w:spacing w:before="0" w:after="200"/>
        <w:ind w:left="-270" w:right="-27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dfie05bya348" w:colFirst="0" w:colLast="0"/>
      <w:bookmarkEnd w:id="1"/>
      <w:r>
        <w:lastRenderedPageBreak/>
        <w:br w:type="page"/>
      </w:r>
    </w:p>
    <w:p w14:paraId="112D9C6D" w14:textId="77777777" w:rsidR="00FB0A13" w:rsidRDefault="00FB0A13" w:rsidP="00FB0A13">
      <w:pPr>
        <w:pStyle w:val="Heading3"/>
        <w:spacing w:before="0" w:after="200"/>
        <w:ind w:left="-270" w:right="-27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ro01iqkghewj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Supplement 2. Baseline diagnostic criteria failure patterns</w:t>
      </w:r>
    </w:p>
    <w:p w14:paraId="1DD6C5C9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  <w:i/>
          <w:iCs/>
        </w:rPr>
      </w:pPr>
      <w:r>
        <w:rPr>
          <w:rFonts w:ascii="Gungsuh" w:eastAsia="Gungsuh" w:hAnsi="Gungsuh" w:cs="Gungsuh"/>
          <w:i/>
          <w:iCs/>
        </w:rPr>
        <w:t>Among the 503 participants who met the entry score threshold but did not meet full diagnostic criteria at baseline, which criterion they failed. Shown separately under ICD-11 (≥ 6 months since loss) and DSM-5-TR (≥ 12 months since loss) duration thresholds.</w:t>
      </w:r>
    </w:p>
    <w:p w14:paraId="536E6EBC" w14:textId="77777777" w:rsidR="00FB0A13" w:rsidRDefault="00FB0A13" w:rsidP="00FB0A13">
      <w:pPr>
        <w:pStyle w:val="Heading4"/>
        <w:spacing w:before="0" w:after="200"/>
        <w:ind w:left="-270" w:right="-270"/>
        <w:rPr>
          <w:rFonts w:ascii="Times New Roman" w:eastAsia="Times New Roman" w:hAnsi="Times New Roman" w:cs="Times New Roman"/>
          <w:i w:val="0"/>
          <w:iCs w:val="0"/>
        </w:rPr>
      </w:pPr>
      <w:bookmarkStart w:id="3" w:name="_jxkjw87xr8gq" w:colFirst="0" w:colLast="0"/>
      <w:bookmarkEnd w:id="3"/>
      <w:r>
        <w:rPr>
          <w:rFonts w:ascii="Gungsuh" w:eastAsia="Gungsuh" w:hAnsi="Gungsuh" w:cs="Gungsuh"/>
          <w:i w:val="0"/>
          <w:iCs w:val="0"/>
        </w:rPr>
        <w:t>Supplement 2a. ICD-11 duration threshold (≥ 6 months)</w:t>
      </w:r>
    </w:p>
    <w:tbl>
      <w:tblPr>
        <w:tblW w:w="939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1665"/>
        <w:gridCol w:w="930"/>
        <w:gridCol w:w="1425"/>
        <w:gridCol w:w="2385"/>
      </w:tblGrid>
      <w:tr w:rsidR="00FB0A13" w14:paraId="059586D2" w14:textId="77777777" w:rsidTr="0034751D">
        <w:trPr>
          <w:trHeight w:val="259"/>
        </w:trPr>
        <w:tc>
          <w:tcPr>
            <w:tcW w:w="298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E9AFD69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Criterion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AF87A3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Failed (n / 503)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974638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119D3B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6DC898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Sole failure (this only)</w:t>
            </w:r>
          </w:p>
        </w:tc>
      </w:tr>
      <w:tr w:rsidR="00FB0A13" w14:paraId="624896B5" w14:textId="77777777" w:rsidTr="0034751D">
        <w:trPr>
          <w:trHeight w:val="259"/>
        </w:trPr>
        <w:tc>
          <w:tcPr>
            <w:tcW w:w="298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461DA5D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 xml:space="preserve">B - </w:t>
            </w:r>
            <w:proofErr w:type="gramStart"/>
            <w:r>
              <w:rPr>
                <w:rFonts w:ascii="Gungsuh" w:eastAsia="Gungsuh" w:hAnsi="Gungsuh" w:cs="Gungsuh"/>
              </w:rPr>
              <w:t>separation distress</w:t>
            </w:r>
            <w:proofErr w:type="gramEnd"/>
            <w:r>
              <w:rPr>
                <w:rFonts w:ascii="Gungsuh" w:eastAsia="Gungsuh" w:hAnsi="Gungsuh" w:cs="Gungsuh"/>
              </w:rPr>
              <w:t xml:space="preserve"> (Q1 ≥ 4)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90304D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3DD8AE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16.9%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5261E0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13.9–20.4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25BAEA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FB0A13" w14:paraId="4061234B" w14:textId="77777777" w:rsidTr="0034751D">
        <w:trPr>
          <w:trHeight w:val="259"/>
        </w:trPr>
        <w:tc>
          <w:tcPr>
            <w:tcW w:w="2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5CA8DA0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C - duration ≥ 6 months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6A7EDDF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35D471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22.9%</w:t>
            </w:r>
          </w:p>
        </w:tc>
        <w:tc>
          <w:tcPr>
            <w:tcW w:w="1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C7C6D2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19.4–26.7</w:t>
            </w:r>
          </w:p>
        </w:tc>
        <w:tc>
          <w:tcPr>
            <w:tcW w:w="23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C757046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FB0A13" w14:paraId="26C4CABC" w14:textId="77777777" w:rsidTr="0034751D">
        <w:trPr>
          <w:trHeight w:val="259"/>
        </w:trPr>
        <w:tc>
          <w:tcPr>
            <w:tcW w:w="2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993C371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D - symptom constellation (≥ 5 of Q2–Q10 at ≥ 4)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4BDC60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F62DDA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31.2%</w:t>
            </w:r>
          </w:p>
        </w:tc>
        <w:tc>
          <w:tcPr>
            <w:tcW w:w="1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EDEF53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27.3–35.4</w:t>
            </w:r>
          </w:p>
        </w:tc>
        <w:tc>
          <w:tcPr>
            <w:tcW w:w="23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A72F24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</w:tr>
      <w:tr w:rsidR="00FB0A13" w14:paraId="3B68B095" w14:textId="77777777" w:rsidTr="0034751D">
        <w:trPr>
          <w:trHeight w:val="259"/>
        </w:trPr>
        <w:tc>
          <w:tcPr>
            <w:tcW w:w="298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6A25268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 - functional impairment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C403DE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3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793331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10.9%</w:t>
            </w:r>
          </w:p>
        </w:tc>
        <w:tc>
          <w:tcPr>
            <w:tcW w:w="142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51AC18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8.5–14.0</w:t>
            </w:r>
          </w:p>
        </w:tc>
        <w:tc>
          <w:tcPr>
            <w:tcW w:w="238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E804F2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</w:tbl>
    <w:p w14:paraId="3A4B06D1" w14:textId="77777777" w:rsidR="00FB0A13" w:rsidRDefault="00FB0A13" w:rsidP="00FB0A13">
      <w:pPr>
        <w:spacing w:after="200"/>
        <w:rPr>
          <w:rFonts w:ascii="Times New Roman" w:eastAsia="Times New Roman" w:hAnsi="Times New Roman" w:cs="Times New Roman"/>
        </w:rPr>
      </w:pPr>
    </w:p>
    <w:p w14:paraId="6B514CBA" w14:textId="77777777" w:rsidR="00FB0A13" w:rsidRDefault="00FB0A13" w:rsidP="00FB0A13">
      <w:pPr>
        <w:spacing w:after="200"/>
        <w:rPr>
          <w:rFonts w:ascii="Times New Roman" w:eastAsia="Times New Roman" w:hAnsi="Times New Roman" w:cs="Times New Roman"/>
        </w:rPr>
      </w:pPr>
    </w:p>
    <w:p w14:paraId="28F95C61" w14:textId="77777777" w:rsidR="00FB0A13" w:rsidRDefault="00FB0A13" w:rsidP="00FB0A13">
      <w:pPr>
        <w:pStyle w:val="Heading4"/>
        <w:spacing w:before="0" w:after="200"/>
        <w:rPr>
          <w:rFonts w:ascii="Times New Roman" w:eastAsia="Times New Roman" w:hAnsi="Times New Roman" w:cs="Times New Roman"/>
          <w:i w:val="0"/>
          <w:iCs w:val="0"/>
        </w:rPr>
      </w:pPr>
      <w:bookmarkStart w:id="4" w:name="_1rawb4kysc3z" w:colFirst="0" w:colLast="0"/>
      <w:bookmarkEnd w:id="4"/>
      <w:r>
        <w:rPr>
          <w:rFonts w:ascii="Gungsuh" w:eastAsia="Gungsuh" w:hAnsi="Gungsuh" w:cs="Gungsuh"/>
          <w:i w:val="0"/>
          <w:iCs w:val="0"/>
        </w:rPr>
        <w:t>Supplement 2b. DSM-5-TR duration threshold (≥ 12 months)</w:t>
      </w:r>
    </w:p>
    <w:tbl>
      <w:tblPr>
        <w:tblW w:w="9315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1455"/>
        <w:gridCol w:w="960"/>
        <w:gridCol w:w="1545"/>
        <w:gridCol w:w="2325"/>
      </w:tblGrid>
      <w:tr w:rsidR="00FB0A13" w14:paraId="484D7ACA" w14:textId="77777777" w:rsidTr="0034751D">
        <w:trPr>
          <w:trHeight w:val="259"/>
        </w:trPr>
        <w:tc>
          <w:tcPr>
            <w:tcW w:w="303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159C2CB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Criterion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B92992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Failed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(n / 503)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20A118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74E915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C2AFD8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Sole failure (this only)</w:t>
            </w:r>
          </w:p>
        </w:tc>
      </w:tr>
      <w:tr w:rsidR="00FB0A13" w14:paraId="50F53A9C" w14:textId="77777777" w:rsidTr="0034751D">
        <w:trPr>
          <w:trHeight w:val="259"/>
        </w:trPr>
        <w:tc>
          <w:tcPr>
            <w:tcW w:w="303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F6C6156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 xml:space="preserve">B - </w:t>
            </w:r>
            <w:proofErr w:type="gramStart"/>
            <w:r>
              <w:rPr>
                <w:rFonts w:ascii="Gungsuh" w:eastAsia="Gungsuh" w:hAnsi="Gungsuh" w:cs="Gungsuh"/>
              </w:rPr>
              <w:t>separation distress</w:t>
            </w:r>
            <w:proofErr w:type="gramEnd"/>
            <w:r>
              <w:rPr>
                <w:rFonts w:ascii="Gungsuh" w:eastAsia="Gungsuh" w:hAnsi="Gungsuh" w:cs="Gungsuh"/>
              </w:rPr>
              <w:t xml:space="preserve"> (Q1 ≥ 4)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BDF04C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5C7D6CF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16.9%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E888EB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13.9–20.4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7D8530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FB0A13" w14:paraId="17A08468" w14:textId="77777777" w:rsidTr="0034751D">
        <w:trPr>
          <w:trHeight w:val="259"/>
        </w:trPr>
        <w:tc>
          <w:tcPr>
            <w:tcW w:w="3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AD64611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C - duration ≥ 12 months</w:t>
            </w:r>
          </w:p>
        </w:tc>
        <w:tc>
          <w:tcPr>
            <w:tcW w:w="1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94ADA6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7A8C42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36.0%</w:t>
            </w:r>
          </w:p>
        </w:tc>
        <w:tc>
          <w:tcPr>
            <w:tcW w:w="15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07920B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31.9–40.3</w:t>
            </w:r>
          </w:p>
        </w:tc>
        <w:tc>
          <w:tcPr>
            <w:tcW w:w="23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1E920E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B0A13" w14:paraId="697B9D22" w14:textId="77777777" w:rsidTr="0034751D">
        <w:trPr>
          <w:trHeight w:val="259"/>
        </w:trPr>
        <w:tc>
          <w:tcPr>
            <w:tcW w:w="3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40443B4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D - symptom constellation (≥ 5 of Q2–Q10 at ≥ 4)</w:t>
            </w:r>
          </w:p>
        </w:tc>
        <w:tc>
          <w:tcPr>
            <w:tcW w:w="14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2A6138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847F24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31.2%</w:t>
            </w:r>
          </w:p>
        </w:tc>
        <w:tc>
          <w:tcPr>
            <w:tcW w:w="15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B26EF5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27.3–35.4</w:t>
            </w:r>
          </w:p>
        </w:tc>
        <w:tc>
          <w:tcPr>
            <w:tcW w:w="23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FB8395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FB0A13" w14:paraId="32370555" w14:textId="77777777" w:rsidTr="0034751D">
        <w:trPr>
          <w:trHeight w:val="259"/>
        </w:trPr>
        <w:tc>
          <w:tcPr>
            <w:tcW w:w="303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64810D8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E - functional impairment</w:t>
            </w:r>
          </w:p>
        </w:tc>
        <w:tc>
          <w:tcPr>
            <w:tcW w:w="145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5BB131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4D87DC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10.9%</w:t>
            </w:r>
          </w:p>
        </w:tc>
        <w:tc>
          <w:tcPr>
            <w:tcW w:w="154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05CF62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8.5–14.0</w:t>
            </w:r>
          </w:p>
        </w:tc>
        <w:tc>
          <w:tcPr>
            <w:tcW w:w="232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95C3A5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</w:tbl>
    <w:p w14:paraId="03D45B0D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</w:rPr>
      </w:pPr>
    </w:p>
    <w:p w14:paraId="04B5A967" w14:textId="77777777" w:rsidR="00FB0A13" w:rsidRDefault="00FB0A13" w:rsidP="00FB0A13">
      <w:pPr>
        <w:pStyle w:val="Heading3"/>
        <w:spacing w:before="0" w:after="200"/>
        <w:ind w:left="-270" w:right="-270"/>
        <w:rPr>
          <w:rFonts w:ascii="Times New Roman" w:eastAsia="Times New Roman" w:hAnsi="Times New Roman" w:cs="Times New Roman"/>
          <w:sz w:val="24"/>
          <w:szCs w:val="24"/>
        </w:rPr>
      </w:pPr>
      <w:bookmarkStart w:id="5" w:name="_rm89fnuvw0yz" w:colFirst="0" w:colLast="0"/>
      <w:bookmarkEnd w:id="5"/>
      <w:r>
        <w:br w:type="page"/>
      </w:r>
    </w:p>
    <w:p w14:paraId="48307B91" w14:textId="77777777" w:rsidR="00FB0A13" w:rsidRDefault="00FB0A13" w:rsidP="00FB0A13">
      <w:pPr>
        <w:pStyle w:val="Heading3"/>
        <w:spacing w:before="0" w:after="200"/>
        <w:ind w:left="-270" w:right="-27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7e6dzvjla3ps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Supplement 3. Diagnostic remission among baseline cases by recency of loss</w:t>
      </w:r>
    </w:p>
    <w:p w14:paraId="07015324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  <w:i/>
          <w:iCs/>
        </w:rPr>
      </w:pPr>
      <w:r>
        <w:rPr>
          <w:rFonts w:ascii="Gungsuh" w:eastAsia="Gungsuh" w:hAnsi="Gungsuh" w:cs="Gungsuh"/>
          <w:i/>
          <w:iCs/>
        </w:rPr>
        <w:t>Among participants who met full diagnostic criteria at baseline and completed post-session 6, the proportion who no longer met criteria at post-session 6, by months since loss. Shown separately under ICD-11 (≥ 6 months) and DSM-5-TR (≥ 12 months) duration thresholds.</w:t>
      </w:r>
    </w:p>
    <w:p w14:paraId="58DF459F" w14:textId="77777777" w:rsidR="00FB0A13" w:rsidRDefault="00FB0A13" w:rsidP="00FB0A13">
      <w:pPr>
        <w:pStyle w:val="Heading4"/>
        <w:spacing w:before="0" w:after="200"/>
        <w:ind w:left="-270" w:right="-270"/>
        <w:rPr>
          <w:rFonts w:ascii="Times New Roman" w:eastAsia="Times New Roman" w:hAnsi="Times New Roman" w:cs="Times New Roman"/>
          <w:i w:val="0"/>
          <w:iCs w:val="0"/>
        </w:rPr>
      </w:pPr>
      <w:bookmarkStart w:id="7" w:name="_rb3auxbq8303" w:colFirst="0" w:colLast="0"/>
      <w:bookmarkEnd w:id="7"/>
      <w:r>
        <w:rPr>
          <w:rFonts w:ascii="Gungsuh" w:eastAsia="Gungsuh" w:hAnsi="Gungsuh" w:cs="Gungsuh"/>
          <w:i w:val="0"/>
          <w:iCs w:val="0"/>
        </w:rPr>
        <w:t>Supplement 3a. ICD-11 duration threshold (≥ 6 months)</w:t>
      </w:r>
    </w:p>
    <w:tbl>
      <w:tblPr>
        <w:tblW w:w="9420" w:type="dxa"/>
        <w:tblInd w:w="-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470"/>
        <w:gridCol w:w="2370"/>
        <w:gridCol w:w="1050"/>
        <w:gridCol w:w="1050"/>
        <w:gridCol w:w="1515"/>
      </w:tblGrid>
      <w:tr w:rsidR="00FB0A13" w14:paraId="4DD2ECD3" w14:textId="77777777" w:rsidTr="0034751D">
        <w:trPr>
          <w:trHeight w:val="259"/>
        </w:trPr>
        <w:tc>
          <w:tcPr>
            <w:tcW w:w="196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87ED1C9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Recency-of-loss band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442CA8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Baseline-case n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15FC9C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Completers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(n = post-s6)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2CD788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Remitted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F953EE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% remitted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B9A699F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Wilson CI</w:t>
            </w:r>
          </w:p>
        </w:tc>
      </w:tr>
      <w:tr w:rsidR="00FB0A13" w14:paraId="6840059A" w14:textId="77777777" w:rsidTr="0034751D">
        <w:trPr>
          <w:trHeight w:val="259"/>
        </w:trPr>
        <w:tc>
          <w:tcPr>
            <w:tcW w:w="19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FD4425B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6–11 months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D025F84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F174F9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C54A7B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6B33E9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81.8%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574432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52.3–94.9</w:t>
            </w:r>
          </w:p>
        </w:tc>
      </w:tr>
      <w:tr w:rsidR="00FB0A13" w14:paraId="3CB1DC28" w14:textId="77777777" w:rsidTr="0034751D">
        <w:trPr>
          <w:trHeight w:val="259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B23E31F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≥ 12 months</w:t>
            </w:r>
          </w:p>
        </w:tc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ACD17F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23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91D5AB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0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62ECFB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CE45FA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71.1%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03642EB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56.6–82.3</w:t>
            </w:r>
          </w:p>
        </w:tc>
      </w:tr>
      <w:tr w:rsidR="00FB0A13" w14:paraId="313EBD2A" w14:textId="77777777" w:rsidTr="0034751D">
        <w:trPr>
          <w:trHeight w:val="259"/>
        </w:trPr>
        <w:tc>
          <w:tcPr>
            <w:tcW w:w="196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E57B983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Overall</w:t>
            </w:r>
          </w:p>
        </w:tc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674835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237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EDECB7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05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431471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5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18003B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73.2%</w:t>
            </w:r>
          </w:p>
        </w:tc>
        <w:tc>
          <w:tcPr>
            <w:tcW w:w="151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71A265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60.4–83.0</w:t>
            </w:r>
          </w:p>
        </w:tc>
      </w:tr>
    </w:tbl>
    <w:p w14:paraId="4EEBD181" w14:textId="77777777" w:rsidR="00FB0A13" w:rsidRDefault="00FB0A13" w:rsidP="00FB0A13">
      <w:pPr>
        <w:spacing w:before="200" w:after="200"/>
        <w:ind w:left="-27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i/>
          <w:iCs/>
        </w:rPr>
        <w:t>Note. Under the DSM-5-TR duration threshold (≥ 12 months), all baseline cases fall in the ≥ 12 months band by construction; the remission rate matches the ≥ 12 months row above (32 of 45 completers, 71.1%, 95% Wilson CI 56.6–82.3).</w:t>
      </w:r>
    </w:p>
    <w:p w14:paraId="47D130DF" w14:textId="77777777" w:rsidR="00FB0A13" w:rsidRDefault="00FB0A13" w:rsidP="00FB0A13">
      <w:pPr>
        <w:pStyle w:val="Heading3"/>
        <w:spacing w:before="0" w:after="200"/>
        <w:ind w:left="-270"/>
        <w:rPr>
          <w:rFonts w:ascii="Times New Roman" w:eastAsia="Times New Roman" w:hAnsi="Times New Roman" w:cs="Times New Roman"/>
          <w:sz w:val="24"/>
          <w:szCs w:val="24"/>
        </w:rPr>
      </w:pPr>
      <w:bookmarkStart w:id="8" w:name="_ynkihhhhr90c" w:colFirst="0" w:colLast="0"/>
      <w:bookmarkEnd w:id="8"/>
      <w:r>
        <w:br w:type="page"/>
      </w:r>
    </w:p>
    <w:p w14:paraId="3F4CA57E" w14:textId="77777777" w:rsidR="00FB0A13" w:rsidRDefault="00FB0A13" w:rsidP="00FB0A13">
      <w:pPr>
        <w:pStyle w:val="Heading3"/>
        <w:spacing w:before="0" w:after="200"/>
        <w:ind w:left="-270"/>
        <w:rPr>
          <w:rFonts w:ascii="Times New Roman" w:eastAsia="Times New Roman" w:hAnsi="Times New Roman" w:cs="Times New Roman"/>
          <w:sz w:val="24"/>
          <w:szCs w:val="24"/>
        </w:rPr>
      </w:pPr>
      <w:bookmarkStart w:id="9" w:name="_3ny3x6jept5o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Supplement 4. Robustness checks under permissive thresholds</w:t>
      </w:r>
    </w:p>
    <w:p w14:paraId="7A759B60" w14:textId="77777777" w:rsidR="00FB0A13" w:rsidRDefault="00FB0A13" w:rsidP="00FB0A13">
      <w:pPr>
        <w:pStyle w:val="Heading4"/>
        <w:spacing w:before="0" w:after="200"/>
        <w:ind w:left="-270" w:right="-270"/>
        <w:rPr>
          <w:rFonts w:ascii="Times New Roman" w:eastAsia="Times New Roman" w:hAnsi="Times New Roman" w:cs="Times New Roman"/>
          <w:b/>
          <w:bCs/>
        </w:rPr>
      </w:pPr>
      <w:bookmarkStart w:id="10" w:name="_87alf8njgdbp" w:colFirst="0" w:colLast="0"/>
      <w:bookmarkEnd w:id="10"/>
      <w:r>
        <w:rPr>
          <w:rFonts w:ascii="Times New Roman" w:eastAsia="Times New Roman" w:hAnsi="Times New Roman" w:cs="Times New Roman"/>
        </w:rPr>
        <w:t xml:space="preserve">Two sensitivity analyses applying more permissive thresholds: (4a) any-improvement on each PGD-13 item, and (4b) </w:t>
      </w:r>
      <w:proofErr w:type="spellStart"/>
      <w:r>
        <w:rPr>
          <w:rFonts w:ascii="Times New Roman" w:eastAsia="Times New Roman" w:hAnsi="Times New Roman" w:cs="Times New Roman"/>
        </w:rPr>
        <w:t>caseness</w:t>
      </w:r>
      <w:proofErr w:type="spellEnd"/>
      <w:r>
        <w:rPr>
          <w:rFonts w:ascii="Times New Roman" w:eastAsia="Times New Roman" w:hAnsi="Times New Roman" w:cs="Times New Roman"/>
        </w:rPr>
        <w:t xml:space="preserve"> with the symptom-count requirement relaxed by one item.</w:t>
      </w:r>
    </w:p>
    <w:p w14:paraId="0CD6B275" w14:textId="77777777" w:rsidR="00FB0A13" w:rsidRDefault="00FB0A13" w:rsidP="00FB0A13">
      <w:pPr>
        <w:pStyle w:val="Heading4"/>
        <w:spacing w:before="0" w:after="200"/>
        <w:ind w:left="-270" w:right="-270"/>
        <w:rPr>
          <w:rFonts w:ascii="Times New Roman" w:eastAsia="Times New Roman" w:hAnsi="Times New Roman" w:cs="Times New Roman"/>
          <w:i w:val="0"/>
          <w:iCs w:val="0"/>
        </w:rPr>
      </w:pPr>
      <w:bookmarkStart w:id="11" w:name="_udkjd8juh8fe" w:colFirst="0" w:colLast="0"/>
      <w:bookmarkEnd w:id="11"/>
      <w:r>
        <w:rPr>
          <w:rFonts w:ascii="Times New Roman" w:eastAsia="Times New Roman" w:hAnsi="Times New Roman" w:cs="Times New Roman"/>
          <w:i w:val="0"/>
          <w:iCs w:val="0"/>
        </w:rPr>
        <w:t>Supplement 4a. Any-improvement rates across PGD-13 items</w:t>
      </w:r>
    </w:p>
    <w:p w14:paraId="2388DA4B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  <w:i/>
          <w:iCs/>
        </w:rPr>
      </w:pPr>
      <w:r>
        <w:rPr>
          <w:rFonts w:ascii="Gungsuh" w:eastAsia="Gungsuh" w:hAnsi="Gungsuh" w:cs="Gungsuh"/>
          <w:i/>
          <w:iCs/>
        </w:rPr>
        <w:t>Proportion of the 121 completers showing any improvement (≥ 1 point on the 1-to-5 scale) on each PGD-13 item from baseline to post-session 6.</w:t>
      </w:r>
    </w:p>
    <w:tbl>
      <w:tblPr>
        <w:tblW w:w="8880" w:type="dxa"/>
        <w:tblInd w:w="-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2865"/>
        <w:gridCol w:w="1575"/>
        <w:gridCol w:w="855"/>
        <w:gridCol w:w="1440"/>
        <w:gridCol w:w="1440"/>
      </w:tblGrid>
      <w:tr w:rsidR="00FB0A13" w14:paraId="761BDFBB" w14:textId="77777777" w:rsidTr="0034751D">
        <w:trPr>
          <w:trHeight w:val="259"/>
        </w:trPr>
        <w:tc>
          <w:tcPr>
            <w:tcW w:w="70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42B340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Rank</w:t>
            </w:r>
          </w:p>
        </w:tc>
        <w:tc>
          <w:tcPr>
            <w:tcW w:w="286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877E702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AE5F1DF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ungsuh" w:eastAsia="Gungsuh" w:hAnsi="Gungsuh" w:cs="Gungsuh"/>
                <w:b/>
                <w:bCs/>
              </w:rPr>
              <w:t xml:space="preserve">n improved </w:t>
            </w:r>
            <w:r>
              <w:rPr>
                <w:rFonts w:ascii="Gungsuh" w:eastAsia="Gungsuh" w:hAnsi="Gungsuh" w:cs="Gungsuh"/>
                <w:b/>
                <w:bCs/>
              </w:rPr>
              <w:br/>
              <w:t>(≥ 1 point)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27CD00D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 total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9466CF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% improved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DCF55CF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Wilson CI</w:t>
            </w:r>
          </w:p>
        </w:tc>
      </w:tr>
      <w:tr w:rsidR="00FB0A13" w14:paraId="08C7019C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662FA9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E34AE8D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Q3 - identity / role confusion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6193171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F8A63D7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B24F3E4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76.9%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3AD41ED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68.6–83.5</w:t>
            </w:r>
          </w:p>
        </w:tc>
      </w:tr>
      <w:tr w:rsidR="00FB0A13" w14:paraId="7A28D11E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5956F59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0DD9394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Q2 - preoccupation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F738456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DA89C79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887C7DD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74.4%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C0B5782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65.9–81.3</w:t>
            </w:r>
          </w:p>
        </w:tc>
      </w:tr>
      <w:tr w:rsidR="00FB0A13" w14:paraId="23A5F2B0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AEB634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34BC275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Q8 - emotional numbness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C6FB010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3C21A13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86F2794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72.7%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B4E3DCF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64.2–79.9</w:t>
            </w:r>
          </w:p>
        </w:tc>
      </w:tr>
      <w:tr w:rsidR="00FB0A13" w14:paraId="11966925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05BFE2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4325BE3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Q1 - yearning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AFBEA02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D4D20B3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2EC41EE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71.1%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CAA0534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62.4–78.4</w:t>
            </w:r>
          </w:p>
        </w:tc>
      </w:tr>
      <w:tr w:rsidR="00FB0A13" w14:paraId="47D30FAA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24C6E5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9318E11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Q7 - trouble re-engaging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D23FE30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8DB5360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11A5ED9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71.1%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BB55D90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62.4–78.4</w:t>
            </w:r>
          </w:p>
        </w:tc>
      </w:tr>
      <w:tr w:rsidR="00FB0A13" w14:paraId="3983C221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70CC90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087A91E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Q6 - emotional pain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F6FAC81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A39AB14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164EC6A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64.5%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7CE89A8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55.6–72.4</w:t>
            </w:r>
          </w:p>
        </w:tc>
      </w:tr>
      <w:tr w:rsidR="00FB0A13" w14:paraId="4633E7B2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EBB4C8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2727C2D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Q10 - loneliness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D12B499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1A71ACA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2BB7C9E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62.8%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DA88CF1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53.9–70.9</w:t>
            </w:r>
          </w:p>
        </w:tc>
      </w:tr>
      <w:tr w:rsidR="00FB0A13" w14:paraId="3C2DEF14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04C721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FC23281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Q9 -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life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meaningless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8183748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40DBCBE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E0E9AF8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58.7%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15BDCB0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49.8–67.1</w:t>
            </w:r>
          </w:p>
        </w:tc>
      </w:tr>
      <w:tr w:rsidR="00FB0A13" w14:paraId="044C928E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939B360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5A33866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Q5 - avoid reminders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1B788AF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9035D12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116378F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52.1%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C5E2F62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43.2–60.8</w:t>
            </w:r>
          </w:p>
        </w:tc>
      </w:tr>
      <w:tr w:rsidR="00FB0A13" w14:paraId="75EAB7D3" w14:textId="77777777" w:rsidTr="0034751D">
        <w:trPr>
          <w:trHeight w:val="259"/>
        </w:trPr>
        <w:tc>
          <w:tcPr>
            <w:tcW w:w="70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89EFDC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67B3507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Q4 - trouble believing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FAE370B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85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982713E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C3F45F8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50.4%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26C0AE5" w14:textId="77777777" w:rsidR="00FB0A13" w:rsidRDefault="00FB0A13" w:rsidP="0034751D">
            <w:pPr>
              <w:spacing w:after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41.6–59.2</w:t>
            </w:r>
          </w:p>
        </w:tc>
      </w:tr>
    </w:tbl>
    <w:p w14:paraId="489B022D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</w:rPr>
      </w:pPr>
    </w:p>
    <w:p w14:paraId="7DAF612B" w14:textId="77777777" w:rsidR="00FB0A13" w:rsidRDefault="00FB0A13" w:rsidP="00FB0A13">
      <w:pPr>
        <w:pStyle w:val="Heading4"/>
        <w:spacing w:before="0" w:after="200"/>
        <w:ind w:left="-270" w:right="-270"/>
        <w:rPr>
          <w:rFonts w:ascii="Times New Roman" w:eastAsia="Times New Roman" w:hAnsi="Times New Roman" w:cs="Times New Roman"/>
          <w:i w:val="0"/>
          <w:iCs w:val="0"/>
        </w:rPr>
      </w:pPr>
      <w:bookmarkStart w:id="12" w:name="_2tqea1fha4g6" w:colFirst="0" w:colLast="0"/>
      <w:bookmarkEnd w:id="12"/>
      <w:r>
        <w:br w:type="page"/>
      </w:r>
    </w:p>
    <w:p w14:paraId="4C2FB33E" w14:textId="77777777" w:rsidR="00FB0A13" w:rsidRDefault="00FB0A13" w:rsidP="00FB0A13">
      <w:pPr>
        <w:pStyle w:val="Heading4"/>
        <w:spacing w:before="0" w:after="200"/>
        <w:ind w:left="-270" w:right="-270"/>
        <w:rPr>
          <w:rFonts w:ascii="Times New Roman" w:eastAsia="Times New Roman" w:hAnsi="Times New Roman" w:cs="Times New Roman"/>
          <w:i w:val="0"/>
          <w:iCs w:val="0"/>
        </w:rPr>
      </w:pPr>
      <w:bookmarkStart w:id="13" w:name="_vxxo42f146hc" w:colFirst="0" w:colLast="0"/>
      <w:bookmarkEnd w:id="13"/>
      <w:r>
        <w:rPr>
          <w:rFonts w:ascii="Times New Roman" w:eastAsia="Times New Roman" w:hAnsi="Times New Roman" w:cs="Times New Roman"/>
          <w:i w:val="0"/>
          <w:iCs w:val="0"/>
        </w:rPr>
        <w:lastRenderedPageBreak/>
        <w:t xml:space="preserve">Supplement 4b. </w:t>
      </w:r>
      <w:proofErr w:type="spellStart"/>
      <w:r>
        <w:rPr>
          <w:rFonts w:ascii="Times New Roman" w:eastAsia="Times New Roman" w:hAnsi="Times New Roman" w:cs="Times New Roman"/>
          <w:i w:val="0"/>
          <w:iCs w:val="0"/>
        </w:rPr>
        <w:t>Caseness</w:t>
      </w:r>
      <w:proofErr w:type="spellEnd"/>
      <w:r>
        <w:rPr>
          <w:rFonts w:ascii="Times New Roman" w:eastAsia="Times New Roman" w:hAnsi="Times New Roman" w:cs="Times New Roman"/>
          <w:i w:val="0"/>
          <w:iCs w:val="0"/>
        </w:rPr>
        <w:t xml:space="preserve"> rates with relaxed symptom-count threshold</w:t>
      </w:r>
    </w:p>
    <w:p w14:paraId="5CFC3ED8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  <w:i/>
          <w:iCs/>
        </w:rPr>
      </w:pPr>
      <w:r>
        <w:rPr>
          <w:rFonts w:ascii="Gungsuh" w:eastAsia="Gungsuh" w:hAnsi="Gungsuh" w:cs="Gungsuh"/>
          <w:i/>
          <w:iCs/>
        </w:rPr>
        <w:t xml:space="preserve">Baseline and post-session 6 </w:t>
      </w:r>
      <w:proofErr w:type="spellStart"/>
      <w:r>
        <w:rPr>
          <w:rFonts w:ascii="Gungsuh" w:eastAsia="Gungsuh" w:hAnsi="Gungsuh" w:cs="Gungsuh"/>
          <w:i/>
          <w:iCs/>
        </w:rPr>
        <w:t>caseness</w:t>
      </w:r>
      <w:proofErr w:type="spellEnd"/>
      <w:r>
        <w:rPr>
          <w:rFonts w:ascii="Gungsuh" w:eastAsia="Gungsuh" w:hAnsi="Gungsuh" w:cs="Gungsuh"/>
          <w:i/>
          <w:iCs/>
        </w:rPr>
        <w:t xml:space="preserve"> rates when the symptom-count requirement is relaxed by one item (≥ 4 of 9 instead of ≥ 5 of 9).</w:t>
      </w:r>
    </w:p>
    <w:tbl>
      <w:tblPr>
        <w:tblW w:w="9630" w:type="dxa"/>
        <w:tblInd w:w="-2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1665"/>
        <w:gridCol w:w="1050"/>
        <w:gridCol w:w="2175"/>
        <w:gridCol w:w="1305"/>
        <w:gridCol w:w="1710"/>
      </w:tblGrid>
      <w:tr w:rsidR="00FB0A13" w14:paraId="1B6D0F0B" w14:textId="77777777" w:rsidTr="0034751D">
        <w:trPr>
          <w:trHeight w:val="259"/>
        </w:trPr>
        <w:tc>
          <w:tcPr>
            <w:tcW w:w="172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403BED5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Duration threshold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EBCCD7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Baseline-case n (% of 503)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C23312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D20DC9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Completer remission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(n / n)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0BA59C7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% remitted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812FC7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Wilson CI</w:t>
            </w:r>
          </w:p>
        </w:tc>
      </w:tr>
      <w:tr w:rsidR="00FB0A13" w14:paraId="67458357" w14:textId="77777777" w:rsidTr="0034751D">
        <w:trPr>
          <w:trHeight w:val="259"/>
        </w:trPr>
        <w:tc>
          <w:tcPr>
            <w:tcW w:w="172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41E6E559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ICD-11 (≥ 6 months)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51F964B1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252 (50.1%)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798C093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45.7–54.5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A20C54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 / 65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063D3AFE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72.3%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60CE1F6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60.4–81.7</w:t>
            </w:r>
          </w:p>
        </w:tc>
      </w:tr>
      <w:tr w:rsidR="00FB0A13" w14:paraId="11BE9395" w14:textId="77777777" w:rsidTr="0034751D">
        <w:trPr>
          <w:trHeight w:val="259"/>
        </w:trPr>
        <w:tc>
          <w:tcPr>
            <w:tcW w:w="172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0CC8CE0" w14:textId="77777777" w:rsidR="00FB0A13" w:rsidRDefault="00FB0A13" w:rsidP="0034751D">
            <w:pPr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DSM-5-TR (≥ 12 months)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72455945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 (41.7%)</w:t>
            </w:r>
          </w:p>
        </w:tc>
        <w:tc>
          <w:tcPr>
            <w:tcW w:w="105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697E9B7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37.5–46.1</w:t>
            </w:r>
          </w:p>
        </w:tc>
        <w:tc>
          <w:tcPr>
            <w:tcW w:w="217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391FC1C8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 / 52</w:t>
            </w:r>
          </w:p>
        </w:tc>
        <w:tc>
          <w:tcPr>
            <w:tcW w:w="1305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1259F86A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69.2%</w:t>
            </w:r>
          </w:p>
        </w:tc>
        <w:tc>
          <w:tcPr>
            <w:tcW w:w="1710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57" w:type="dxa"/>
              <w:left w:w="72" w:type="dxa"/>
              <w:bottom w:w="57" w:type="dxa"/>
              <w:right w:w="72" w:type="dxa"/>
            </w:tcMar>
            <w:vAlign w:val="bottom"/>
          </w:tcPr>
          <w:p w14:paraId="209BBD6C" w14:textId="77777777" w:rsidR="00FB0A13" w:rsidRDefault="00FB0A13" w:rsidP="0034751D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55.7–80.1</w:t>
            </w:r>
          </w:p>
        </w:tc>
      </w:tr>
    </w:tbl>
    <w:p w14:paraId="57306935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</w:rPr>
      </w:pPr>
    </w:p>
    <w:p w14:paraId="77410B4A" w14:textId="77777777" w:rsidR="00FB0A13" w:rsidRDefault="00FB0A13" w:rsidP="00FB0A13">
      <w:pPr>
        <w:spacing w:after="200"/>
        <w:ind w:left="-270" w:right="-270"/>
        <w:rPr>
          <w:rFonts w:ascii="Times New Roman" w:eastAsia="Times New Roman" w:hAnsi="Times New Roman" w:cs="Times New Roman"/>
        </w:rPr>
      </w:pPr>
    </w:p>
    <w:p w14:paraId="155B0B73" w14:textId="77777777" w:rsidR="00FB0A13" w:rsidRDefault="00FB0A13" w:rsidP="00FB0A13">
      <w:pPr>
        <w:spacing w:after="200"/>
        <w:ind w:left="-270" w:right="-270"/>
      </w:pPr>
    </w:p>
    <w:p w14:paraId="6D63E2F7" w14:textId="77777777" w:rsidR="00A91650" w:rsidRDefault="00A91650"/>
    <w:sectPr w:rsidR="00A91650" w:rsidSect="00FB0A13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13"/>
    <w:rsid w:val="000E2EDD"/>
    <w:rsid w:val="003A1FE9"/>
    <w:rsid w:val="00A91650"/>
    <w:rsid w:val="00E559FE"/>
    <w:rsid w:val="00E633FC"/>
    <w:rsid w:val="00FB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0EB3"/>
  <w15:chartTrackingRefBased/>
  <w15:docId w15:val="{5F4AC7BD-B2B3-441B-B386-7482EABB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A13"/>
    <w:pPr>
      <w:spacing w:after="120" w:line="276" w:lineRule="auto"/>
    </w:pPr>
    <w:rPr>
      <w:rFonts w:ascii="Cambria" w:eastAsia="Cambria" w:hAnsi="Cambria" w:cs="Cambria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A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A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A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A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A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A1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A1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A1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A1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0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A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0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A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0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A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0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2026-06-02T17:35:00Z</dcterms:created>
  <dcterms:modified xsi:type="dcterms:W3CDTF">2026-06-02T17:35:00Z</dcterms:modified>
</cp:coreProperties>
</file>