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FE0E3">
      <w:r>
        <w:rPr>
          <w:b w:val="0"/>
          <w:i w:val="0"/>
          <w:sz w:val="20"/>
        </w:rPr>
        <w:t>Supplementary Figure S</w:t>
      </w:r>
      <w:r>
        <w:rPr>
          <w:rFonts w:hint="eastAsia"/>
          <w:b w:val="0"/>
          <w:i w:val="0"/>
          <w:sz w:val="20"/>
          <w:lang w:val="en-US" w:eastAsia="zh-CN"/>
        </w:rPr>
        <w:t>2</w:t>
      </w:r>
      <w:bookmarkStart w:id="0" w:name="_GoBack"/>
      <w:bookmarkEnd w:id="0"/>
      <w:r>
        <w:rPr>
          <w:b w:val="0"/>
          <w:i w:val="0"/>
          <w:sz w:val="20"/>
        </w:rPr>
        <w:t xml:space="preserve"> presents diagnostic plots for the multivariate linear regression model (Table 5). A) Residuals vs. Fitted values plot for assessing homoscedasticity. B) Q-Q plot of standardized residuals for assessing normality. C) Scale-Location plot for assessing variance homogeneity. D) Cook's distance plot for identifying influential observations. All VIF values were below 1.5, Durbin-Watson statistic was 1.95 (p = 0.321), and maximum Cook's distance was 0.085, indicating acceptable model fit.</w:t>
      </w:r>
    </w:p>
    <w:p w14:paraId="6CB0F3ED">
      <w:r>
        <w:drawing>
          <wp:inline distT="0" distB="0" distL="114300" distR="114300">
            <wp:extent cx="5029200" cy="40233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A05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05D3C"/>
    <w:rsid w:val="6200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2026-05-27T10:10:00Z</dcterms:created>
  <dc:creator>李佳遥</dc:creator>
  <cp:lastModifiedBy>李佳遥</cp:lastModifiedBy>
  <dcterms:modified xsi:type="dcterms:W3CDTF">2026-05-27T10:11:37Z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4D67EFB7FBD544C2B50FFFC1E44C4955_11</vt:lpwstr>
  </property>
  <property fmtid="{D5CDD505-2E9C-101B-9397-08002B2CF9AE}" pid="4" name="KSOTemplateDocerSaveRecord">
    <vt:lpwstr>eyJoZGlkIjoiN2ZiMWU4NjE2ZThjZWFmNTIyNjY1N2Y2MGM4NGU0YzgiLCJ1c2VySWQiOiI1NDg0OTgzODAifQ==</vt:lpwstr>
  </property>
</Properties>
</file>