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FCFB">
      <w:pPr>
        <w:rPr>
          <w:rFonts w:hint="eastAsia" w:eastAsiaTheme="minorEastAsia"/>
          <w:lang w:val="en-US" w:eastAsia="zh-CN"/>
        </w:rPr>
      </w:pPr>
      <w:bookmarkStart w:id="0" w:name="_GoBack"/>
      <w:r>
        <w:t>Supplementary Figure S6</w:t>
      </w:r>
      <w:bookmarkEnd w:id="0"/>
      <w:r>
        <w:t>. Baseline Breastfeeding Knowledge Scores According to Subsequent Exclusive Breastfeeding Status</w:t>
      </w:r>
      <w:r>
        <w:rPr>
          <w:rFonts w:hint="eastAsia"/>
          <w:lang w:val="en-US" w:eastAsia="zh-CN"/>
        </w:rPr>
        <w:t>.</w:t>
      </w:r>
    </w:p>
    <w:p w14:paraId="5384A999">
      <w:r>
        <w:t>Supplementary Figure S6 presents baseline breastfeeding knowledge scores measured within 1 week postpartum according to subsequent exclusive breastfeeding status at 1, 3, and 6 months postpartum. Mothers who later achieved exclusive breastfeeding had higher baseline knowledge scores at all follow-up time points, although the differences were not statistically significant (1 month: p = 0.055; 3 months: p = 0.271; 6 months: p = 0.162).</w:t>
      </w:r>
    </w:p>
    <w:p w14:paraId="47FA2C85">
      <w:r>
        <w:drawing>
          <wp:inline distT="0" distB="0" distL="114300" distR="114300">
            <wp:extent cx="5760720" cy="229933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FC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11A27"/>
    <w:rsid w:val="24B1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2026-05-27T12:47:00Z</dcterms:created>
  <dc:creator>李佳遥</dc:creator>
  <cp:lastModifiedBy>李佳遥</cp:lastModifiedBy>
  <dcterms:modified xsi:type="dcterms:W3CDTF">2026-05-27T12:47:49Z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0D6AFC9E88FB41D4860A6C285922D857_11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