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9FCED">
      <w:bookmarkStart w:id="0" w:name="_GoBack"/>
      <w:r>
        <w:t>Supplementary Table S2</w:t>
      </w:r>
      <w:bookmarkEnd w:id="0"/>
      <w:r>
        <w:t>. Longitudinal Analyses of Baseline Breastfeeding Knowledge in Relation to Exclusive Breastfeeding</w:t>
      </w:r>
    </w:p>
    <w:p w14:paraId="76A1B15D">
      <w:r>
        <w:t>A. Baseline knowledge scores according to later exclusive breastfeeding status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526FD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3914E9C">
            <w:pPr>
              <w:spacing w:after="0" w:line="240" w:lineRule="auto"/>
            </w:pPr>
            <w:r>
              <w:t>Time point</w:t>
            </w:r>
          </w:p>
        </w:tc>
        <w:tc>
          <w:tcPr>
            <w:tcW w:w="2160" w:type="dxa"/>
          </w:tcPr>
          <w:p w14:paraId="01A6DF02">
            <w:pPr>
              <w:spacing w:after="0" w:line="240" w:lineRule="auto"/>
            </w:pPr>
            <w:r>
              <w:t>EBF group</w:t>
            </w:r>
          </w:p>
        </w:tc>
        <w:tc>
          <w:tcPr>
            <w:tcW w:w="2160" w:type="dxa"/>
          </w:tcPr>
          <w:p w14:paraId="11CF3625">
            <w:pPr>
              <w:spacing w:after="0" w:line="240" w:lineRule="auto"/>
            </w:pPr>
            <w:r>
              <w:t>Non-EBF group</w:t>
            </w:r>
          </w:p>
        </w:tc>
        <w:tc>
          <w:tcPr>
            <w:tcW w:w="2160" w:type="dxa"/>
          </w:tcPr>
          <w:p w14:paraId="5DED827E">
            <w:pPr>
              <w:spacing w:after="0" w:line="240" w:lineRule="auto"/>
            </w:pPr>
            <w:r>
              <w:t>p-value</w:t>
            </w:r>
          </w:p>
        </w:tc>
      </w:tr>
      <w:tr w14:paraId="16537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1B42902">
            <w:pPr>
              <w:spacing w:after="0" w:line="240" w:lineRule="auto"/>
            </w:pPr>
            <w:r>
              <w:t>1 month</w:t>
            </w:r>
          </w:p>
        </w:tc>
        <w:tc>
          <w:tcPr>
            <w:tcW w:w="2160" w:type="dxa"/>
          </w:tcPr>
          <w:p w14:paraId="79FA94D0">
            <w:pPr>
              <w:spacing w:after="0" w:line="240" w:lineRule="auto"/>
            </w:pPr>
            <w:r>
              <w:t>89.0 +/- 12.5 (n = 40)</w:t>
            </w:r>
          </w:p>
        </w:tc>
        <w:tc>
          <w:tcPr>
            <w:tcW w:w="2160" w:type="dxa"/>
          </w:tcPr>
          <w:p w14:paraId="0FDAE3AF">
            <w:pPr>
              <w:spacing w:after="0" w:line="240" w:lineRule="auto"/>
            </w:pPr>
            <w:r>
              <w:t>84.6 +/- 9.0 (n = 53)</w:t>
            </w:r>
          </w:p>
        </w:tc>
        <w:tc>
          <w:tcPr>
            <w:tcW w:w="2160" w:type="dxa"/>
          </w:tcPr>
          <w:p w14:paraId="11A9C054">
            <w:pPr>
              <w:spacing w:after="0" w:line="240" w:lineRule="auto"/>
            </w:pPr>
            <w:r>
              <w:t>0.055</w:t>
            </w:r>
          </w:p>
        </w:tc>
      </w:tr>
      <w:tr w14:paraId="4EF5D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C53D1E5">
            <w:pPr>
              <w:spacing w:after="0" w:line="240" w:lineRule="auto"/>
            </w:pPr>
            <w:r>
              <w:t>3 months</w:t>
            </w:r>
          </w:p>
        </w:tc>
        <w:tc>
          <w:tcPr>
            <w:tcW w:w="2160" w:type="dxa"/>
          </w:tcPr>
          <w:p w14:paraId="6CA4343E">
            <w:pPr>
              <w:spacing w:after="0" w:line="240" w:lineRule="auto"/>
            </w:pPr>
            <w:r>
              <w:t>87.9 +/- 11.4 (n = 42)</w:t>
            </w:r>
          </w:p>
        </w:tc>
        <w:tc>
          <w:tcPr>
            <w:tcW w:w="2160" w:type="dxa"/>
          </w:tcPr>
          <w:p w14:paraId="5A2252C9">
            <w:pPr>
              <w:spacing w:after="0" w:line="240" w:lineRule="auto"/>
            </w:pPr>
            <w:r>
              <w:t>85.4 +/- 10.2 (n = 51)</w:t>
            </w:r>
          </w:p>
        </w:tc>
        <w:tc>
          <w:tcPr>
            <w:tcW w:w="2160" w:type="dxa"/>
          </w:tcPr>
          <w:p w14:paraId="6D872F57">
            <w:pPr>
              <w:spacing w:after="0" w:line="240" w:lineRule="auto"/>
            </w:pPr>
            <w:r>
              <w:t>0.271</w:t>
            </w:r>
          </w:p>
        </w:tc>
      </w:tr>
      <w:tr w14:paraId="29C2F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AAA8009">
            <w:pPr>
              <w:spacing w:after="0" w:line="240" w:lineRule="auto"/>
            </w:pPr>
            <w:r>
              <w:t>6 months</w:t>
            </w:r>
          </w:p>
        </w:tc>
        <w:tc>
          <w:tcPr>
            <w:tcW w:w="2160" w:type="dxa"/>
          </w:tcPr>
          <w:p w14:paraId="1BEB414A">
            <w:pPr>
              <w:spacing w:after="0" w:line="240" w:lineRule="auto"/>
            </w:pPr>
            <w:r>
              <w:t>88.3 +/- 10.5 (n = 29)</w:t>
            </w:r>
          </w:p>
        </w:tc>
        <w:tc>
          <w:tcPr>
            <w:tcW w:w="2160" w:type="dxa"/>
          </w:tcPr>
          <w:p w14:paraId="04D3CD40">
            <w:pPr>
              <w:spacing w:after="0" w:line="240" w:lineRule="auto"/>
            </w:pPr>
            <w:r>
              <w:t>85.7 +/- 10.9 (n = 64)</w:t>
            </w:r>
          </w:p>
        </w:tc>
        <w:tc>
          <w:tcPr>
            <w:tcW w:w="2160" w:type="dxa"/>
          </w:tcPr>
          <w:p w14:paraId="6C14F9DD">
            <w:pPr>
              <w:spacing w:after="0" w:line="240" w:lineRule="auto"/>
            </w:pPr>
            <w:r>
              <w:t>0.162</w:t>
            </w:r>
          </w:p>
        </w:tc>
      </w:tr>
    </w:tbl>
    <w:p w14:paraId="2A67C483">
      <w:r>
        <w:t>B. Time-specific logistic regression analyses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4E7E3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F6120FA">
            <w:pPr>
              <w:spacing w:after="0" w:line="240" w:lineRule="auto"/>
            </w:pPr>
            <w:r>
              <w:t>Time point</w:t>
            </w:r>
          </w:p>
        </w:tc>
        <w:tc>
          <w:tcPr>
            <w:tcW w:w="2880" w:type="dxa"/>
          </w:tcPr>
          <w:p w14:paraId="057FB9E0">
            <w:pPr>
              <w:spacing w:after="0" w:line="240" w:lineRule="auto"/>
            </w:pPr>
            <w:r>
              <w:t>OR per 1-point increase (95% CI)</w:t>
            </w:r>
          </w:p>
        </w:tc>
        <w:tc>
          <w:tcPr>
            <w:tcW w:w="2880" w:type="dxa"/>
          </w:tcPr>
          <w:p w14:paraId="5220C774">
            <w:pPr>
              <w:spacing w:after="0" w:line="240" w:lineRule="auto"/>
            </w:pPr>
            <w:r>
              <w:t>p-value</w:t>
            </w:r>
          </w:p>
        </w:tc>
      </w:tr>
      <w:tr w14:paraId="05E41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F8C8134">
            <w:pPr>
              <w:spacing w:after="0" w:line="240" w:lineRule="auto"/>
            </w:pPr>
            <w:r>
              <w:t>1 month</w:t>
            </w:r>
          </w:p>
        </w:tc>
        <w:tc>
          <w:tcPr>
            <w:tcW w:w="2880" w:type="dxa"/>
          </w:tcPr>
          <w:p w14:paraId="7D773314">
            <w:pPr>
              <w:spacing w:after="0" w:line="240" w:lineRule="auto"/>
            </w:pPr>
            <w:r>
              <w:t>1.040 (0.998-1.085)</w:t>
            </w:r>
          </w:p>
        </w:tc>
        <w:tc>
          <w:tcPr>
            <w:tcW w:w="2880" w:type="dxa"/>
          </w:tcPr>
          <w:p w14:paraId="41AC4F68">
            <w:pPr>
              <w:spacing w:after="0" w:line="240" w:lineRule="auto"/>
            </w:pPr>
            <w:r>
              <w:t>0.062</w:t>
            </w:r>
          </w:p>
        </w:tc>
      </w:tr>
      <w:tr w14:paraId="6A834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1CAFE9C7">
            <w:pPr>
              <w:spacing w:after="0" w:line="240" w:lineRule="auto"/>
            </w:pPr>
            <w:r>
              <w:t>3 months</w:t>
            </w:r>
          </w:p>
        </w:tc>
        <w:tc>
          <w:tcPr>
            <w:tcW w:w="2880" w:type="dxa"/>
          </w:tcPr>
          <w:p w14:paraId="6F22D63C">
            <w:pPr>
              <w:spacing w:after="0" w:line="240" w:lineRule="auto"/>
            </w:pPr>
            <w:r>
              <w:t>1.022 (0.983-1.062)</w:t>
            </w:r>
          </w:p>
        </w:tc>
        <w:tc>
          <w:tcPr>
            <w:tcW w:w="2880" w:type="dxa"/>
          </w:tcPr>
          <w:p w14:paraId="0B551911">
            <w:pPr>
              <w:spacing w:after="0" w:line="240" w:lineRule="auto"/>
            </w:pPr>
            <w:r>
              <w:t>0.277</w:t>
            </w:r>
          </w:p>
        </w:tc>
      </w:tr>
      <w:tr w14:paraId="1E5FD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6DDF5954">
            <w:pPr>
              <w:spacing w:after="0" w:line="240" w:lineRule="auto"/>
            </w:pPr>
            <w:r>
              <w:t>6 months</w:t>
            </w:r>
          </w:p>
        </w:tc>
        <w:tc>
          <w:tcPr>
            <w:tcW w:w="2880" w:type="dxa"/>
          </w:tcPr>
          <w:p w14:paraId="427189C7">
            <w:pPr>
              <w:spacing w:after="0" w:line="240" w:lineRule="auto"/>
            </w:pPr>
            <w:r>
              <w:t>1.023 (0.983-1.064)</w:t>
            </w:r>
          </w:p>
        </w:tc>
        <w:tc>
          <w:tcPr>
            <w:tcW w:w="2880" w:type="dxa"/>
          </w:tcPr>
          <w:p w14:paraId="44F5A854">
            <w:pPr>
              <w:spacing w:after="0" w:line="240" w:lineRule="auto"/>
            </w:pPr>
            <w:r>
              <w:t>0.272</w:t>
            </w:r>
          </w:p>
        </w:tc>
      </w:tr>
    </w:tbl>
    <w:p w14:paraId="4E570189">
      <w:r>
        <w:t>C. GEE analyses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521AA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46C1F9F">
            <w:pPr>
              <w:spacing w:after="0" w:line="240" w:lineRule="auto"/>
            </w:pPr>
            <w:r>
              <w:t>Model</w:t>
            </w:r>
          </w:p>
        </w:tc>
        <w:tc>
          <w:tcPr>
            <w:tcW w:w="2160" w:type="dxa"/>
          </w:tcPr>
          <w:p w14:paraId="507CAFA0">
            <w:pPr>
              <w:spacing w:after="0" w:line="240" w:lineRule="auto"/>
            </w:pPr>
            <w:r>
              <w:t>OR</w:t>
            </w:r>
          </w:p>
        </w:tc>
        <w:tc>
          <w:tcPr>
            <w:tcW w:w="2160" w:type="dxa"/>
          </w:tcPr>
          <w:p w14:paraId="7AB58253">
            <w:pPr>
              <w:spacing w:after="0" w:line="240" w:lineRule="auto"/>
            </w:pPr>
            <w:r>
              <w:t>95% CI</w:t>
            </w:r>
          </w:p>
        </w:tc>
        <w:tc>
          <w:tcPr>
            <w:tcW w:w="2160" w:type="dxa"/>
          </w:tcPr>
          <w:p w14:paraId="50C8FDC0">
            <w:pPr>
              <w:spacing w:after="0" w:line="240" w:lineRule="auto"/>
            </w:pPr>
            <w:r>
              <w:t>p-value</w:t>
            </w:r>
          </w:p>
        </w:tc>
      </w:tr>
      <w:tr w14:paraId="0F529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B50C628">
            <w:pPr>
              <w:spacing w:after="0" w:line="240" w:lineRule="auto"/>
            </w:pPr>
            <w:r>
              <w:t>Crude GEE (per 1-point increase)</w:t>
            </w:r>
          </w:p>
        </w:tc>
        <w:tc>
          <w:tcPr>
            <w:tcW w:w="2160" w:type="dxa"/>
          </w:tcPr>
          <w:p w14:paraId="205DEE1C">
            <w:pPr>
              <w:spacing w:after="0" w:line="240" w:lineRule="auto"/>
            </w:pPr>
            <w:r>
              <w:t>1.027</w:t>
            </w:r>
          </w:p>
        </w:tc>
        <w:tc>
          <w:tcPr>
            <w:tcW w:w="2160" w:type="dxa"/>
          </w:tcPr>
          <w:p w14:paraId="305942A0">
            <w:pPr>
              <w:spacing w:after="0" w:line="240" w:lineRule="auto"/>
            </w:pPr>
            <w:r>
              <w:t>0.997-1.058</w:t>
            </w:r>
          </w:p>
        </w:tc>
        <w:tc>
          <w:tcPr>
            <w:tcW w:w="2160" w:type="dxa"/>
          </w:tcPr>
          <w:p w14:paraId="247F5C60">
            <w:pPr>
              <w:spacing w:after="0" w:line="240" w:lineRule="auto"/>
            </w:pPr>
            <w:r>
              <w:t>0.082</w:t>
            </w:r>
          </w:p>
        </w:tc>
      </w:tr>
      <w:tr w14:paraId="64D55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00B5A5A">
            <w:pPr>
              <w:spacing w:after="0" w:line="240" w:lineRule="auto"/>
            </w:pPr>
            <w:r>
              <w:t>Adjusted GEE (per 1-point increase)</w:t>
            </w:r>
          </w:p>
        </w:tc>
        <w:tc>
          <w:tcPr>
            <w:tcW w:w="2160" w:type="dxa"/>
          </w:tcPr>
          <w:p w14:paraId="6EA9A968">
            <w:pPr>
              <w:spacing w:after="0" w:line="240" w:lineRule="auto"/>
            </w:pPr>
            <w:r>
              <w:t>1.032</w:t>
            </w:r>
          </w:p>
        </w:tc>
        <w:tc>
          <w:tcPr>
            <w:tcW w:w="2160" w:type="dxa"/>
          </w:tcPr>
          <w:p w14:paraId="364E6FA6">
            <w:pPr>
              <w:spacing w:after="0" w:line="240" w:lineRule="auto"/>
            </w:pPr>
            <w:r>
              <w:t>1.002-1.064</w:t>
            </w:r>
          </w:p>
        </w:tc>
        <w:tc>
          <w:tcPr>
            <w:tcW w:w="2160" w:type="dxa"/>
          </w:tcPr>
          <w:p w14:paraId="39B8A057">
            <w:pPr>
              <w:spacing w:after="0" w:line="240" w:lineRule="auto"/>
            </w:pPr>
            <w:r>
              <w:t>0.039</w:t>
            </w:r>
          </w:p>
        </w:tc>
      </w:tr>
      <w:tr w14:paraId="09579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6BD4DA9">
            <w:pPr>
              <w:spacing w:after="0" w:line="240" w:lineRule="auto"/>
            </w:pPr>
            <w:r>
              <w:t>Adjusted GEE (per 1 SD increase)</w:t>
            </w:r>
          </w:p>
        </w:tc>
        <w:tc>
          <w:tcPr>
            <w:tcW w:w="2160" w:type="dxa"/>
          </w:tcPr>
          <w:p w14:paraId="0CA197A0">
            <w:pPr>
              <w:spacing w:after="0" w:line="240" w:lineRule="auto"/>
            </w:pPr>
            <w:r>
              <w:t>1.407</w:t>
            </w:r>
          </w:p>
        </w:tc>
        <w:tc>
          <w:tcPr>
            <w:tcW w:w="2160" w:type="dxa"/>
          </w:tcPr>
          <w:p w14:paraId="4B23C49B">
            <w:pPr>
              <w:spacing w:after="0" w:line="240" w:lineRule="auto"/>
            </w:pPr>
            <w:r>
              <w:t>1.017-1.947</w:t>
            </w:r>
          </w:p>
        </w:tc>
        <w:tc>
          <w:tcPr>
            <w:tcW w:w="2160" w:type="dxa"/>
          </w:tcPr>
          <w:p w14:paraId="4E36AFB5">
            <w:pPr>
              <w:spacing w:after="0" w:line="240" w:lineRule="auto"/>
            </w:pPr>
            <w:r>
              <w:t>0.039</w:t>
            </w:r>
          </w:p>
        </w:tc>
      </w:tr>
    </w:tbl>
    <w:p w14:paraId="3EF4645F">
      <w:r>
        <w:t>D. Joint standardized GEE model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0D487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D17B43A">
            <w:pPr>
              <w:spacing w:after="0" w:line="240" w:lineRule="auto"/>
            </w:pPr>
            <w:r>
              <w:t>Predictor</w:t>
            </w:r>
          </w:p>
        </w:tc>
        <w:tc>
          <w:tcPr>
            <w:tcW w:w="2160" w:type="dxa"/>
          </w:tcPr>
          <w:p w14:paraId="5712196E">
            <w:pPr>
              <w:spacing w:after="0" w:line="240" w:lineRule="auto"/>
            </w:pPr>
            <w:r>
              <w:t>OR per 1 SD</w:t>
            </w:r>
          </w:p>
        </w:tc>
        <w:tc>
          <w:tcPr>
            <w:tcW w:w="2160" w:type="dxa"/>
          </w:tcPr>
          <w:p w14:paraId="6BA17764">
            <w:pPr>
              <w:spacing w:after="0" w:line="240" w:lineRule="auto"/>
            </w:pPr>
            <w:r>
              <w:t>95% CI</w:t>
            </w:r>
          </w:p>
        </w:tc>
        <w:tc>
          <w:tcPr>
            <w:tcW w:w="2160" w:type="dxa"/>
          </w:tcPr>
          <w:p w14:paraId="4573D8A8">
            <w:pPr>
              <w:spacing w:after="0" w:line="240" w:lineRule="auto"/>
            </w:pPr>
            <w:r>
              <w:t>p-value</w:t>
            </w:r>
          </w:p>
        </w:tc>
      </w:tr>
      <w:tr w14:paraId="0AE9E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1DEF286">
            <w:pPr>
              <w:spacing w:after="0" w:line="240" w:lineRule="auto"/>
            </w:pPr>
            <w:r>
              <w:t>Self-efficacy</w:t>
            </w:r>
          </w:p>
        </w:tc>
        <w:tc>
          <w:tcPr>
            <w:tcW w:w="2160" w:type="dxa"/>
          </w:tcPr>
          <w:p w14:paraId="66C4909B">
            <w:pPr>
              <w:spacing w:after="0" w:line="240" w:lineRule="auto"/>
            </w:pPr>
            <w:r>
              <w:t>1.902</w:t>
            </w:r>
          </w:p>
        </w:tc>
        <w:tc>
          <w:tcPr>
            <w:tcW w:w="2160" w:type="dxa"/>
          </w:tcPr>
          <w:p w14:paraId="464EB4EA">
            <w:pPr>
              <w:spacing w:after="0" w:line="240" w:lineRule="auto"/>
            </w:pPr>
            <w:r>
              <w:t>1.204-3.005</w:t>
            </w:r>
          </w:p>
        </w:tc>
        <w:tc>
          <w:tcPr>
            <w:tcW w:w="2160" w:type="dxa"/>
          </w:tcPr>
          <w:p w14:paraId="5D4C626D">
            <w:pPr>
              <w:spacing w:after="0" w:line="240" w:lineRule="auto"/>
            </w:pPr>
            <w:r>
              <w:t>0.006</w:t>
            </w:r>
          </w:p>
        </w:tc>
      </w:tr>
      <w:tr w14:paraId="1272A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09A1390">
            <w:pPr>
              <w:spacing w:after="0" w:line="240" w:lineRule="auto"/>
            </w:pPr>
            <w:r>
              <w:t>Knowledge</w:t>
            </w:r>
          </w:p>
        </w:tc>
        <w:tc>
          <w:tcPr>
            <w:tcW w:w="2160" w:type="dxa"/>
          </w:tcPr>
          <w:p w14:paraId="0AD4C5BD">
            <w:pPr>
              <w:spacing w:after="0" w:line="240" w:lineRule="auto"/>
            </w:pPr>
            <w:r>
              <w:t>1.166</w:t>
            </w:r>
          </w:p>
        </w:tc>
        <w:tc>
          <w:tcPr>
            <w:tcW w:w="2160" w:type="dxa"/>
          </w:tcPr>
          <w:p w14:paraId="2BACE195">
            <w:pPr>
              <w:spacing w:after="0" w:line="240" w:lineRule="auto"/>
            </w:pPr>
            <w:r>
              <w:t>0.807-1.683</w:t>
            </w:r>
          </w:p>
        </w:tc>
        <w:tc>
          <w:tcPr>
            <w:tcW w:w="2160" w:type="dxa"/>
          </w:tcPr>
          <w:p w14:paraId="30805042">
            <w:pPr>
              <w:spacing w:after="0" w:line="240" w:lineRule="auto"/>
            </w:pPr>
            <w:r>
              <w:t>0.414</w:t>
            </w:r>
          </w:p>
        </w:tc>
      </w:tr>
    </w:tbl>
    <w:p w14:paraId="5A3EF63E">
      <w:r>
        <w:t>Adjusted models controlled for age and gravidity. Baseline knowledge was measured within 1 week postpartum.</w:t>
      </w:r>
    </w:p>
    <w:p w14:paraId="5DBA24EB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36F1B"/>
    <w:rsid w:val="39D3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2026-05-27T09:48:00Z</dcterms:created>
  <dc:creator>李佳遥</dc:creator>
  <cp:lastModifiedBy>李佳遥</cp:lastModifiedBy>
  <dcterms:modified xsi:type="dcterms:W3CDTF">2026-05-27T09:50:35Z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0241C1C5D7144B5BA11B268344A0D85A_11</vt:lpwstr>
  </property>
  <property fmtid="{D5CDD505-2E9C-101B-9397-08002B2CF9AE}" pid="4" name="KSOTemplateDocerSaveRecord">
    <vt:lpwstr>eyJoZGlkIjoiN2ZiMWU4NjE2ZThjZWFmNTIyNjY1N2Y2MGM4NGU0YzgiLCJ1c2VySWQiOiI1NDg0OTgzODAifQ==</vt:lpwstr>
  </property>
</Properties>
</file>