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Supplementary Information</w:t>
      </w:r>
    </w:p>
    <w:p>
      <w:r>
        <w:rPr>
          <w:i/>
          <w:sz w:val="22"/>
        </w:rPr>
        <w:t>Quantifying Inside-Out acting: facial action units and silence duration as markers of interior performance</w:t>
      </w:r>
    </w:p>
    <w:p/>
    <w:p>
      <w:r>
        <w:rPr>
          <w:b/>
          <w:sz w:val="24"/>
        </w:rPr>
        <w:t>Supplementary Figure S1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417453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S1_ITT_AU12_AU1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45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sz w:val="18"/>
        </w:rPr>
        <w:t>Supplementary Figure S1. AU12 and AU14 occurrence probability under the intention-to-treat sample (n = 15). Layout matches Figure 2 but with the three IO-inadequacy-excluded actors (20250123_3, 20250123_5, 20250123_11) re-included; per-actor segment boundaries for those three actors were transferred proportionally from the consensus representative boundaries of the retained 12. Group means with 95 % percentile bootstrap CIs over actors. Significance markers are not displayed in this descriptive figure. The pattern observed in Figure 2 (AU12 elevated under IO across most segments, AU14 elevated in segments S2–S6) is preserved.</w:t>
      </w:r>
      <w:r>
        <w:rPr>
          <w:sz w:val="18"/>
        </w:rPr>
      </w:r>
    </w:p>
    <w:p/>
    <w:p>
      <w:r>
        <w:rPr>
          <w:b/>
          <w:sz w:val="24"/>
        </w:rPr>
        <w:t>Supplementary Table S1</w:t>
      </w:r>
    </w:p>
    <w:p>
      <w:r>
        <w:rPr>
          <w:b/>
          <w:sz w:val="18"/>
        </w:rPr>
        <w:t>Supplementary Table S1. Direction consistency of IO &gt; noIO across AU occurrence thresholds (mean occurrence probability difference, IO minus noIO). Originally reported as Table 2 in the v3 manuscript; moved here as a robustness check supporting §3.6.</w:t>
      </w:r>
      <w:r>
        <w:rPr>
          <w:sz w:val="18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AU</w:t>
            </w:r>
          </w:p>
        </w:tc>
        <w:tc>
          <w:tcPr>
            <w:tcW w:type="dxa" w:w="1440"/>
          </w:tcPr>
          <w:p>
            <w:r>
              <w:t>Seg</w:t>
            </w:r>
          </w:p>
        </w:tc>
        <w:tc>
          <w:tcPr>
            <w:tcW w:type="dxa" w:w="1440"/>
          </w:tcPr>
          <w:p>
            <w:r>
              <w:t>Thr = 0.5</w:t>
            </w:r>
          </w:p>
        </w:tc>
        <w:tc>
          <w:tcPr>
            <w:tcW w:type="dxa" w:w="1440"/>
          </w:tcPr>
          <w:p>
            <w:r>
              <w:t>Thr = 1.0</w:t>
            </w:r>
          </w:p>
        </w:tc>
        <w:tc>
          <w:tcPr>
            <w:tcW w:type="dxa" w:w="1440"/>
          </w:tcPr>
          <w:p>
            <w:r>
              <w:t>Thr = 1.5</w:t>
            </w:r>
          </w:p>
        </w:tc>
        <w:tc>
          <w:tcPr>
            <w:tcW w:type="dxa" w:w="1440"/>
          </w:tcPr>
          <w:p>
            <w:r>
              <w:t>Consistent</w:t>
            </w:r>
          </w:p>
        </w:tc>
      </w:tr>
      <w:tr>
        <w:tc>
          <w:tcPr>
            <w:tcW w:type="dxa" w:w="1440"/>
          </w:tcPr>
          <w:p>
            <w:r>
              <w:t>AU12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+0.156</w:t>
            </w:r>
          </w:p>
        </w:tc>
        <w:tc>
          <w:tcPr>
            <w:tcW w:type="dxa" w:w="1440"/>
          </w:tcPr>
          <w:p>
            <w:r>
              <w:t>+0.293</w:t>
            </w:r>
          </w:p>
        </w:tc>
        <w:tc>
          <w:tcPr>
            <w:tcW w:type="dxa" w:w="1440"/>
          </w:tcPr>
          <w:p>
            <w:r>
              <w:t>+0.249</w:t>
            </w:r>
          </w:p>
        </w:tc>
        <w:tc>
          <w:tcPr>
            <w:tcW w:type="dxa" w:w="1440"/>
          </w:tcPr>
          <w:p>
            <w:r>
              <w:t>Yes</w:t>
            </w:r>
          </w:p>
        </w:tc>
      </w:tr>
      <w:tr>
        <w:tc>
          <w:tcPr>
            <w:tcW w:type="dxa" w:w="1440"/>
          </w:tcPr>
          <w:p>
            <w:r>
              <w:t>AU12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+0.023</w:t>
            </w:r>
          </w:p>
        </w:tc>
        <w:tc>
          <w:tcPr>
            <w:tcW w:type="dxa" w:w="1440"/>
          </w:tcPr>
          <w:p>
            <w:r>
              <w:t>+0.070</w:t>
            </w:r>
          </w:p>
        </w:tc>
        <w:tc>
          <w:tcPr>
            <w:tcW w:type="dxa" w:w="1440"/>
          </w:tcPr>
          <w:p>
            <w:r>
              <w:t>+0.080</w:t>
            </w:r>
          </w:p>
        </w:tc>
        <w:tc>
          <w:tcPr>
            <w:tcW w:type="dxa" w:w="1440"/>
          </w:tcPr>
          <w:p>
            <w:r>
              <w:t>Yes</w:t>
            </w:r>
          </w:p>
        </w:tc>
      </w:tr>
      <w:tr>
        <w:tc>
          <w:tcPr>
            <w:tcW w:type="dxa" w:w="1440"/>
          </w:tcPr>
          <w:p>
            <w:r>
              <w:t>AU12</w:t>
            </w:r>
          </w:p>
        </w:tc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+0.016</w:t>
            </w:r>
          </w:p>
        </w:tc>
        <w:tc>
          <w:tcPr>
            <w:tcW w:type="dxa" w:w="1440"/>
          </w:tcPr>
          <w:p>
            <w:r>
              <w:t>+0.011</w:t>
            </w:r>
          </w:p>
        </w:tc>
        <w:tc>
          <w:tcPr>
            <w:tcW w:type="dxa" w:w="1440"/>
          </w:tcPr>
          <w:p>
            <w:r>
              <w:t>+0.047</w:t>
            </w:r>
          </w:p>
        </w:tc>
        <w:tc>
          <w:tcPr>
            <w:tcW w:type="dxa" w:w="1440"/>
          </w:tcPr>
          <w:p>
            <w:r>
              <w:t>Yes</w:t>
            </w:r>
          </w:p>
        </w:tc>
      </w:tr>
      <w:tr>
        <w:tc>
          <w:tcPr>
            <w:tcW w:type="dxa" w:w="1440"/>
          </w:tcPr>
          <w:p>
            <w:r>
              <w:t>AU12</w:t>
            </w:r>
          </w:p>
        </w:tc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+0.193</w:t>
            </w:r>
          </w:p>
        </w:tc>
        <w:tc>
          <w:tcPr>
            <w:tcW w:type="dxa" w:w="1440"/>
          </w:tcPr>
          <w:p>
            <w:r>
              <w:t>+0.264</w:t>
            </w:r>
          </w:p>
        </w:tc>
        <w:tc>
          <w:tcPr>
            <w:tcW w:type="dxa" w:w="1440"/>
          </w:tcPr>
          <w:p>
            <w:r>
              <w:t>+0.173</w:t>
            </w:r>
          </w:p>
        </w:tc>
        <w:tc>
          <w:tcPr>
            <w:tcW w:type="dxa" w:w="1440"/>
          </w:tcPr>
          <w:p>
            <w:r>
              <w:t>Yes</w:t>
            </w:r>
          </w:p>
        </w:tc>
      </w:tr>
      <w:tr>
        <w:tc>
          <w:tcPr>
            <w:tcW w:type="dxa" w:w="1440"/>
          </w:tcPr>
          <w:p>
            <w:r>
              <w:t>AU12</w:t>
            </w:r>
          </w:p>
        </w:tc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+0.145</w:t>
            </w:r>
          </w:p>
        </w:tc>
        <w:tc>
          <w:tcPr>
            <w:tcW w:type="dxa" w:w="1440"/>
          </w:tcPr>
          <w:p>
            <w:r>
              <w:t>+0.195</w:t>
            </w:r>
          </w:p>
        </w:tc>
        <w:tc>
          <w:tcPr>
            <w:tcW w:type="dxa" w:w="1440"/>
          </w:tcPr>
          <w:p>
            <w:r>
              <w:t>+0.075</w:t>
            </w:r>
          </w:p>
        </w:tc>
        <w:tc>
          <w:tcPr>
            <w:tcW w:type="dxa" w:w="1440"/>
          </w:tcPr>
          <w:p>
            <w:r>
              <w:t>Yes</w:t>
            </w:r>
          </w:p>
        </w:tc>
      </w:tr>
      <w:tr>
        <w:tc>
          <w:tcPr>
            <w:tcW w:type="dxa" w:w="1440"/>
          </w:tcPr>
          <w:p>
            <w:r>
              <w:t>AU12</w:t>
            </w:r>
          </w:p>
        </w:tc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+0.134</w:t>
            </w:r>
          </w:p>
        </w:tc>
        <w:tc>
          <w:tcPr>
            <w:tcW w:type="dxa" w:w="1440"/>
          </w:tcPr>
          <w:p>
            <w:r>
              <w:t>+0.169</w:t>
            </w:r>
          </w:p>
        </w:tc>
        <w:tc>
          <w:tcPr>
            <w:tcW w:type="dxa" w:w="1440"/>
          </w:tcPr>
          <w:p>
            <w:r>
              <w:t>+0.051</w:t>
            </w:r>
          </w:p>
        </w:tc>
        <w:tc>
          <w:tcPr>
            <w:tcW w:type="dxa" w:w="1440"/>
          </w:tcPr>
          <w:p>
            <w:r>
              <w:t>Yes</w:t>
            </w:r>
          </w:p>
        </w:tc>
      </w:tr>
      <w:tr>
        <w:tc>
          <w:tcPr>
            <w:tcW w:type="dxa" w:w="1440"/>
          </w:tcPr>
          <w:p>
            <w:r>
              <w:t>AU14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+0.099</w:t>
            </w:r>
          </w:p>
        </w:tc>
        <w:tc>
          <w:tcPr>
            <w:tcW w:type="dxa" w:w="1440"/>
          </w:tcPr>
          <w:p>
            <w:r>
              <w:t>+0.052</w:t>
            </w:r>
          </w:p>
        </w:tc>
        <w:tc>
          <w:tcPr>
            <w:tcW w:type="dxa" w:w="1440"/>
          </w:tcPr>
          <w:p>
            <w:r>
              <w:t>+0.053</w:t>
            </w:r>
          </w:p>
        </w:tc>
        <w:tc>
          <w:tcPr>
            <w:tcW w:type="dxa" w:w="1440"/>
          </w:tcPr>
          <w:p>
            <w:r>
              <w:t>Yes</w:t>
            </w:r>
          </w:p>
        </w:tc>
      </w:tr>
      <w:tr>
        <w:tc>
          <w:tcPr>
            <w:tcW w:type="dxa" w:w="1440"/>
          </w:tcPr>
          <w:p>
            <w:r>
              <w:t>AU14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+0.104</w:t>
            </w:r>
          </w:p>
        </w:tc>
        <w:tc>
          <w:tcPr>
            <w:tcW w:type="dxa" w:w="1440"/>
          </w:tcPr>
          <w:p>
            <w:r>
              <w:t>+0.097</w:t>
            </w:r>
          </w:p>
        </w:tc>
        <w:tc>
          <w:tcPr>
            <w:tcW w:type="dxa" w:w="1440"/>
          </w:tcPr>
          <w:p>
            <w:r>
              <w:t>+0.032</w:t>
            </w:r>
          </w:p>
        </w:tc>
        <w:tc>
          <w:tcPr>
            <w:tcW w:type="dxa" w:w="1440"/>
          </w:tcPr>
          <w:p>
            <w:r>
              <w:t>Yes</w:t>
            </w:r>
          </w:p>
        </w:tc>
      </w:tr>
      <w:tr>
        <w:tc>
          <w:tcPr>
            <w:tcW w:type="dxa" w:w="1440"/>
          </w:tcPr>
          <w:p>
            <w:r>
              <w:t>AU14</w:t>
            </w:r>
          </w:p>
        </w:tc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+0.035</w:t>
            </w:r>
          </w:p>
        </w:tc>
        <w:tc>
          <w:tcPr>
            <w:tcW w:type="dxa" w:w="1440"/>
          </w:tcPr>
          <w:p>
            <w:r>
              <w:t>+0.079</w:t>
            </w:r>
          </w:p>
        </w:tc>
        <w:tc>
          <w:tcPr>
            <w:tcW w:type="dxa" w:w="1440"/>
          </w:tcPr>
          <w:p>
            <w:r>
              <w:t>+0.066</w:t>
            </w:r>
          </w:p>
        </w:tc>
        <w:tc>
          <w:tcPr>
            <w:tcW w:type="dxa" w:w="1440"/>
          </w:tcPr>
          <w:p>
            <w:r>
              <w:t>Yes</w:t>
            </w:r>
          </w:p>
        </w:tc>
      </w:tr>
      <w:tr>
        <w:tc>
          <w:tcPr>
            <w:tcW w:type="dxa" w:w="1440"/>
          </w:tcPr>
          <w:p>
            <w:r>
              <w:t>AU14</w:t>
            </w:r>
          </w:p>
        </w:tc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+0.218</w:t>
            </w:r>
          </w:p>
        </w:tc>
        <w:tc>
          <w:tcPr>
            <w:tcW w:type="dxa" w:w="1440"/>
          </w:tcPr>
          <w:p>
            <w:r>
              <w:t>+0.196</w:t>
            </w:r>
          </w:p>
        </w:tc>
        <w:tc>
          <w:tcPr>
            <w:tcW w:type="dxa" w:w="1440"/>
          </w:tcPr>
          <w:p>
            <w:r>
              <w:t>+0.182</w:t>
            </w:r>
          </w:p>
        </w:tc>
        <w:tc>
          <w:tcPr>
            <w:tcW w:type="dxa" w:w="1440"/>
          </w:tcPr>
          <w:p>
            <w:r>
              <w:t>Yes</w:t>
            </w:r>
          </w:p>
        </w:tc>
      </w:tr>
      <w:tr>
        <w:tc>
          <w:tcPr>
            <w:tcW w:type="dxa" w:w="1440"/>
          </w:tcPr>
          <w:p>
            <w:r>
              <w:t>AU14</w:t>
            </w:r>
          </w:p>
        </w:tc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+0.210</w:t>
            </w:r>
          </w:p>
        </w:tc>
        <w:tc>
          <w:tcPr>
            <w:tcW w:type="dxa" w:w="1440"/>
          </w:tcPr>
          <w:p>
            <w:r>
              <w:t>+0.153</w:t>
            </w:r>
          </w:p>
        </w:tc>
        <w:tc>
          <w:tcPr>
            <w:tcW w:type="dxa" w:w="1440"/>
          </w:tcPr>
          <w:p>
            <w:r>
              <w:t>+0.102</w:t>
            </w:r>
          </w:p>
        </w:tc>
        <w:tc>
          <w:tcPr>
            <w:tcW w:type="dxa" w:w="1440"/>
          </w:tcPr>
          <w:p>
            <w:r>
              <w:t>Yes</w:t>
            </w:r>
          </w:p>
        </w:tc>
      </w:tr>
      <w:tr>
        <w:tc>
          <w:tcPr>
            <w:tcW w:type="dxa" w:w="1440"/>
          </w:tcPr>
          <w:p>
            <w:r>
              <w:t>AU14</w:t>
            </w:r>
          </w:p>
        </w:tc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+0.302</w:t>
            </w:r>
          </w:p>
        </w:tc>
        <w:tc>
          <w:tcPr>
            <w:tcW w:type="dxa" w:w="1440"/>
          </w:tcPr>
          <w:p>
            <w:r>
              <w:t>+0.263</w:t>
            </w:r>
          </w:p>
        </w:tc>
        <w:tc>
          <w:tcPr>
            <w:tcW w:type="dxa" w:w="1440"/>
          </w:tcPr>
          <w:p>
            <w:r>
              <w:t>+0.153</w:t>
            </w:r>
          </w:p>
        </w:tc>
        <w:tc>
          <w:tcPr>
            <w:tcW w:type="dxa" w:w="1440"/>
          </w:tcPr>
          <w:p>
            <w:r>
              <w:t>Yes</w:t>
            </w:r>
          </w:p>
        </w:tc>
      </w:tr>
    </w:tbl>
    <w:p>
      <w:r>
        <w:rPr>
          <w:i/>
          <w:sz w:val="17"/>
        </w:rPr>
        <w:t>Note. The “Consistent” column reads “Yes” when all three thresholds (0.5, 1.0, 1.5) yield the same sign of the IO − noIO difference for that AU × segment cell.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