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6EE8" w14:textId="7E998004" w:rsidR="00FE490F" w:rsidRPr="006269CA" w:rsidRDefault="008A5F3A" w:rsidP="00FE490F">
      <w:pPr>
        <w:pStyle w:val="Index"/>
        <w:rPr>
          <w:rFonts w:ascii="Arial" w:hAnsi="Arial" w:cs="Arial"/>
          <w:b/>
          <w:bCs/>
          <w:sz w:val="28"/>
          <w:szCs w:val="28"/>
          <w:lang w:val="en-US" w:eastAsia="fr-FR"/>
        </w:rPr>
      </w:pPr>
      <w:r w:rsidRPr="006269CA">
        <w:rPr>
          <w:rFonts w:ascii="Arial" w:hAnsi="Arial" w:cs="Arial"/>
          <w:b/>
          <w:bCs/>
          <w:sz w:val="28"/>
          <w:szCs w:val="28"/>
          <w:lang w:val="en-US"/>
        </w:rPr>
        <w:t>Supplementary</w:t>
      </w:r>
      <w:r w:rsidR="001F30C7" w:rsidRPr="006269CA">
        <w:rPr>
          <w:rFonts w:ascii="Arial" w:hAnsi="Arial" w:cs="Arial"/>
          <w:b/>
          <w:bCs/>
          <w:sz w:val="28"/>
          <w:szCs w:val="28"/>
          <w:lang w:val="en-US"/>
        </w:rPr>
        <w:t xml:space="preserve"> Information</w:t>
      </w:r>
      <w:r w:rsidR="00FE490F" w:rsidRPr="006269CA">
        <w:rPr>
          <w:rFonts w:ascii="Arial" w:hAnsi="Arial" w:cs="Arial"/>
          <w:b/>
          <w:bCs/>
          <w:sz w:val="28"/>
          <w:szCs w:val="28"/>
          <w:lang w:val="en-US"/>
        </w:rPr>
        <w:t xml:space="preserve"> for “Phage WO packages cytoplasmic incompatibility genes in </w:t>
      </w:r>
      <w:r w:rsidR="00FE490F" w:rsidRPr="006269CA">
        <w:rPr>
          <w:rFonts w:ascii="Arial" w:hAnsi="Arial" w:cs="Arial"/>
          <w:b/>
          <w:bCs/>
          <w:i/>
          <w:iCs/>
          <w:sz w:val="28"/>
          <w:szCs w:val="28"/>
          <w:lang w:val="en-US"/>
        </w:rPr>
        <w:t>Wolbachia”</w:t>
      </w:r>
    </w:p>
    <w:p w14:paraId="3FB16D24" w14:textId="5EAC8E0D" w:rsidR="008A5F3A" w:rsidRDefault="008A5F3A" w:rsidP="008A5F3A">
      <w:pPr>
        <w:jc w:val="center"/>
        <w:rPr>
          <w:rFonts w:ascii="Arial" w:hAnsi="Arial" w:cs="Arial"/>
          <w:b/>
          <w:bCs/>
          <w:lang w:val="en-US"/>
        </w:rPr>
      </w:pPr>
    </w:p>
    <w:p w14:paraId="4AF73784" w14:textId="77777777" w:rsidR="00DC5C46" w:rsidRDefault="00DC5C46" w:rsidP="008A5F3A">
      <w:pPr>
        <w:jc w:val="center"/>
        <w:rPr>
          <w:rFonts w:ascii="Arial" w:hAnsi="Arial" w:cs="Arial"/>
          <w:b/>
          <w:bCs/>
          <w:lang w:val="en-US"/>
        </w:rPr>
      </w:pPr>
    </w:p>
    <w:p w14:paraId="3453A3EE" w14:textId="77777777" w:rsidR="00DC5C46" w:rsidRPr="00DC5C46" w:rsidRDefault="00DC5C46" w:rsidP="008A5F3A">
      <w:pPr>
        <w:jc w:val="center"/>
        <w:rPr>
          <w:rFonts w:ascii="Arial" w:hAnsi="Arial" w:cs="Arial"/>
          <w:b/>
          <w:bCs/>
          <w:lang w:val="en-US"/>
        </w:rPr>
      </w:pPr>
    </w:p>
    <w:p w14:paraId="033BE8E3" w14:textId="77D973E0" w:rsidR="008A5F3A" w:rsidRPr="006269CA" w:rsidRDefault="008B3317">
      <w:pPr>
        <w:rPr>
          <w:rFonts w:ascii="Arial" w:hAnsi="Arial" w:cs="Arial"/>
          <w:b/>
          <w:bCs/>
          <w:sz w:val="28"/>
          <w:szCs w:val="28"/>
          <w:lang w:val="en-US"/>
        </w:rPr>
      </w:pPr>
      <w:r w:rsidRPr="006269CA">
        <w:rPr>
          <w:rFonts w:ascii="Arial" w:hAnsi="Arial" w:cs="Arial"/>
          <w:b/>
          <w:bCs/>
          <w:sz w:val="28"/>
          <w:szCs w:val="28"/>
          <w:lang w:val="en-US"/>
        </w:rPr>
        <w:t>Supplementary Notes</w:t>
      </w:r>
    </w:p>
    <w:p w14:paraId="4AD797D5" w14:textId="77777777" w:rsidR="008A5F3A" w:rsidRPr="00DC5C46" w:rsidRDefault="008A5F3A">
      <w:pPr>
        <w:rPr>
          <w:rFonts w:ascii="Arial" w:hAnsi="Arial" w:cs="Arial"/>
          <w:lang w:val="en-US"/>
        </w:rPr>
      </w:pPr>
    </w:p>
    <w:p w14:paraId="6DA36E07" w14:textId="0FE8D50D" w:rsidR="008A5F3A" w:rsidRPr="00DC5C46" w:rsidRDefault="008A5F3A" w:rsidP="00DC5C46">
      <w:pPr>
        <w:rPr>
          <w:rFonts w:ascii="Arial" w:hAnsi="Arial" w:cs="Arial"/>
          <w:b/>
          <w:bCs/>
          <w:color w:val="000000"/>
          <w:sz w:val="22"/>
          <w:szCs w:val="22"/>
          <w:lang w:val="en-US" w:eastAsia="fr-FR"/>
        </w:rPr>
      </w:pPr>
      <w:r w:rsidRPr="00DC5C46">
        <w:rPr>
          <w:rFonts w:ascii="Arial" w:hAnsi="Arial" w:cs="Arial"/>
          <w:b/>
          <w:bCs/>
          <w:sz w:val="22"/>
          <w:szCs w:val="22"/>
          <w:lang w:val="en-US"/>
        </w:rPr>
        <w:t>Supplementary Note 1:</w:t>
      </w:r>
      <w:r w:rsidR="008B3317" w:rsidRPr="00DC5C46">
        <w:rPr>
          <w:rFonts w:ascii="Arial" w:hAnsi="Arial" w:cs="Arial"/>
          <w:b/>
          <w:bCs/>
          <w:color w:val="000000"/>
          <w:sz w:val="22"/>
          <w:szCs w:val="22"/>
          <w:lang w:val="en-US" w:eastAsia="fr-FR"/>
        </w:rPr>
        <w:t xml:space="preserve"> </w:t>
      </w:r>
      <w:r w:rsidR="00F04F76">
        <w:rPr>
          <w:rFonts w:ascii="Arial" w:hAnsi="Arial" w:cs="Arial"/>
          <w:b/>
          <w:bCs/>
          <w:color w:val="000000"/>
          <w:sz w:val="22"/>
          <w:szCs w:val="22"/>
          <w:lang w:val="en-US" w:eastAsia="fr-FR"/>
        </w:rPr>
        <w:t>Reproducibility</w:t>
      </w:r>
      <w:r w:rsidR="004F3BB5">
        <w:rPr>
          <w:rFonts w:ascii="Arial" w:hAnsi="Arial" w:cs="Arial"/>
          <w:b/>
          <w:bCs/>
          <w:color w:val="000000"/>
          <w:sz w:val="22"/>
          <w:szCs w:val="22"/>
          <w:lang w:val="en-US" w:eastAsia="fr-FR"/>
        </w:rPr>
        <w:t xml:space="preserve"> of phage isolations</w:t>
      </w:r>
      <w:r w:rsidRPr="00DC5C46">
        <w:rPr>
          <w:rFonts w:ascii="Arial" w:hAnsi="Arial" w:cs="Arial"/>
          <w:b/>
          <w:bCs/>
          <w:color w:val="000000"/>
          <w:sz w:val="22"/>
          <w:szCs w:val="22"/>
          <w:lang w:val="en-US" w:eastAsia="fr-FR"/>
        </w:rPr>
        <w:t xml:space="preserve"> </w:t>
      </w:r>
    </w:p>
    <w:p w14:paraId="31C0E6CC" w14:textId="77777777" w:rsidR="008A5F3A" w:rsidRPr="00DC5C46" w:rsidRDefault="008A5F3A" w:rsidP="008A5F3A">
      <w:pPr>
        <w:shd w:val="clear" w:color="auto" w:fill="FFFFFF"/>
        <w:spacing w:line="360" w:lineRule="auto"/>
        <w:jc w:val="both"/>
        <w:rPr>
          <w:rFonts w:ascii="Arial" w:hAnsi="Arial" w:cs="Arial"/>
          <w:color w:val="000000"/>
          <w:sz w:val="22"/>
          <w:szCs w:val="22"/>
          <w:lang w:val="en-US" w:eastAsia="fr-FR"/>
        </w:rPr>
      </w:pPr>
    </w:p>
    <w:p w14:paraId="5062FB4C" w14:textId="2F8CB127" w:rsidR="008A5F3A" w:rsidRPr="00DC5C46" w:rsidRDefault="008A5F3A" w:rsidP="008A5F3A">
      <w:pPr>
        <w:shd w:val="clear" w:color="auto" w:fill="FFFFFF"/>
        <w:spacing w:line="360" w:lineRule="auto"/>
        <w:jc w:val="both"/>
        <w:rPr>
          <w:rFonts w:ascii="Arial" w:hAnsi="Arial" w:cs="Arial"/>
          <w:color w:val="000000"/>
          <w:sz w:val="22"/>
          <w:szCs w:val="22"/>
          <w:lang w:val="en-US" w:eastAsia="fr-FR"/>
        </w:rPr>
      </w:pPr>
      <w:r w:rsidRPr="00DC5C46">
        <w:rPr>
          <w:rFonts w:ascii="Arial" w:hAnsi="Arial" w:cs="Arial"/>
          <w:color w:val="000000"/>
          <w:sz w:val="22"/>
          <w:szCs w:val="22"/>
          <w:lang w:val="en-US" w:eastAsia="fr-FR"/>
        </w:rPr>
        <w:t>To evaluate the reproducibility of WO phage isolation and to assess whether encapsidated phage particles could be consistently recovered, two additional large-scale isolations were performed using approximately 7,000 and 3,000 mosquitoes, respectively</w:t>
      </w:r>
      <w:r w:rsidR="008B3317" w:rsidRPr="00DC5C46">
        <w:rPr>
          <w:rFonts w:ascii="Arial" w:hAnsi="Arial" w:cs="Arial"/>
          <w:color w:val="000000"/>
          <w:sz w:val="22"/>
          <w:szCs w:val="22"/>
          <w:lang w:val="en-US" w:eastAsia="fr-FR"/>
        </w:rPr>
        <w:t>.</w:t>
      </w:r>
      <w:r w:rsidRPr="00DC5C46">
        <w:rPr>
          <w:rFonts w:ascii="Arial" w:hAnsi="Arial" w:cs="Arial"/>
          <w:color w:val="000000"/>
          <w:sz w:val="22"/>
          <w:szCs w:val="22"/>
          <w:lang w:val="en-US" w:eastAsia="fr-FR"/>
        </w:rPr>
        <w:t xml:space="preserve"> Quantitative PCR analyses indicated that these additional isolations did not result in any substantial enrichment of WO phage DNA (</w:t>
      </w:r>
      <w:proofErr w:type="spellStart"/>
      <w:r w:rsidRPr="00DC5C46">
        <w:rPr>
          <w:rFonts w:ascii="Arial" w:hAnsi="Arial" w:cs="Arial"/>
          <w:i/>
          <w:iCs/>
          <w:color w:val="000000"/>
          <w:sz w:val="22"/>
          <w:szCs w:val="22"/>
          <w:lang w:val="en-US" w:eastAsia="fr-FR"/>
        </w:rPr>
        <w:t>gpw</w:t>
      </w:r>
      <w:proofErr w:type="spellEnd"/>
      <w:r w:rsidRPr="00DC5C46">
        <w:rPr>
          <w:rFonts w:ascii="Arial" w:hAnsi="Arial" w:cs="Arial"/>
          <w:color w:val="000000"/>
          <w:sz w:val="22"/>
          <w:szCs w:val="22"/>
          <w:lang w:val="en-US" w:eastAsia="fr-FR"/>
        </w:rPr>
        <w:t xml:space="preserve">) relative to </w:t>
      </w:r>
      <w:r w:rsidRPr="00DC5C46">
        <w:rPr>
          <w:rFonts w:ascii="Arial" w:hAnsi="Arial" w:cs="Arial"/>
          <w:i/>
          <w:iCs/>
          <w:color w:val="000000"/>
          <w:sz w:val="22"/>
          <w:szCs w:val="22"/>
          <w:lang w:val="en-US" w:eastAsia="fr-FR"/>
        </w:rPr>
        <w:t>Wolbachia</w:t>
      </w:r>
      <w:r w:rsidRPr="00DC5C46">
        <w:rPr>
          <w:rFonts w:ascii="Arial" w:hAnsi="Arial" w:cs="Arial"/>
          <w:color w:val="000000"/>
          <w:sz w:val="22"/>
          <w:szCs w:val="22"/>
          <w:lang w:val="en-US" w:eastAsia="fr-FR"/>
        </w:rPr>
        <w:t xml:space="preserve"> (</w:t>
      </w:r>
      <w:r w:rsidRPr="00DC5C46">
        <w:rPr>
          <w:rFonts w:ascii="Arial" w:hAnsi="Arial" w:cs="Arial"/>
          <w:i/>
          <w:iCs/>
          <w:color w:val="000000"/>
          <w:sz w:val="22"/>
          <w:szCs w:val="22"/>
          <w:lang w:val="en-US" w:eastAsia="fr-FR"/>
        </w:rPr>
        <w:t>wsp</w:t>
      </w:r>
      <w:r w:rsidRPr="00DC5C46">
        <w:rPr>
          <w:rFonts w:ascii="Arial" w:hAnsi="Arial" w:cs="Arial"/>
          <w:color w:val="000000"/>
          <w:sz w:val="22"/>
          <w:szCs w:val="22"/>
          <w:lang w:val="en-US" w:eastAsia="fr-FR"/>
        </w:rPr>
        <w:t xml:space="preserve">) </w:t>
      </w:r>
      <w:r w:rsidR="00E4055B" w:rsidRPr="00DC5C46">
        <w:rPr>
          <w:rFonts w:ascii="Arial" w:hAnsi="Arial" w:cs="Arial"/>
          <w:b/>
          <w:bCs/>
          <w:color w:val="000000"/>
          <w:sz w:val="22"/>
          <w:szCs w:val="22"/>
          <w:lang w:val="en-US" w:eastAsia="fr-FR"/>
        </w:rPr>
        <w:t xml:space="preserve">Supplementary </w:t>
      </w:r>
      <w:r w:rsidRPr="00DC5C46">
        <w:rPr>
          <w:rFonts w:ascii="Arial" w:hAnsi="Arial" w:cs="Arial"/>
          <w:b/>
          <w:bCs/>
          <w:color w:val="000000"/>
          <w:sz w:val="22"/>
          <w:szCs w:val="22"/>
          <w:lang w:val="en-US" w:eastAsia="fr-FR"/>
        </w:rPr>
        <w:t>Fig</w:t>
      </w:r>
      <w:r w:rsidR="00E4055B" w:rsidRPr="00DC5C46">
        <w:rPr>
          <w:rFonts w:ascii="Arial" w:hAnsi="Arial" w:cs="Arial"/>
          <w:b/>
          <w:bCs/>
          <w:color w:val="000000"/>
          <w:sz w:val="22"/>
          <w:szCs w:val="22"/>
          <w:lang w:val="en-US" w:eastAsia="fr-FR"/>
        </w:rPr>
        <w:t>.</w:t>
      </w:r>
      <w:r w:rsidRPr="00DC5C46">
        <w:rPr>
          <w:rFonts w:ascii="Arial" w:hAnsi="Arial" w:cs="Arial"/>
          <w:b/>
          <w:bCs/>
          <w:color w:val="000000"/>
          <w:sz w:val="22"/>
          <w:szCs w:val="22"/>
          <w:lang w:val="en-US" w:eastAsia="fr-FR"/>
        </w:rPr>
        <w:t xml:space="preserve"> </w:t>
      </w:r>
      <w:r w:rsidR="00B579B9" w:rsidRPr="00DC5C46">
        <w:rPr>
          <w:rFonts w:ascii="Arial" w:hAnsi="Arial" w:cs="Arial"/>
          <w:b/>
          <w:bCs/>
          <w:color w:val="000000"/>
          <w:sz w:val="22"/>
          <w:szCs w:val="22"/>
          <w:lang w:val="en-US" w:eastAsia="fr-FR"/>
        </w:rPr>
        <w:t>1</w:t>
      </w:r>
      <w:r w:rsidRPr="00DC5C46">
        <w:rPr>
          <w:rFonts w:ascii="Arial" w:hAnsi="Arial" w:cs="Arial"/>
          <w:b/>
          <w:bCs/>
          <w:color w:val="000000"/>
          <w:sz w:val="22"/>
          <w:szCs w:val="22"/>
          <w:lang w:val="en-US" w:eastAsia="fr-FR"/>
        </w:rPr>
        <w:t>A</w:t>
      </w:r>
      <w:r w:rsidRPr="00DC5C46">
        <w:rPr>
          <w:rFonts w:ascii="Arial" w:hAnsi="Arial" w:cs="Arial"/>
          <w:color w:val="000000"/>
          <w:sz w:val="22"/>
          <w:szCs w:val="22"/>
          <w:lang w:val="en-US" w:eastAsia="fr-FR"/>
        </w:rPr>
        <w:t xml:space="preserve">, panels 1 and 2). In both cases, </w:t>
      </w:r>
      <w:proofErr w:type="spellStart"/>
      <w:r w:rsidRPr="00DC5C46">
        <w:rPr>
          <w:rFonts w:ascii="Arial" w:hAnsi="Arial" w:cs="Arial"/>
          <w:i/>
          <w:iCs/>
          <w:color w:val="000000"/>
          <w:sz w:val="22"/>
          <w:szCs w:val="22"/>
          <w:lang w:val="en-US" w:eastAsia="fr-FR"/>
        </w:rPr>
        <w:t>gpw</w:t>
      </w:r>
      <w:proofErr w:type="spellEnd"/>
      <w:r w:rsidRPr="00DC5C46">
        <w:rPr>
          <w:rFonts w:ascii="Arial" w:hAnsi="Arial" w:cs="Arial"/>
          <w:color w:val="000000"/>
          <w:sz w:val="22"/>
          <w:szCs w:val="22"/>
          <w:lang w:val="en-US" w:eastAsia="fr-FR"/>
        </w:rPr>
        <w:t xml:space="preserve"> signals remained low and comparable to background levels, suggesting that large-scale extractions do not systematically yield high quantities of encapsidated WO phage DNA. These results indicate that, despite large input material, high levels of WO phage DNA are not systematically recovered across independent isolations.</w:t>
      </w:r>
    </w:p>
    <w:p w14:paraId="004F6EA0" w14:textId="77777777" w:rsidR="008A5F3A" w:rsidRPr="00DC5C46" w:rsidRDefault="008A5F3A" w:rsidP="008A5F3A">
      <w:pPr>
        <w:shd w:val="clear" w:color="auto" w:fill="FFFFFF"/>
        <w:spacing w:line="360" w:lineRule="auto"/>
        <w:jc w:val="both"/>
        <w:rPr>
          <w:rFonts w:ascii="Arial" w:hAnsi="Arial" w:cs="Arial"/>
          <w:color w:val="000000"/>
          <w:sz w:val="22"/>
          <w:szCs w:val="22"/>
          <w:lang w:val="en-US" w:eastAsia="fr-FR"/>
        </w:rPr>
      </w:pPr>
    </w:p>
    <w:p w14:paraId="12440D4E" w14:textId="1350C6B9" w:rsidR="008B3317" w:rsidRPr="0043376B" w:rsidRDefault="008B3317" w:rsidP="00DC5C46">
      <w:pPr>
        <w:shd w:val="clear" w:color="auto" w:fill="FFFFFF"/>
        <w:spacing w:line="360" w:lineRule="auto"/>
        <w:jc w:val="both"/>
        <w:rPr>
          <w:rFonts w:ascii="Arial" w:hAnsi="Arial" w:cs="Arial"/>
          <w:b/>
          <w:bCs/>
          <w:color w:val="000000"/>
          <w:sz w:val="22"/>
          <w:szCs w:val="22"/>
          <w:lang w:val="en-US" w:eastAsia="fr-FR"/>
        </w:rPr>
      </w:pPr>
      <w:r w:rsidRPr="00DC5C46">
        <w:rPr>
          <w:rFonts w:ascii="Arial" w:hAnsi="Arial" w:cs="Arial"/>
          <w:b/>
          <w:bCs/>
          <w:color w:val="000000"/>
          <w:sz w:val="22"/>
          <w:szCs w:val="22"/>
          <w:lang w:val="en-US" w:eastAsia="fr-FR"/>
        </w:rPr>
        <w:t xml:space="preserve">Supplementary Note 2: </w:t>
      </w:r>
      <w:r w:rsidRPr="00DC5C46">
        <w:rPr>
          <w:rFonts w:ascii="Arial" w:hAnsi="Arial" w:cs="Arial"/>
          <w:b/>
          <w:bCs/>
          <w:color w:val="000000" w:themeColor="text1"/>
          <w:sz w:val="22"/>
          <w:szCs w:val="22"/>
          <w:lang w:val="en-US" w:eastAsia="fr-FR"/>
        </w:rPr>
        <w:t xml:space="preserve">WO phage </w:t>
      </w:r>
      <w:r w:rsidRPr="0043376B">
        <w:rPr>
          <w:rFonts w:ascii="Arial" w:hAnsi="Arial" w:cs="Arial"/>
          <w:b/>
          <w:bCs/>
          <w:color w:val="000000" w:themeColor="text1"/>
          <w:sz w:val="22"/>
          <w:szCs w:val="22"/>
          <w:lang w:val="en-US" w:eastAsia="fr-FR"/>
        </w:rPr>
        <w:t>induction assays</w:t>
      </w:r>
      <w:r w:rsidR="0043376B" w:rsidRPr="0043376B">
        <w:rPr>
          <w:rFonts w:ascii="Arial" w:hAnsi="Arial" w:cs="Arial"/>
          <w:b/>
          <w:bCs/>
          <w:color w:val="000000" w:themeColor="text1"/>
          <w:sz w:val="22"/>
          <w:szCs w:val="22"/>
          <w:lang w:val="en-US" w:eastAsia="fr-FR"/>
        </w:rPr>
        <w:t xml:space="preserve"> </w:t>
      </w:r>
      <w:r w:rsidR="0043376B">
        <w:rPr>
          <w:rFonts w:ascii="Arial" w:hAnsi="Arial" w:cs="Arial"/>
          <w:b/>
          <w:bCs/>
          <w:sz w:val="22"/>
          <w:szCs w:val="22"/>
          <w:lang w:val="en-US" w:eastAsia="fr-FR"/>
        </w:rPr>
        <w:t>(</w:t>
      </w:r>
      <w:r w:rsidR="0043376B" w:rsidRPr="0043376B">
        <w:rPr>
          <w:rFonts w:ascii="Arial" w:hAnsi="Arial" w:cs="Arial"/>
          <w:b/>
          <w:bCs/>
          <w:sz w:val="22"/>
          <w:szCs w:val="22"/>
          <w:lang w:val="en-US" w:eastAsia="fr-FR"/>
        </w:rPr>
        <w:t>chemical and thermal stress conditions</w:t>
      </w:r>
      <w:r w:rsidR="0043376B">
        <w:rPr>
          <w:rFonts w:ascii="Arial" w:hAnsi="Arial" w:cs="Arial"/>
          <w:b/>
          <w:bCs/>
          <w:sz w:val="22"/>
          <w:szCs w:val="22"/>
          <w:lang w:val="en-US" w:eastAsia="fr-FR"/>
        </w:rPr>
        <w:t>)</w:t>
      </w:r>
    </w:p>
    <w:p w14:paraId="5A456349" w14:textId="77777777" w:rsidR="008B3317" w:rsidRPr="00DC5C46" w:rsidRDefault="008B3317" w:rsidP="00DC5C46">
      <w:pPr>
        <w:rPr>
          <w:rFonts w:ascii="Arial" w:hAnsi="Arial" w:cs="Arial"/>
          <w:b/>
          <w:bCs/>
          <w:color w:val="000000"/>
          <w:sz w:val="22"/>
          <w:szCs w:val="22"/>
          <w:lang w:val="en-US" w:eastAsia="fr-FR"/>
        </w:rPr>
      </w:pPr>
    </w:p>
    <w:p w14:paraId="19651AC2" w14:textId="6AB1D113" w:rsidR="008B3317" w:rsidRPr="00DC5C46" w:rsidRDefault="008B3317" w:rsidP="00DC5C46">
      <w:pPr>
        <w:spacing w:line="360" w:lineRule="auto"/>
        <w:jc w:val="both"/>
        <w:rPr>
          <w:rFonts w:ascii="Arial" w:hAnsi="Arial" w:cs="Arial"/>
          <w:i/>
          <w:iCs/>
          <w:color w:val="000000"/>
          <w:sz w:val="22"/>
          <w:szCs w:val="22"/>
          <w:lang w:val="en-US" w:eastAsia="fr-FR"/>
        </w:rPr>
      </w:pPr>
      <w:r w:rsidRPr="00DC5C46">
        <w:rPr>
          <w:rFonts w:ascii="Arial" w:hAnsi="Arial" w:cs="Arial"/>
          <w:color w:val="000000"/>
          <w:sz w:val="22"/>
          <w:szCs w:val="22"/>
          <w:lang w:val="en-US" w:eastAsia="fr-FR"/>
        </w:rPr>
        <w:t>To assess whether WO phage production could be induced under conditions classically used for temperate phages, we performed independent induction assays</w:t>
      </w:r>
      <w:r w:rsidRPr="00DC5C46">
        <w:rPr>
          <w:rFonts w:ascii="Arial" w:hAnsi="Arial" w:cs="Arial"/>
          <w:i/>
          <w:iCs/>
          <w:color w:val="000000"/>
          <w:sz w:val="22"/>
          <w:szCs w:val="22"/>
          <w:lang w:val="en-US" w:eastAsia="fr-FR"/>
        </w:rPr>
        <w:t xml:space="preserve"> </w:t>
      </w:r>
      <w:r w:rsidRPr="00DC5C46">
        <w:rPr>
          <w:rFonts w:ascii="Arial" w:hAnsi="Arial" w:cs="Arial"/>
          <w:color w:val="000000"/>
          <w:sz w:val="22"/>
          <w:szCs w:val="22"/>
          <w:lang w:val="en-US" w:eastAsia="fr-FR"/>
        </w:rPr>
        <w:t>commonly employed for temperate phages including WO</w:t>
      </w:r>
      <w:r w:rsidR="00FD116B">
        <w:rPr>
          <w:rFonts w:ascii="Arial" w:hAnsi="Arial" w:cs="Arial"/>
          <w:color w:val="000000"/>
          <w:sz w:val="22"/>
          <w:szCs w:val="22"/>
          <w:lang w:val="en-US" w:eastAsia="fr-FR"/>
        </w:rPr>
        <w:fldChar w:fldCharType="begin"/>
      </w:r>
      <w:r w:rsidR="00FD116B">
        <w:rPr>
          <w:rFonts w:ascii="Arial" w:hAnsi="Arial" w:cs="Arial"/>
          <w:color w:val="000000"/>
          <w:sz w:val="22"/>
          <w:szCs w:val="22"/>
          <w:lang w:val="en-US" w:eastAsia="fr-FR"/>
        </w:rPr>
        <w:instrText xml:space="preserve"> ADDIN ZOTERO_ITEM CSL_CITATION {"citationID":"GBcpsVmv","properties":{"formattedCitation":"\\super 1\\nosupersub{}","plainCitation":"1","noteIndex":0},"citationItems":[{"id":1245,"uris":["http://zotero.org/users/19036682/items/YJ277B45"],"itemData":{"id":1245,"type":"article-journal","abstract":"Wolbachia infections are a model for understanding intracellular, bacterial symbioses. While the symbiosis is often studied from a binary perspective of host and bacteria, it is increasingly apparent that additional trophic levels can influence the symbiosis. For example, Wolbachia in arthropods harbor a widespread temperate bacteriophage, termed WO, that forms virions and rampantly transfers between coinfections. Here we test the hypothesis that temperatures at the extreme edges of an insect's habitable range alter bacteriophage WO inducibility and in turn, Wolbachia densities and the penetrance of cytoplasmic incompatibility. We report four key findings using the model wasp, Nasonia vitripennis: First, both cold treatment at 18 C and heat treatment at 30 C reduce Wolbachia densities by as much as 74% relative to wasps reared at 25 C. Second, in all cases where Wolbachia densities decline due to temperature changes, phage WO densities increase and inversely associate with Wolbachia densities. Heat has a marked effect on phage WO, yielding phage densities that are 552% higher than the room temperature control. Third, there is a significant affect of insect family on phage WO and endoysmbiont densities. Fourth, at extreme temperatures, there was a temperature-mediated adjustment to the density threshold at which Wolbachia cause complete cytoplasmic incompatibility. Taken together, these results demonstrate that temperature simultaneously affects phage WO densities, endosymbiont densities, and the penetrance of cytoplasmic incompatibility. While temperature shock enhances bacteriophage inducibility and the ensuing bacterial mortality in a wide range of medically and industrially-important bacteria, this is the first investigation of the associations in an obligate intracellular bacteria. Implications to a SOS global sensing feedback mechanism in Wolbachia are discussed.","container-title":"PLOS ONE","DOI":"10.1371/journal.pone.0029106","ISSN":"1932-6203","issue":"12","journalAbbreviation":"PLOS ONE","language":"en","page":"e29106","publisher":"Public Library of Science","source":"PLoS Journals","title":"Temperature Affects the Tripartite Interactions between Bacteriophage WO, Wolbachia, and Cytoplasmic Incompatibility","volume":"6","author":[{"family":"Bordenstein","given":"Sarah R."},{"family":"Bordenstein","given":"Seth R."}],"issued":{"date-parts":[["2011",12,15]]}}}],"schema":"https://github.com/citation-style-language/schema/raw/master/csl-citation.json"} </w:instrText>
      </w:r>
      <w:r w:rsidR="00FD116B">
        <w:rPr>
          <w:rFonts w:ascii="Arial" w:hAnsi="Arial" w:cs="Arial"/>
          <w:color w:val="000000"/>
          <w:sz w:val="22"/>
          <w:szCs w:val="22"/>
          <w:lang w:val="en-US" w:eastAsia="fr-FR"/>
        </w:rPr>
        <w:fldChar w:fldCharType="separate"/>
      </w:r>
      <w:r w:rsidR="00FD116B" w:rsidRPr="00FE490F">
        <w:rPr>
          <w:rFonts w:ascii="Arial" w:hAnsi="Arial" w:cs="Arial"/>
          <w:color w:val="000000"/>
          <w:kern w:val="0"/>
          <w:sz w:val="22"/>
          <w:vertAlign w:val="superscript"/>
          <w:lang w:val="en-US"/>
        </w:rPr>
        <w:t>1</w:t>
      </w:r>
      <w:r w:rsidR="00FD116B">
        <w:rPr>
          <w:rFonts w:ascii="Arial" w:hAnsi="Arial" w:cs="Arial"/>
          <w:color w:val="000000"/>
          <w:sz w:val="22"/>
          <w:szCs w:val="22"/>
          <w:lang w:val="en-US" w:eastAsia="fr-FR"/>
        </w:rPr>
        <w:fldChar w:fldCharType="end"/>
      </w:r>
      <w:r w:rsidRPr="00DC5C46">
        <w:rPr>
          <w:rFonts w:ascii="Arial" w:hAnsi="Arial" w:cs="Arial"/>
          <w:color w:val="000000"/>
          <w:sz w:val="22"/>
          <w:szCs w:val="22"/>
          <w:lang w:val="en-US" w:eastAsia="fr-FR"/>
        </w:rPr>
        <w:t xml:space="preserve"> and known to trigger the bacterial SOS response, a pathway associated with prophage induction in diverse bacterial systems</w:t>
      </w:r>
      <w:r w:rsidR="00FD116B">
        <w:rPr>
          <w:rFonts w:ascii="Arial" w:hAnsi="Arial" w:cs="Arial"/>
          <w:color w:val="000000"/>
          <w:sz w:val="22"/>
          <w:szCs w:val="22"/>
          <w:lang w:val="en-US" w:eastAsia="fr-FR"/>
        </w:rPr>
        <w:fldChar w:fldCharType="begin"/>
      </w:r>
      <w:r w:rsidR="00FD116B">
        <w:rPr>
          <w:rFonts w:ascii="Arial" w:hAnsi="Arial" w:cs="Arial"/>
          <w:color w:val="000000"/>
          <w:sz w:val="22"/>
          <w:szCs w:val="22"/>
          <w:lang w:val="en-US" w:eastAsia="fr-FR"/>
        </w:rPr>
        <w:instrText xml:space="preserve"> ADDIN ZOTERO_ITEM CSL_CITATION {"citationID":"yKfeEt6x","properties":{"formattedCitation":"\\super 2\\uc0\\u8211{}4\\nosupersub{}","plainCitation":"2–4","noteIndex":0},"citationItems":[{"id":1182,"uris":["http://zotero.org/users/19036682/items/PUY6NBZZ"],"itemData":{"id":1182,"type":"article-journal","abstract":"Viruses that infect bacteria (phages) can influence bacterial community dynamics, bacterial genome evolution and ecosystem biogeochemistry. These influences differ depending on whether phages establish lytic, chronic or lysogenic infections. Although the first two produce virion progeny, with lytic infections resulting in cell destruction, phages undergoing lysogenic infections replicate with cells without producing virions. The impacts of lysogeny are numerous and well-studied at the cellular level, but ecosystem-level consequences remain underexplored compared to those of lytic infections. Here, we review lysogeny from molecular mechanisms to ecological patterns to emerging approaches of investigation. Our goal is to highlight both its diversity and importance in complex communities. Altogether, using a combined viral ecology toolkit that is applied across broad model systems and environments will help us understand more of the diverse lifestyles and ecological impacts of lysogens in nature.","container-title":"The ISME Journal","DOI":"10.1038/ismej.2017.16","ISSN":"1751-7362","issue":"7","journalAbbreviation":"ISME J","page":"1511-1520","source":"Silverchair","title":"Lysogeny in nature: mechanisms, impact and ecology of temperate phages","title-short":"Lysogeny in nature","volume":"11","author":[{"family":"Howard-Varona","given":"Cristina"},{"family":"Hargreaves","given":"Katherine R"},{"family":"Abedon","given":"Stephen T"},{"family":"Sullivan","given":"Matthew B"}],"issued":{"date-parts":[["2017",7,1]]}}},{"id":1166,"uris":["http://zotero.org/users/19036682/items/3VI78V7Z"],"itemData":{"id":1166,"type":"article-journal","abstract":"Temperate phages, which alternate between lysogenic and lytic cycles, are key regulators of microbial communities and ecosystem functions. Yet, the ecological consequences of prophage activation in soil remain poorly understood. Here, we developed a novel in situ mitomycin C (MMC) induction assay to investigate the functional impacts of prophage activation on microbial communities and soil biogeochemistry. Using a gradient of MMC concentrations, we identified 0.1 μg/mL as an optimal dose that efficiently induced prophages with minimal cytotoxicity to non-lysogenic bacteria. Microcosm experiments in black and laterite soils revealed that prophage induction significantly altered bacterial community composition and diversity, and disrupted carbon and nitrogen cycling. Specifically, low-dose MMC treatments suppressed nitrogen mineralization, while higher doses impaired microbial respiration and reduced CO</w:instrText>
      </w:r>
      <w:r w:rsidR="00FD116B">
        <w:rPr>
          <w:rFonts w:ascii="Cambria Math" w:hAnsi="Cambria Math" w:cs="Cambria Math"/>
          <w:color w:val="000000"/>
          <w:sz w:val="22"/>
          <w:szCs w:val="22"/>
          <w:lang w:val="en-US" w:eastAsia="fr-FR"/>
        </w:rPr>
        <w:instrText>₂</w:instrText>
      </w:r>
      <w:r w:rsidR="00FD116B">
        <w:rPr>
          <w:rFonts w:ascii="Arial" w:hAnsi="Arial" w:cs="Arial"/>
          <w:color w:val="000000"/>
          <w:sz w:val="22"/>
          <w:szCs w:val="22"/>
          <w:lang w:val="en-US" w:eastAsia="fr-FR"/>
        </w:rPr>
        <w:instrText xml:space="preserve"> and N</w:instrText>
      </w:r>
      <w:r w:rsidR="00FD116B">
        <w:rPr>
          <w:rFonts w:ascii="Cambria Math" w:hAnsi="Cambria Math" w:cs="Cambria Math"/>
          <w:color w:val="000000"/>
          <w:sz w:val="22"/>
          <w:szCs w:val="22"/>
          <w:lang w:val="en-US" w:eastAsia="fr-FR"/>
        </w:rPr>
        <w:instrText>₂</w:instrText>
      </w:r>
      <w:r w:rsidR="00FD116B">
        <w:rPr>
          <w:rFonts w:ascii="Arial" w:hAnsi="Arial" w:cs="Arial"/>
          <w:color w:val="000000"/>
          <w:sz w:val="22"/>
          <w:szCs w:val="22"/>
          <w:lang w:val="en-US" w:eastAsia="fr-FR"/>
        </w:rPr>
        <w:instrText xml:space="preserve">O emissions. These findings demonstrate that prophage activation serves as a sensitive indicator of soil microbial dynamics and nutrient turnover, offering new insights into the roles of temperate phages in terrestrial ecosystem functioning.","container-title":"Applied Soil Ecology","DOI":"10.1016/j.apsoil.2025.106436","ISSN":"0929-1393","journalAbbreviation":"Applied Soil Ecology","page":"106436","source":"ScienceDirect","title":"Mitomycin C-induced prophage activation for exploring the Lysogeny-lysis functional dynamics in situ","volume":"215","author":[{"family":"Xu","given":"Ruoyi"},{"family":"Ge","given":"Tida"},{"family":"Fan","given":"Yuchuan"},{"family":"Yang","given":"Lu"},{"family":"Zhang","given":"Ying"},{"family":"Han","given":"Siqin"},{"family":"Radosevich","given":"Mark"},{"family":"Liang","given":"Xiaolong"}],"issued":{"date-parts":[["2025",11,1]]}}},{"id":1185,"uris":["http://zotero.org/users/19036682/items/J2PCPLJQ"],"itemData":{"id":1185,"type":"article-journal","abstract":"Bacteriophages (phages) are virtually ubiquitous and play a fundamental role in the ecological and evolutionary dynamics of their bacterial hosts. While phages are found across many thermal environments, they can be highly sensitive to changes in temperature. Moreover, phages are expected to face increasingly frequent and intense thermal perturbations with global climate change. In this review, we combine theoretical and empirical evidence to assess the impact of the thermal environment on phage biology at the global scale. We identify key thermal environments that phages inhabit, and we discuss the role of temperature in determining phage life-history strategies, ecological interactions, and evolutionary dynamics. We then explore the potential effects of thermal variation on phage functions in natural microbial communities and the application of phages as biomedical therapeutics.","container-title":"Annual Review of Microbiology","DOI":"10.1146/annurev-micro-042424-040029","ISSN":"0066-4227, 1545-3251","issue":"Volume 79, 2025","language":"en","page":"497-522","publisher":"Annual Reviews","source":"www.annualreviews.org","title":"Temperature as a Driver of Phage Ecology and Evolution","volume":"79","author":[{"family":"Greenrod","given":"Samuel T. E."},{"family":"Hector","given":"Tobias E."},{"family":"Blazanin","given":"Michael"},{"family":"Cazares","given":"Daniel"},{"family":"King","given":"Kayla C."}],"issued":{"date-parts":[["2025",10,23]]}}}],"schema":"https://github.com/citation-style-language/schema/raw/master/csl-citation.json"} </w:instrText>
      </w:r>
      <w:r w:rsidR="00FD116B">
        <w:rPr>
          <w:rFonts w:ascii="Arial" w:hAnsi="Arial" w:cs="Arial"/>
          <w:color w:val="000000"/>
          <w:sz w:val="22"/>
          <w:szCs w:val="22"/>
          <w:lang w:val="en-US" w:eastAsia="fr-FR"/>
        </w:rPr>
        <w:fldChar w:fldCharType="separate"/>
      </w:r>
      <w:r w:rsidR="00FD116B" w:rsidRPr="00FE490F">
        <w:rPr>
          <w:rFonts w:ascii="Arial" w:hAnsi="Arial" w:cs="Arial"/>
          <w:color w:val="000000"/>
          <w:kern w:val="0"/>
          <w:sz w:val="22"/>
          <w:vertAlign w:val="superscript"/>
          <w:lang w:val="en-US"/>
        </w:rPr>
        <w:t>2–4</w:t>
      </w:r>
      <w:r w:rsidR="00FD116B">
        <w:rPr>
          <w:rFonts w:ascii="Arial" w:hAnsi="Arial" w:cs="Arial"/>
          <w:color w:val="000000"/>
          <w:sz w:val="22"/>
          <w:szCs w:val="22"/>
          <w:lang w:val="en-US" w:eastAsia="fr-FR"/>
        </w:rPr>
        <w:fldChar w:fldCharType="end"/>
      </w:r>
      <w:r w:rsidR="00FD116B">
        <w:rPr>
          <w:rFonts w:ascii="Arial" w:hAnsi="Arial" w:cs="Arial"/>
          <w:color w:val="000000"/>
          <w:sz w:val="22"/>
          <w:szCs w:val="22"/>
          <w:lang w:val="en-US" w:eastAsia="fr-FR"/>
        </w:rPr>
        <w:t>.</w:t>
      </w:r>
    </w:p>
    <w:p w14:paraId="4CF5E4A8" w14:textId="77777777" w:rsidR="008B3317" w:rsidRPr="00DC5C46" w:rsidRDefault="008B3317" w:rsidP="008B3317">
      <w:pPr>
        <w:spacing w:line="360" w:lineRule="auto"/>
        <w:jc w:val="both"/>
        <w:rPr>
          <w:rFonts w:ascii="Arial" w:hAnsi="Arial" w:cs="Arial"/>
          <w:color w:val="000000"/>
          <w:sz w:val="22"/>
          <w:szCs w:val="22"/>
          <w:lang w:val="en-US" w:eastAsia="fr-FR"/>
        </w:rPr>
      </w:pPr>
    </w:p>
    <w:p w14:paraId="7291B4FD" w14:textId="347F3301" w:rsidR="008B3317" w:rsidRPr="00DC5C46" w:rsidRDefault="008B3317" w:rsidP="008B3317">
      <w:pPr>
        <w:spacing w:line="360" w:lineRule="auto"/>
        <w:jc w:val="both"/>
        <w:rPr>
          <w:rFonts w:ascii="Arial" w:hAnsi="Arial" w:cs="Arial"/>
          <w:color w:val="000000"/>
          <w:sz w:val="22"/>
          <w:szCs w:val="22"/>
          <w:lang w:val="en-US" w:eastAsia="fr-FR"/>
        </w:rPr>
      </w:pPr>
      <w:r w:rsidRPr="00DC5C46">
        <w:rPr>
          <w:rFonts w:ascii="Arial" w:hAnsi="Arial" w:cs="Arial"/>
          <w:color w:val="000000"/>
          <w:sz w:val="22"/>
          <w:szCs w:val="22"/>
          <w:lang w:val="en-US" w:eastAsia="fr-FR"/>
        </w:rPr>
        <w:t xml:space="preserve">For chemical induction, </w:t>
      </w:r>
      <w:r w:rsidR="00DC5C46" w:rsidRPr="00DC5C46">
        <w:rPr>
          <w:rFonts w:ascii="Arial" w:hAnsi="Arial" w:cs="Arial"/>
          <w:color w:val="000000"/>
          <w:sz w:val="22"/>
          <w:szCs w:val="22"/>
          <w:lang w:val="en-US" w:eastAsia="fr-FR"/>
        </w:rPr>
        <w:t xml:space="preserve">we collected </w:t>
      </w:r>
      <w:r w:rsidRPr="00DC5C46">
        <w:rPr>
          <w:rFonts w:ascii="Arial" w:hAnsi="Arial" w:cs="Arial"/>
          <w:color w:val="000000"/>
          <w:sz w:val="22"/>
          <w:szCs w:val="22"/>
          <w:lang w:val="en-US" w:eastAsia="fr-FR"/>
        </w:rPr>
        <w:t>first-instar larvae (L1) of the SLAB strain 24h after hatching and individually incubated for four days in 5mL of water supplemented with mitomycin C (MMC) at a final concentration of 5ng.mL</w:t>
      </w:r>
      <w:r w:rsidRPr="00DC5C46">
        <w:rPr>
          <w:rFonts w:ascii="Arial" w:hAnsi="Arial" w:cs="Arial"/>
          <w:color w:val="000000"/>
          <w:sz w:val="22"/>
          <w:szCs w:val="22"/>
          <w:vertAlign w:val="superscript"/>
          <w:lang w:val="en-US" w:eastAsia="fr-FR"/>
        </w:rPr>
        <w:t>-1</w:t>
      </w:r>
      <w:r w:rsidRPr="00DC5C46">
        <w:rPr>
          <w:rFonts w:ascii="Arial" w:hAnsi="Arial" w:cs="Arial"/>
          <w:color w:val="000000"/>
          <w:sz w:val="22"/>
          <w:szCs w:val="22"/>
          <w:lang w:val="en-US" w:eastAsia="fr-FR"/>
        </w:rPr>
        <w:t xml:space="preserve">. Control larvae were incubated under identical conditions in the absence of MMC. After four days of exposure, larvae were collected and processed for DNA extraction using the </w:t>
      </w:r>
      <w:proofErr w:type="spellStart"/>
      <w:r w:rsidRPr="00DC5C46">
        <w:rPr>
          <w:rFonts w:ascii="Arial" w:hAnsi="Arial" w:cs="Arial"/>
          <w:color w:val="000000"/>
          <w:sz w:val="22"/>
          <w:szCs w:val="22"/>
          <w:lang w:val="en-US" w:eastAsia="fr-FR"/>
        </w:rPr>
        <w:t>DNeasy</w:t>
      </w:r>
      <w:proofErr w:type="spellEnd"/>
      <w:r w:rsidRPr="00DC5C46">
        <w:rPr>
          <w:rFonts w:ascii="Arial" w:hAnsi="Arial" w:cs="Arial"/>
          <w:color w:val="000000"/>
          <w:sz w:val="22"/>
          <w:szCs w:val="22"/>
          <w:lang w:val="en-US" w:eastAsia="fr-FR"/>
        </w:rPr>
        <w:t xml:space="preserve"> Blood and Tissue Kit (Qiagen, Hilden, Germany), following the manufacturer’s protocol for quantification. </w:t>
      </w:r>
    </w:p>
    <w:p w14:paraId="5AD9377C" w14:textId="0ED48A5A" w:rsidR="008B3317" w:rsidRPr="00DC5C46" w:rsidRDefault="008B3317" w:rsidP="008B3317">
      <w:pPr>
        <w:spacing w:line="360" w:lineRule="auto"/>
        <w:jc w:val="both"/>
        <w:rPr>
          <w:rFonts w:ascii="Arial" w:hAnsi="Arial" w:cs="Arial"/>
          <w:color w:val="000000"/>
          <w:sz w:val="22"/>
          <w:szCs w:val="22"/>
          <w:lang w:val="en-US" w:eastAsia="fr-FR"/>
        </w:rPr>
      </w:pPr>
      <w:r w:rsidRPr="00DC5C46">
        <w:rPr>
          <w:rFonts w:ascii="Arial" w:hAnsi="Arial" w:cs="Arial"/>
          <w:color w:val="000000"/>
          <w:sz w:val="22"/>
          <w:szCs w:val="22"/>
          <w:lang w:val="en-US" w:eastAsia="fr-FR"/>
        </w:rPr>
        <w:t xml:space="preserve">For thermal induction, </w:t>
      </w:r>
      <w:r w:rsidR="00DC5C46" w:rsidRPr="00DC5C46">
        <w:rPr>
          <w:rFonts w:ascii="Arial" w:hAnsi="Arial" w:cs="Arial"/>
          <w:color w:val="000000"/>
          <w:sz w:val="22"/>
          <w:szCs w:val="22"/>
          <w:lang w:val="en-US" w:eastAsia="fr-FR"/>
        </w:rPr>
        <w:t xml:space="preserve">we exposed </w:t>
      </w:r>
      <w:r w:rsidRPr="00DC5C46">
        <w:rPr>
          <w:rFonts w:ascii="Arial" w:hAnsi="Arial" w:cs="Arial"/>
          <w:color w:val="000000"/>
          <w:sz w:val="22"/>
          <w:szCs w:val="22"/>
          <w:lang w:val="en-US" w:eastAsia="fr-FR"/>
        </w:rPr>
        <w:t xml:space="preserve">adult SLAB females to elevated temperature conditions by incubation at 37°C for 1h. At the end of the exposure, individuals displayed a sub-lethal physiological state, characterized by impaired flight ability without mortality. Control females were maintained at 27°C under identical handling conditions. </w:t>
      </w:r>
    </w:p>
    <w:p w14:paraId="56E85133" w14:textId="77777777" w:rsidR="00DC5C46" w:rsidRPr="00DC5C46" w:rsidRDefault="00DC5C46" w:rsidP="008B3317">
      <w:pPr>
        <w:spacing w:line="360" w:lineRule="auto"/>
        <w:jc w:val="both"/>
        <w:rPr>
          <w:rFonts w:ascii="Arial" w:hAnsi="Arial" w:cs="Arial"/>
          <w:color w:val="000000"/>
          <w:sz w:val="22"/>
          <w:szCs w:val="22"/>
          <w:lang w:val="en-US" w:eastAsia="fr-FR"/>
        </w:rPr>
      </w:pPr>
    </w:p>
    <w:p w14:paraId="5A326756" w14:textId="6C657FA0" w:rsidR="008B3317" w:rsidRPr="00DC5C46" w:rsidRDefault="008B3317" w:rsidP="008B3317">
      <w:pPr>
        <w:spacing w:line="360" w:lineRule="auto"/>
        <w:jc w:val="both"/>
        <w:rPr>
          <w:rFonts w:ascii="Arial" w:hAnsi="Arial" w:cs="Arial"/>
          <w:color w:val="000000"/>
          <w:sz w:val="22"/>
          <w:szCs w:val="22"/>
          <w:lang w:val="en-US" w:eastAsia="fr-FR"/>
        </w:rPr>
      </w:pPr>
      <w:r w:rsidRPr="00DC5C46">
        <w:rPr>
          <w:rFonts w:ascii="Arial" w:hAnsi="Arial" w:cs="Arial"/>
          <w:color w:val="000000"/>
          <w:sz w:val="22"/>
          <w:szCs w:val="22"/>
          <w:lang w:val="en-US" w:eastAsia="fr-FR"/>
        </w:rPr>
        <w:lastRenderedPageBreak/>
        <w:t xml:space="preserve">For both induction assays, </w:t>
      </w:r>
      <w:r w:rsidR="00DC5C46" w:rsidRPr="00DC5C46">
        <w:rPr>
          <w:rFonts w:ascii="Arial" w:hAnsi="Arial" w:cs="Arial"/>
          <w:color w:val="000000"/>
          <w:sz w:val="22"/>
          <w:szCs w:val="22"/>
          <w:lang w:val="en-US" w:eastAsia="fr-FR"/>
        </w:rPr>
        <w:t xml:space="preserve">we quantified </w:t>
      </w:r>
      <w:r w:rsidRPr="00DC5C46">
        <w:rPr>
          <w:rFonts w:ascii="Arial" w:hAnsi="Arial" w:cs="Arial"/>
          <w:color w:val="000000"/>
          <w:sz w:val="22"/>
          <w:szCs w:val="22"/>
          <w:lang w:val="en-US" w:eastAsia="fr-FR"/>
        </w:rPr>
        <w:t xml:space="preserve">WO phage and </w:t>
      </w:r>
      <w:r w:rsidRPr="00DC5C46">
        <w:rPr>
          <w:rFonts w:ascii="Arial" w:hAnsi="Arial" w:cs="Arial"/>
          <w:i/>
          <w:iCs/>
          <w:color w:val="000000"/>
          <w:sz w:val="22"/>
          <w:szCs w:val="22"/>
          <w:lang w:val="en-US" w:eastAsia="fr-FR"/>
        </w:rPr>
        <w:t>Wolbachia</w:t>
      </w:r>
      <w:r w:rsidRPr="00DC5C46">
        <w:rPr>
          <w:rFonts w:ascii="Arial" w:hAnsi="Arial" w:cs="Arial"/>
          <w:color w:val="000000"/>
          <w:sz w:val="22"/>
          <w:szCs w:val="22"/>
          <w:lang w:val="en-US" w:eastAsia="fr-FR"/>
        </w:rPr>
        <w:t xml:space="preserve"> abundance by qPCR targeting the </w:t>
      </w:r>
      <w:proofErr w:type="spellStart"/>
      <w:r w:rsidRPr="00DC5C46">
        <w:rPr>
          <w:rFonts w:ascii="Arial" w:hAnsi="Arial" w:cs="Arial"/>
          <w:i/>
          <w:iCs/>
          <w:color w:val="000000"/>
          <w:sz w:val="22"/>
          <w:szCs w:val="22"/>
          <w:lang w:val="en-US" w:eastAsia="fr-FR"/>
        </w:rPr>
        <w:t>gpw</w:t>
      </w:r>
      <w:proofErr w:type="spellEnd"/>
      <w:r w:rsidRPr="00DC5C46">
        <w:rPr>
          <w:rFonts w:ascii="Arial" w:hAnsi="Arial" w:cs="Arial"/>
          <w:color w:val="000000"/>
          <w:sz w:val="22"/>
          <w:szCs w:val="22"/>
          <w:lang w:val="en-US" w:eastAsia="fr-FR"/>
        </w:rPr>
        <w:t xml:space="preserve"> and </w:t>
      </w:r>
      <w:proofErr w:type="spellStart"/>
      <w:r w:rsidRPr="00DC5C46">
        <w:rPr>
          <w:rFonts w:ascii="Arial" w:hAnsi="Arial" w:cs="Arial"/>
          <w:i/>
          <w:iCs/>
          <w:color w:val="000000"/>
          <w:sz w:val="22"/>
          <w:szCs w:val="22"/>
          <w:lang w:val="en-US" w:eastAsia="fr-FR"/>
        </w:rPr>
        <w:t>wsp</w:t>
      </w:r>
      <w:proofErr w:type="spellEnd"/>
      <w:r w:rsidRPr="00DC5C46">
        <w:rPr>
          <w:rFonts w:ascii="Arial" w:hAnsi="Arial" w:cs="Arial"/>
          <w:color w:val="000000"/>
          <w:sz w:val="22"/>
          <w:szCs w:val="22"/>
          <w:lang w:val="en-US" w:eastAsia="fr-FR"/>
        </w:rPr>
        <w:t xml:space="preserve"> genes, respectively, as described above. qPCR-derived values were normalized to the mosquito </w:t>
      </w:r>
      <w:r w:rsidRPr="00DC5C46">
        <w:rPr>
          <w:rFonts w:ascii="Arial" w:hAnsi="Arial" w:cs="Arial"/>
          <w:i/>
          <w:iCs/>
          <w:color w:val="000000"/>
          <w:sz w:val="22"/>
          <w:szCs w:val="22"/>
          <w:lang w:val="en-US" w:eastAsia="fr-FR"/>
        </w:rPr>
        <w:t xml:space="preserve">ace2 </w:t>
      </w:r>
      <w:r w:rsidRPr="00DC5C46">
        <w:rPr>
          <w:rFonts w:ascii="Arial" w:hAnsi="Arial" w:cs="Arial"/>
          <w:color w:val="000000"/>
          <w:sz w:val="22"/>
          <w:szCs w:val="22"/>
          <w:lang w:val="en-US" w:eastAsia="fr-FR"/>
        </w:rPr>
        <w:t xml:space="preserve">gene. Statistical comparisons between treated and control groups were performed using non-parametric Wilcoxon rank-sum tests, as detailed in </w:t>
      </w:r>
      <w:r w:rsidRPr="00DC5C46">
        <w:rPr>
          <w:rFonts w:ascii="Arial" w:hAnsi="Arial" w:cs="Arial"/>
          <w:b/>
          <w:bCs/>
          <w:color w:val="000000"/>
          <w:sz w:val="22"/>
          <w:szCs w:val="22"/>
          <w:lang w:val="en-US" w:eastAsia="fr-FR"/>
        </w:rPr>
        <w:t xml:space="preserve">Supplementary Notebook </w:t>
      </w:r>
      <w:r w:rsidR="005300AA">
        <w:rPr>
          <w:rFonts w:ascii="Arial" w:hAnsi="Arial" w:cs="Arial"/>
          <w:b/>
          <w:bCs/>
          <w:color w:val="000000"/>
          <w:sz w:val="22"/>
          <w:szCs w:val="22"/>
          <w:lang w:val="en-US" w:eastAsia="fr-FR"/>
        </w:rPr>
        <w:t>1</w:t>
      </w:r>
      <w:r w:rsidRPr="00DC5C46">
        <w:rPr>
          <w:rFonts w:ascii="Arial" w:hAnsi="Arial" w:cs="Arial"/>
          <w:color w:val="000000"/>
          <w:sz w:val="22"/>
          <w:szCs w:val="22"/>
          <w:lang w:val="en-US" w:eastAsia="fr-FR"/>
        </w:rPr>
        <w:t xml:space="preserve">.  </w:t>
      </w:r>
    </w:p>
    <w:p w14:paraId="35121ABE" w14:textId="5AB33F88" w:rsidR="008B3317" w:rsidRPr="00DC5C46" w:rsidRDefault="008B3317" w:rsidP="008A5F3A">
      <w:pPr>
        <w:shd w:val="clear" w:color="auto" w:fill="FFFFFF"/>
        <w:spacing w:line="360" w:lineRule="auto"/>
        <w:jc w:val="both"/>
        <w:rPr>
          <w:rFonts w:ascii="Arial" w:hAnsi="Arial" w:cs="Arial"/>
          <w:color w:val="000000"/>
          <w:sz w:val="22"/>
          <w:szCs w:val="22"/>
          <w:lang w:val="en-US" w:eastAsia="fr-FR"/>
        </w:rPr>
      </w:pPr>
    </w:p>
    <w:p w14:paraId="2DBD6F03" w14:textId="2BDA02D0" w:rsidR="008A5F3A" w:rsidRPr="00DC5C46" w:rsidRDefault="008A5F3A" w:rsidP="00C50FC4">
      <w:pPr>
        <w:shd w:val="clear" w:color="auto" w:fill="FFFFFF"/>
        <w:spacing w:line="360" w:lineRule="auto"/>
        <w:jc w:val="both"/>
        <w:rPr>
          <w:rFonts w:ascii="Arial" w:hAnsi="Arial" w:cs="Arial"/>
          <w:color w:val="000000"/>
          <w:sz w:val="22"/>
          <w:szCs w:val="22"/>
          <w:lang w:val="en-US" w:eastAsia="fr-FR"/>
        </w:rPr>
      </w:pPr>
      <w:r w:rsidRPr="00DC5C46">
        <w:rPr>
          <w:rFonts w:ascii="Arial" w:hAnsi="Arial" w:cs="Arial"/>
          <w:color w:val="000000"/>
          <w:sz w:val="22"/>
          <w:szCs w:val="22"/>
          <w:lang w:val="en-US" w:eastAsia="fr-FR"/>
        </w:rPr>
        <w:t xml:space="preserve">Thermal induction performed on adult SLAB females exposed to 37 °C for 1 h did not result in a significant increase in WO phage DNA relative to control females maintained at 27 °C, as measured by </w:t>
      </w:r>
      <w:proofErr w:type="spellStart"/>
      <w:r w:rsidRPr="00DC5C46">
        <w:rPr>
          <w:rFonts w:ascii="Arial" w:hAnsi="Arial" w:cs="Arial"/>
          <w:i/>
          <w:iCs/>
          <w:color w:val="000000"/>
          <w:sz w:val="22"/>
          <w:szCs w:val="22"/>
          <w:lang w:val="en-US" w:eastAsia="fr-FR"/>
        </w:rPr>
        <w:t>gpw</w:t>
      </w:r>
      <w:proofErr w:type="spellEnd"/>
      <w:r w:rsidRPr="00DC5C46">
        <w:rPr>
          <w:rFonts w:ascii="Arial" w:hAnsi="Arial" w:cs="Arial"/>
          <w:i/>
          <w:iCs/>
          <w:color w:val="000000"/>
          <w:sz w:val="22"/>
          <w:szCs w:val="22"/>
          <w:lang w:val="en-US" w:eastAsia="fr-FR"/>
        </w:rPr>
        <w:t>/ace2</w:t>
      </w:r>
      <w:r w:rsidRPr="00DC5C46">
        <w:rPr>
          <w:rFonts w:ascii="Arial" w:hAnsi="Arial" w:cs="Arial"/>
          <w:color w:val="000000"/>
          <w:sz w:val="22"/>
          <w:szCs w:val="22"/>
          <w:lang w:val="en-US" w:eastAsia="fr-FR"/>
        </w:rPr>
        <w:t xml:space="preserve"> ratios (</w:t>
      </w:r>
      <w:r w:rsidR="00FC0CD1" w:rsidRPr="00DC5C46">
        <w:rPr>
          <w:rFonts w:ascii="Arial" w:hAnsi="Arial" w:cs="Arial"/>
          <w:b/>
          <w:bCs/>
          <w:color w:val="000000"/>
          <w:sz w:val="22"/>
          <w:szCs w:val="22"/>
          <w:lang w:val="en-US" w:eastAsia="fr-FR"/>
        </w:rPr>
        <w:t>Supplementary</w:t>
      </w:r>
      <w:r w:rsidR="00FC0CD1" w:rsidRPr="00DC5C46">
        <w:rPr>
          <w:rFonts w:ascii="Arial" w:hAnsi="Arial" w:cs="Arial"/>
          <w:color w:val="000000"/>
          <w:sz w:val="22"/>
          <w:szCs w:val="22"/>
          <w:lang w:val="en-US" w:eastAsia="fr-FR"/>
        </w:rPr>
        <w:t xml:space="preserve"> </w:t>
      </w:r>
      <w:r w:rsidRPr="00DC5C46">
        <w:rPr>
          <w:rFonts w:ascii="Arial" w:hAnsi="Arial" w:cs="Arial"/>
          <w:b/>
          <w:bCs/>
          <w:color w:val="000000"/>
          <w:sz w:val="22"/>
          <w:szCs w:val="22"/>
          <w:lang w:val="en-US" w:eastAsia="fr-FR"/>
        </w:rPr>
        <w:t>Fig</w:t>
      </w:r>
      <w:r w:rsidR="00FC0CD1" w:rsidRPr="00DC5C46">
        <w:rPr>
          <w:rFonts w:ascii="Arial" w:hAnsi="Arial" w:cs="Arial"/>
          <w:b/>
          <w:bCs/>
          <w:color w:val="000000"/>
          <w:sz w:val="22"/>
          <w:szCs w:val="22"/>
          <w:lang w:val="en-US" w:eastAsia="fr-FR"/>
        </w:rPr>
        <w:t>.</w:t>
      </w:r>
      <w:r w:rsidRPr="00DC5C46">
        <w:rPr>
          <w:rFonts w:ascii="Arial" w:hAnsi="Arial" w:cs="Arial"/>
          <w:b/>
          <w:bCs/>
          <w:color w:val="000000"/>
          <w:sz w:val="22"/>
          <w:szCs w:val="22"/>
          <w:lang w:val="en-US" w:eastAsia="fr-FR"/>
        </w:rPr>
        <w:t xml:space="preserve"> </w:t>
      </w:r>
      <w:r w:rsidR="00B50632" w:rsidRPr="00DC5C46">
        <w:rPr>
          <w:rFonts w:ascii="Arial" w:hAnsi="Arial" w:cs="Arial"/>
          <w:b/>
          <w:bCs/>
          <w:color w:val="000000"/>
          <w:sz w:val="22"/>
          <w:szCs w:val="22"/>
          <w:lang w:val="en-US" w:eastAsia="fr-FR"/>
        </w:rPr>
        <w:t>1B</w:t>
      </w:r>
      <w:r w:rsidRPr="00DC5C46">
        <w:rPr>
          <w:rFonts w:ascii="Arial" w:hAnsi="Arial" w:cs="Arial"/>
          <w:color w:val="000000"/>
          <w:sz w:val="22"/>
          <w:szCs w:val="22"/>
          <w:lang w:val="en-US" w:eastAsia="fr-FR"/>
        </w:rPr>
        <w:t>, panel 1). Similarly, mitomycin C treatment of first-instar larvae (L1) at 5 ng ml</w:t>
      </w:r>
      <w:r w:rsidRPr="00DC5C46">
        <w:rPr>
          <w:rFonts w:ascii="Cambria Math" w:hAnsi="Cambria Math" w:cs="Cambria Math"/>
          <w:color w:val="000000"/>
          <w:sz w:val="22"/>
          <w:szCs w:val="22"/>
          <w:lang w:val="en-US" w:eastAsia="fr-FR"/>
        </w:rPr>
        <w:t>⁻</w:t>
      </w:r>
      <w:r w:rsidRPr="00DC5C46">
        <w:rPr>
          <w:rFonts w:ascii="Arial" w:hAnsi="Arial" w:cs="Arial"/>
          <w:color w:val="000000"/>
          <w:sz w:val="22"/>
          <w:szCs w:val="22"/>
          <w:lang w:val="en-US" w:eastAsia="fr-FR"/>
        </w:rPr>
        <w:t>¹ over a four-day period did not lead to an increase in WO phage DNA compared to untreated controls (</w:t>
      </w:r>
      <w:r w:rsidR="00FC0CD1" w:rsidRPr="00DC5C46">
        <w:rPr>
          <w:rFonts w:ascii="Arial" w:hAnsi="Arial" w:cs="Arial"/>
          <w:b/>
          <w:bCs/>
          <w:color w:val="000000"/>
          <w:sz w:val="22"/>
          <w:szCs w:val="22"/>
          <w:lang w:val="en-US" w:eastAsia="fr-FR"/>
        </w:rPr>
        <w:t>Supplementary</w:t>
      </w:r>
      <w:r w:rsidR="00FC0CD1" w:rsidRPr="00DC5C46">
        <w:rPr>
          <w:rFonts w:ascii="Arial" w:hAnsi="Arial" w:cs="Arial"/>
          <w:color w:val="000000"/>
          <w:sz w:val="22"/>
          <w:szCs w:val="22"/>
          <w:lang w:val="en-US" w:eastAsia="fr-FR"/>
        </w:rPr>
        <w:t xml:space="preserve"> </w:t>
      </w:r>
      <w:r w:rsidRPr="00DC5C46">
        <w:rPr>
          <w:rFonts w:ascii="Arial" w:hAnsi="Arial" w:cs="Arial"/>
          <w:b/>
          <w:bCs/>
          <w:color w:val="000000"/>
          <w:sz w:val="22"/>
          <w:szCs w:val="22"/>
          <w:lang w:val="en-US" w:eastAsia="fr-FR"/>
        </w:rPr>
        <w:t>Fig</w:t>
      </w:r>
      <w:r w:rsidR="00FC0CD1" w:rsidRPr="00DC5C46">
        <w:rPr>
          <w:rFonts w:ascii="Arial" w:hAnsi="Arial" w:cs="Arial"/>
          <w:b/>
          <w:bCs/>
          <w:color w:val="000000"/>
          <w:sz w:val="22"/>
          <w:szCs w:val="22"/>
          <w:lang w:val="en-US" w:eastAsia="fr-FR"/>
        </w:rPr>
        <w:t>.</w:t>
      </w:r>
      <w:r w:rsidRPr="00DC5C46">
        <w:rPr>
          <w:rFonts w:ascii="Arial" w:hAnsi="Arial" w:cs="Arial"/>
          <w:b/>
          <w:bCs/>
          <w:color w:val="000000"/>
          <w:sz w:val="22"/>
          <w:szCs w:val="22"/>
          <w:lang w:val="en-US" w:eastAsia="fr-FR"/>
        </w:rPr>
        <w:t xml:space="preserve"> </w:t>
      </w:r>
      <w:r w:rsidR="00B50632" w:rsidRPr="00DC5C46">
        <w:rPr>
          <w:rFonts w:ascii="Arial" w:hAnsi="Arial" w:cs="Arial"/>
          <w:b/>
          <w:bCs/>
          <w:color w:val="000000"/>
          <w:sz w:val="22"/>
          <w:szCs w:val="22"/>
          <w:lang w:val="en-US" w:eastAsia="fr-FR"/>
        </w:rPr>
        <w:t>1B</w:t>
      </w:r>
      <w:r w:rsidRPr="00DC5C46">
        <w:rPr>
          <w:rFonts w:ascii="Arial" w:hAnsi="Arial" w:cs="Arial"/>
          <w:color w:val="000000"/>
          <w:sz w:val="22"/>
          <w:szCs w:val="22"/>
          <w:lang w:val="en-US" w:eastAsia="fr-FR"/>
        </w:rPr>
        <w:t xml:space="preserve">, panel 2). Instead, mitomycin C exposure was associated with a reduction in </w:t>
      </w:r>
      <w:r w:rsidRPr="00DC5C46">
        <w:rPr>
          <w:rFonts w:ascii="Arial" w:hAnsi="Arial" w:cs="Arial"/>
          <w:i/>
          <w:iCs/>
          <w:color w:val="000000"/>
          <w:sz w:val="22"/>
          <w:szCs w:val="22"/>
          <w:lang w:val="en-US" w:eastAsia="fr-FR"/>
        </w:rPr>
        <w:t>Wolbachia</w:t>
      </w:r>
      <w:r w:rsidRPr="00DC5C46">
        <w:rPr>
          <w:rFonts w:ascii="Arial" w:hAnsi="Arial" w:cs="Arial"/>
          <w:color w:val="000000"/>
          <w:sz w:val="22"/>
          <w:szCs w:val="22"/>
          <w:lang w:val="en-US" w:eastAsia="fr-FR"/>
        </w:rPr>
        <w:t xml:space="preserve"> abundance, which was paralleled by a corresponding decrease in WO phage DNA levels. Under the conditions tested, neither thermal nor chemical induction resulted in an increase in WO phage DNA consistent with the production of encapsidated phage particles.</w:t>
      </w:r>
    </w:p>
    <w:p w14:paraId="3D161E8F" w14:textId="77777777" w:rsidR="008A5F3A" w:rsidRPr="00DC5C46" w:rsidRDefault="008A5F3A">
      <w:pPr>
        <w:rPr>
          <w:rFonts w:ascii="Arial" w:hAnsi="Arial" w:cs="Arial"/>
          <w:lang w:val="en-US"/>
        </w:rPr>
      </w:pPr>
    </w:p>
    <w:p w14:paraId="3D0687BA" w14:textId="1BEC00CA" w:rsidR="008B3317" w:rsidRPr="006269CA" w:rsidRDefault="008B3317">
      <w:pPr>
        <w:rPr>
          <w:rFonts w:ascii="Arial" w:hAnsi="Arial" w:cs="Arial"/>
          <w:b/>
          <w:bCs/>
          <w:sz w:val="28"/>
          <w:szCs w:val="28"/>
        </w:rPr>
      </w:pPr>
      <w:proofErr w:type="spellStart"/>
      <w:r w:rsidRPr="006269CA">
        <w:rPr>
          <w:rFonts w:ascii="Arial" w:hAnsi="Arial" w:cs="Arial"/>
          <w:b/>
          <w:bCs/>
          <w:sz w:val="28"/>
          <w:szCs w:val="28"/>
        </w:rPr>
        <w:t>Supplementary</w:t>
      </w:r>
      <w:proofErr w:type="spellEnd"/>
      <w:r w:rsidRPr="006269CA">
        <w:rPr>
          <w:rFonts w:ascii="Arial" w:hAnsi="Arial" w:cs="Arial"/>
          <w:b/>
          <w:bCs/>
          <w:sz w:val="28"/>
          <w:szCs w:val="28"/>
        </w:rPr>
        <w:t xml:space="preserve"> Figures</w:t>
      </w:r>
    </w:p>
    <w:p w14:paraId="268BF5AA" w14:textId="77777777" w:rsidR="008B3317" w:rsidRPr="00DC5C46" w:rsidRDefault="008B3317">
      <w:pPr>
        <w:rPr>
          <w:rFonts w:ascii="Arial" w:hAnsi="Arial" w:cs="Arial"/>
          <w:u w:val="single"/>
        </w:rPr>
      </w:pPr>
    </w:p>
    <w:p w14:paraId="3A7886E0" w14:textId="4A230869" w:rsidR="008A5F3A" w:rsidRPr="006269CA" w:rsidRDefault="008A5F3A">
      <w:pPr>
        <w:rPr>
          <w:rFonts w:ascii="Arial" w:hAnsi="Arial" w:cs="Arial"/>
          <w:b/>
          <w:bCs/>
        </w:rPr>
      </w:pPr>
      <w:r w:rsidRPr="006269CA">
        <w:rPr>
          <w:rFonts w:ascii="Arial" w:hAnsi="Arial" w:cs="Arial"/>
          <w:b/>
          <w:bCs/>
        </w:rPr>
        <w:t>Supplementary Figure 1</w:t>
      </w:r>
    </w:p>
    <w:p w14:paraId="1CF65780" w14:textId="77777777" w:rsidR="002A4D1A" w:rsidRPr="00DC5C46" w:rsidRDefault="002A4D1A">
      <w:pPr>
        <w:rPr>
          <w:rFonts w:ascii="Arial" w:hAnsi="Arial" w:cs="Arial"/>
          <w:u w:val="single"/>
        </w:rPr>
      </w:pPr>
    </w:p>
    <w:p w14:paraId="67E80A7B" w14:textId="6D255830" w:rsidR="00C51B5A" w:rsidRPr="00DC5C46" w:rsidRDefault="002A4D1A">
      <w:pPr>
        <w:rPr>
          <w:rFonts w:ascii="Arial" w:hAnsi="Arial" w:cs="Arial"/>
          <w:u w:val="single"/>
        </w:rPr>
      </w:pPr>
      <w:r>
        <w:rPr>
          <w:rFonts w:ascii="Arial" w:hAnsi="Arial" w:cs="Arial"/>
          <w:noProof/>
          <w:u w:val="single"/>
        </w:rPr>
        <w:lastRenderedPageBreak/>
        <w:drawing>
          <wp:inline distT="0" distB="0" distL="0" distR="0" wp14:anchorId="4CB51136" wp14:editId="27845A28">
            <wp:extent cx="4432300" cy="4394200"/>
            <wp:effectExtent l="0" t="0" r="0" b="0"/>
            <wp:docPr id="2769038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03805" name="Image 276903805"/>
                    <pic:cNvPicPr/>
                  </pic:nvPicPr>
                  <pic:blipFill>
                    <a:blip r:embed="rId5"/>
                    <a:stretch>
                      <a:fillRect/>
                    </a:stretch>
                  </pic:blipFill>
                  <pic:spPr>
                    <a:xfrm>
                      <a:off x="0" y="0"/>
                      <a:ext cx="4432300" cy="4394200"/>
                    </a:xfrm>
                    <a:prstGeom prst="rect">
                      <a:avLst/>
                    </a:prstGeom>
                  </pic:spPr>
                </pic:pic>
              </a:graphicData>
            </a:graphic>
          </wp:inline>
        </w:drawing>
      </w:r>
    </w:p>
    <w:p w14:paraId="7771C94F" w14:textId="663B0FA1" w:rsidR="00C51B5A" w:rsidRPr="00DC5C46" w:rsidRDefault="00C51B5A">
      <w:pPr>
        <w:rPr>
          <w:rFonts w:ascii="Arial" w:hAnsi="Arial" w:cs="Arial"/>
          <w:u w:val="single"/>
        </w:rPr>
      </w:pPr>
    </w:p>
    <w:p w14:paraId="62390515" w14:textId="77777777" w:rsidR="00C51B5A" w:rsidRPr="00DC5C46" w:rsidRDefault="00C51B5A">
      <w:pPr>
        <w:rPr>
          <w:rFonts w:ascii="Arial" w:hAnsi="Arial" w:cs="Arial"/>
          <w:u w:val="single"/>
        </w:rPr>
      </w:pPr>
    </w:p>
    <w:p w14:paraId="2C3531C6" w14:textId="742D27C5" w:rsidR="008503C0" w:rsidRPr="00DC5C46" w:rsidRDefault="00B579B9" w:rsidP="008503C0">
      <w:pPr>
        <w:shd w:val="clear" w:color="auto" w:fill="FFFFFF"/>
        <w:spacing w:line="360" w:lineRule="auto"/>
        <w:jc w:val="both"/>
        <w:rPr>
          <w:rFonts w:ascii="Arial" w:hAnsi="Arial" w:cs="Arial"/>
          <w:b/>
          <w:bCs/>
          <w:color w:val="000000" w:themeColor="text1"/>
          <w:sz w:val="22"/>
          <w:szCs w:val="22"/>
          <w:lang w:val="en-US" w:eastAsia="fr-FR"/>
        </w:rPr>
      </w:pPr>
      <w:r w:rsidRPr="00DC5C46">
        <w:rPr>
          <w:rFonts w:ascii="Arial" w:hAnsi="Arial" w:cs="Arial"/>
          <w:b/>
          <w:bCs/>
          <w:color w:val="000000"/>
          <w:sz w:val="22"/>
          <w:szCs w:val="22"/>
          <w:lang w:val="en-US" w:eastAsia="fr-FR"/>
        </w:rPr>
        <w:t xml:space="preserve">Supplementary </w:t>
      </w:r>
      <w:r w:rsidR="008503C0" w:rsidRPr="00DC5C46">
        <w:rPr>
          <w:rFonts w:ascii="Arial" w:hAnsi="Arial" w:cs="Arial"/>
          <w:b/>
          <w:bCs/>
          <w:color w:val="000000"/>
          <w:sz w:val="22"/>
          <w:szCs w:val="22"/>
          <w:lang w:val="en-US" w:eastAsia="fr-FR"/>
        </w:rPr>
        <w:t>Fig</w:t>
      </w:r>
      <w:r w:rsidR="00E4055B" w:rsidRPr="00DC5C46">
        <w:rPr>
          <w:rFonts w:ascii="Arial" w:hAnsi="Arial" w:cs="Arial"/>
          <w:b/>
          <w:bCs/>
          <w:color w:val="000000"/>
          <w:sz w:val="22"/>
          <w:szCs w:val="22"/>
          <w:lang w:val="en-US" w:eastAsia="fr-FR"/>
        </w:rPr>
        <w:t xml:space="preserve">. </w:t>
      </w:r>
      <w:r w:rsidRPr="00DC5C46">
        <w:rPr>
          <w:rFonts w:ascii="Arial" w:hAnsi="Arial" w:cs="Arial"/>
          <w:b/>
          <w:bCs/>
          <w:color w:val="000000"/>
          <w:sz w:val="22"/>
          <w:szCs w:val="22"/>
          <w:lang w:val="en-US" w:eastAsia="fr-FR"/>
        </w:rPr>
        <w:t>1</w:t>
      </w:r>
      <w:r w:rsidR="008503C0" w:rsidRPr="00DC5C46">
        <w:rPr>
          <w:rFonts w:ascii="Arial" w:hAnsi="Arial" w:cs="Arial"/>
          <w:b/>
          <w:bCs/>
          <w:color w:val="000000"/>
          <w:sz w:val="22"/>
          <w:szCs w:val="22"/>
          <w:lang w:val="en-US" w:eastAsia="fr-FR"/>
        </w:rPr>
        <w:t xml:space="preserve">: </w:t>
      </w:r>
      <w:r w:rsidR="008503C0" w:rsidRPr="00DC5C46">
        <w:rPr>
          <w:rFonts w:ascii="Arial" w:hAnsi="Arial" w:cs="Arial"/>
          <w:color w:val="000000"/>
          <w:sz w:val="22"/>
          <w:szCs w:val="22"/>
          <w:lang w:val="en-US" w:eastAsia="fr-FR"/>
        </w:rPr>
        <w:t xml:space="preserve">Quantification of </w:t>
      </w:r>
      <w:r w:rsidR="008503C0" w:rsidRPr="00DC5C46">
        <w:rPr>
          <w:rFonts w:ascii="Arial" w:hAnsi="Arial" w:cs="Arial"/>
          <w:i/>
          <w:iCs/>
          <w:color w:val="000000"/>
          <w:sz w:val="22"/>
          <w:szCs w:val="22"/>
          <w:lang w:val="en-US" w:eastAsia="fr-FR"/>
        </w:rPr>
        <w:t>Wolbachia</w:t>
      </w:r>
      <w:r w:rsidR="008503C0" w:rsidRPr="00DC5C46">
        <w:rPr>
          <w:rFonts w:ascii="Arial" w:hAnsi="Arial" w:cs="Arial"/>
          <w:color w:val="000000"/>
          <w:sz w:val="22"/>
          <w:szCs w:val="22"/>
          <w:lang w:val="en-US" w:eastAsia="fr-FR"/>
        </w:rPr>
        <w:t xml:space="preserve"> and phage WO across independent phage isolations and induction assays.  </w:t>
      </w:r>
      <w:r w:rsidR="008503C0" w:rsidRPr="00DC5C46">
        <w:rPr>
          <w:rFonts w:ascii="Arial" w:hAnsi="Arial" w:cs="Arial"/>
          <w:b/>
          <w:bCs/>
          <w:color w:val="000000"/>
          <w:sz w:val="22"/>
          <w:szCs w:val="22"/>
          <w:lang w:val="en-US" w:eastAsia="fr-FR"/>
        </w:rPr>
        <w:t>A</w:t>
      </w:r>
      <w:r w:rsidR="008503C0" w:rsidRPr="00DC5C46">
        <w:rPr>
          <w:rFonts w:ascii="Arial" w:hAnsi="Arial" w:cs="Arial"/>
          <w:color w:val="000000"/>
          <w:sz w:val="22"/>
          <w:szCs w:val="22"/>
          <w:lang w:val="en-US" w:eastAsia="fr-FR"/>
        </w:rPr>
        <w:t>. Quantitative PCR (qPCR) analysis of mosquito host (</w:t>
      </w:r>
      <w:r w:rsidR="008503C0" w:rsidRPr="00DC5C46">
        <w:rPr>
          <w:rFonts w:ascii="Arial" w:hAnsi="Arial" w:cs="Arial"/>
          <w:i/>
          <w:iCs/>
          <w:color w:val="000000"/>
          <w:sz w:val="22"/>
          <w:szCs w:val="22"/>
          <w:lang w:val="en-US" w:eastAsia="fr-FR"/>
        </w:rPr>
        <w:t>ace2</w:t>
      </w:r>
      <w:r w:rsidR="008503C0" w:rsidRPr="00DC5C46">
        <w:rPr>
          <w:rFonts w:ascii="Arial" w:hAnsi="Arial" w:cs="Arial"/>
          <w:color w:val="000000"/>
          <w:sz w:val="22"/>
          <w:szCs w:val="22"/>
          <w:lang w:val="en-US" w:eastAsia="fr-FR"/>
        </w:rPr>
        <w:t xml:space="preserve">), </w:t>
      </w:r>
      <w:r w:rsidR="008503C0" w:rsidRPr="00DC5C46">
        <w:rPr>
          <w:rFonts w:ascii="Arial" w:hAnsi="Arial" w:cs="Arial"/>
          <w:i/>
          <w:iCs/>
          <w:color w:val="000000"/>
          <w:sz w:val="22"/>
          <w:szCs w:val="22"/>
          <w:lang w:val="en-US" w:eastAsia="fr-FR"/>
        </w:rPr>
        <w:t>Wolbachia</w:t>
      </w:r>
      <w:r w:rsidR="008503C0" w:rsidRPr="00DC5C46">
        <w:rPr>
          <w:rFonts w:ascii="Arial" w:hAnsi="Arial" w:cs="Arial"/>
          <w:color w:val="000000"/>
          <w:sz w:val="22"/>
          <w:szCs w:val="22"/>
          <w:lang w:val="en-US" w:eastAsia="fr-FR"/>
        </w:rPr>
        <w:t xml:space="preserve"> (</w:t>
      </w:r>
      <w:r w:rsidR="008503C0" w:rsidRPr="00DC5C46">
        <w:rPr>
          <w:rFonts w:ascii="Arial" w:hAnsi="Arial" w:cs="Arial"/>
          <w:i/>
          <w:iCs/>
          <w:color w:val="000000"/>
          <w:sz w:val="22"/>
          <w:szCs w:val="22"/>
          <w:lang w:val="en-US" w:eastAsia="fr-FR"/>
        </w:rPr>
        <w:t>wsp</w:t>
      </w:r>
      <w:r w:rsidR="008503C0" w:rsidRPr="00DC5C46">
        <w:rPr>
          <w:rFonts w:ascii="Arial" w:hAnsi="Arial" w:cs="Arial"/>
          <w:color w:val="000000"/>
          <w:sz w:val="22"/>
          <w:szCs w:val="22"/>
          <w:lang w:val="en-US" w:eastAsia="fr-FR"/>
        </w:rPr>
        <w:t>), pWCP plasmid (GP11) and WO phage (</w:t>
      </w:r>
      <w:proofErr w:type="spellStart"/>
      <w:r w:rsidR="008503C0" w:rsidRPr="00DC5C46">
        <w:rPr>
          <w:rFonts w:ascii="Arial" w:hAnsi="Arial" w:cs="Arial"/>
          <w:i/>
          <w:iCs/>
          <w:color w:val="000000"/>
          <w:sz w:val="22"/>
          <w:szCs w:val="22"/>
          <w:lang w:val="en-US" w:eastAsia="fr-FR"/>
        </w:rPr>
        <w:t>gpw</w:t>
      </w:r>
      <w:proofErr w:type="spellEnd"/>
      <w:r w:rsidR="008503C0" w:rsidRPr="00DC5C46">
        <w:rPr>
          <w:rFonts w:ascii="Arial" w:hAnsi="Arial" w:cs="Arial"/>
          <w:color w:val="000000"/>
          <w:sz w:val="22"/>
          <w:szCs w:val="22"/>
          <w:lang w:val="en-US" w:eastAsia="fr-FR"/>
        </w:rPr>
        <w:t xml:space="preserve">). DNA following two additional independent phage isolations (isolation 2, left </w:t>
      </w:r>
      <w:r w:rsidR="008503C0" w:rsidRPr="00DC5C46">
        <w:rPr>
          <w:rFonts w:ascii="Arial" w:hAnsi="Arial" w:cs="Arial"/>
          <w:b/>
          <w:bCs/>
          <w:color w:val="000000"/>
          <w:sz w:val="22"/>
          <w:szCs w:val="22"/>
          <w:lang w:val="en-US" w:eastAsia="fr-FR"/>
        </w:rPr>
        <w:t xml:space="preserve">panel </w:t>
      </w:r>
      <w:r w:rsidR="008503C0" w:rsidRPr="00DC5C46">
        <w:rPr>
          <w:rFonts w:ascii="Arial" w:hAnsi="Arial" w:cs="Arial"/>
          <w:color w:val="000000"/>
          <w:sz w:val="22"/>
          <w:szCs w:val="22"/>
          <w:lang w:val="en-US" w:eastAsia="fr-FR"/>
        </w:rPr>
        <w:t xml:space="preserve">and isolation 3, right </w:t>
      </w:r>
      <w:r w:rsidR="008503C0" w:rsidRPr="00DC5C46">
        <w:rPr>
          <w:rFonts w:ascii="Arial" w:hAnsi="Arial" w:cs="Arial"/>
          <w:b/>
          <w:bCs/>
          <w:color w:val="000000"/>
          <w:sz w:val="22"/>
          <w:szCs w:val="22"/>
          <w:lang w:val="en-US" w:eastAsia="fr-FR"/>
        </w:rPr>
        <w:t>panel</w:t>
      </w:r>
      <w:r w:rsidR="008503C0" w:rsidRPr="00DC5C46">
        <w:rPr>
          <w:rFonts w:ascii="Arial" w:hAnsi="Arial" w:cs="Arial"/>
          <w:color w:val="000000"/>
          <w:sz w:val="22"/>
          <w:szCs w:val="22"/>
          <w:lang w:val="en-US" w:eastAsia="fr-FR"/>
        </w:rPr>
        <w:t xml:space="preserve">). Absolute DNA </w:t>
      </w:r>
      <w:r w:rsidR="008503C0" w:rsidRPr="00DC5C46">
        <w:rPr>
          <w:rFonts w:ascii="Arial" w:hAnsi="Arial" w:cs="Arial"/>
          <w:color w:val="000000" w:themeColor="text1"/>
          <w:sz w:val="22"/>
          <w:szCs w:val="22"/>
          <w:lang w:val="en-US" w:eastAsia="fr-FR"/>
        </w:rPr>
        <w:t xml:space="preserve">concentrations obtained by qPCR were normalized to the total amount of extracted DNA for each sample, providing a relative measure of the contribution of each genetic compartment within the encapsidated DNA fraction. </w:t>
      </w:r>
      <w:r w:rsidR="008503C0" w:rsidRPr="00DC5C46">
        <w:rPr>
          <w:rFonts w:ascii="Arial" w:hAnsi="Arial" w:cs="Arial"/>
          <w:b/>
          <w:bCs/>
          <w:color w:val="000000" w:themeColor="text1"/>
          <w:sz w:val="22"/>
          <w:szCs w:val="22"/>
          <w:lang w:val="en-US" w:eastAsia="fr-FR"/>
        </w:rPr>
        <w:t>B</w:t>
      </w:r>
      <w:r w:rsidR="008503C0" w:rsidRPr="00DC5C46">
        <w:rPr>
          <w:rFonts w:ascii="Arial" w:hAnsi="Arial" w:cs="Arial"/>
          <w:color w:val="000000" w:themeColor="text1"/>
          <w:sz w:val="22"/>
          <w:szCs w:val="22"/>
          <w:lang w:val="en-US" w:eastAsia="fr-FR"/>
        </w:rPr>
        <w:t xml:space="preserve">. qPCR-based assessment of phage induction experiments, showing </w:t>
      </w:r>
      <w:r w:rsidR="008503C0" w:rsidRPr="00DC5C46">
        <w:rPr>
          <w:rFonts w:ascii="Arial" w:hAnsi="Arial" w:cs="Arial"/>
          <w:i/>
          <w:iCs/>
          <w:color w:val="000000" w:themeColor="text1"/>
          <w:sz w:val="22"/>
          <w:szCs w:val="22"/>
          <w:lang w:val="en-US" w:eastAsia="fr-FR"/>
        </w:rPr>
        <w:t>Wolbachia</w:t>
      </w:r>
      <w:r w:rsidR="008503C0" w:rsidRPr="00DC5C46">
        <w:rPr>
          <w:rFonts w:ascii="Arial" w:hAnsi="Arial" w:cs="Arial"/>
          <w:color w:val="000000" w:themeColor="text1"/>
          <w:sz w:val="22"/>
          <w:szCs w:val="22"/>
          <w:lang w:val="en-US" w:eastAsia="fr-FR"/>
        </w:rPr>
        <w:t xml:space="preserve"> (</w:t>
      </w:r>
      <w:r w:rsidR="008503C0" w:rsidRPr="00DC5C46">
        <w:rPr>
          <w:rFonts w:ascii="Arial" w:hAnsi="Arial" w:cs="Arial"/>
          <w:i/>
          <w:iCs/>
          <w:color w:val="000000" w:themeColor="text1"/>
          <w:sz w:val="22"/>
          <w:szCs w:val="22"/>
          <w:lang w:val="en-US" w:eastAsia="fr-FR"/>
        </w:rPr>
        <w:t>wsp</w:t>
      </w:r>
      <w:r w:rsidR="008503C0" w:rsidRPr="00DC5C46">
        <w:rPr>
          <w:rFonts w:ascii="Arial" w:hAnsi="Arial" w:cs="Arial"/>
          <w:color w:val="000000" w:themeColor="text1"/>
          <w:sz w:val="22"/>
          <w:szCs w:val="22"/>
          <w:lang w:val="en-US" w:eastAsia="fr-FR"/>
        </w:rPr>
        <w:t>) and WO phage (</w:t>
      </w:r>
      <w:proofErr w:type="spellStart"/>
      <w:r w:rsidR="008503C0" w:rsidRPr="00DC5C46">
        <w:rPr>
          <w:rFonts w:ascii="Arial" w:hAnsi="Arial" w:cs="Arial"/>
          <w:i/>
          <w:iCs/>
          <w:color w:val="000000" w:themeColor="text1"/>
          <w:sz w:val="22"/>
          <w:szCs w:val="22"/>
          <w:lang w:val="en-US" w:eastAsia="fr-FR"/>
        </w:rPr>
        <w:t>gpw</w:t>
      </w:r>
      <w:proofErr w:type="spellEnd"/>
      <w:r w:rsidR="008503C0" w:rsidRPr="00DC5C46">
        <w:rPr>
          <w:rFonts w:ascii="Arial" w:hAnsi="Arial" w:cs="Arial"/>
          <w:color w:val="000000" w:themeColor="text1"/>
          <w:sz w:val="22"/>
          <w:szCs w:val="22"/>
          <w:lang w:val="en-US" w:eastAsia="fr-FR"/>
        </w:rPr>
        <w:t xml:space="preserve">) DNA levels normalized to the mosquito </w:t>
      </w:r>
      <w:r w:rsidR="008503C0" w:rsidRPr="00DC5C46">
        <w:rPr>
          <w:rFonts w:ascii="Arial" w:hAnsi="Arial" w:cs="Arial"/>
          <w:i/>
          <w:iCs/>
          <w:color w:val="000000" w:themeColor="text1"/>
          <w:sz w:val="22"/>
          <w:szCs w:val="22"/>
          <w:lang w:val="en-US" w:eastAsia="fr-FR"/>
        </w:rPr>
        <w:t>ace2</w:t>
      </w:r>
      <w:r w:rsidR="008503C0" w:rsidRPr="00DC5C46">
        <w:rPr>
          <w:rFonts w:ascii="Arial" w:hAnsi="Arial" w:cs="Arial"/>
          <w:color w:val="000000" w:themeColor="text1"/>
          <w:sz w:val="22"/>
          <w:szCs w:val="22"/>
          <w:lang w:val="en-US" w:eastAsia="fr-FR"/>
        </w:rPr>
        <w:t xml:space="preserve"> gene. Two induction conditions were tested: left </w:t>
      </w:r>
      <w:r w:rsidR="008503C0" w:rsidRPr="00DC5C46">
        <w:rPr>
          <w:rFonts w:ascii="Arial" w:hAnsi="Arial" w:cs="Arial"/>
          <w:b/>
          <w:bCs/>
          <w:color w:val="000000" w:themeColor="text1"/>
          <w:sz w:val="22"/>
          <w:szCs w:val="22"/>
          <w:lang w:val="en-US" w:eastAsia="fr-FR"/>
        </w:rPr>
        <w:t>panel</w:t>
      </w:r>
      <w:r w:rsidR="008503C0" w:rsidRPr="00DC5C46">
        <w:rPr>
          <w:rFonts w:ascii="Arial" w:hAnsi="Arial" w:cs="Arial"/>
          <w:color w:val="000000" w:themeColor="text1"/>
          <w:sz w:val="22"/>
          <w:szCs w:val="22"/>
          <w:lang w:val="en-US" w:eastAsia="fr-FR"/>
        </w:rPr>
        <w:t xml:space="preserve">, Thermal induction in adult females exposed to 37°C for 1h, and right </w:t>
      </w:r>
      <w:r w:rsidR="008503C0" w:rsidRPr="00DC5C46">
        <w:rPr>
          <w:rFonts w:ascii="Arial" w:hAnsi="Arial" w:cs="Arial"/>
          <w:b/>
          <w:bCs/>
          <w:color w:val="000000" w:themeColor="text1"/>
          <w:sz w:val="22"/>
          <w:szCs w:val="22"/>
          <w:lang w:val="en-US" w:eastAsia="fr-FR"/>
        </w:rPr>
        <w:t>panel</w:t>
      </w:r>
      <w:r w:rsidR="008503C0" w:rsidRPr="00DC5C46">
        <w:rPr>
          <w:rFonts w:ascii="Arial" w:hAnsi="Arial" w:cs="Arial"/>
          <w:color w:val="000000" w:themeColor="text1"/>
          <w:sz w:val="22"/>
          <w:szCs w:val="22"/>
          <w:lang w:val="en-US" w:eastAsia="fr-FR"/>
        </w:rPr>
        <w:t>, Mitomycin C treatment in first-instar larvae (L1) over a four-day exposure period.</w:t>
      </w:r>
      <w:r w:rsidR="008503C0" w:rsidRPr="00DC5C46">
        <w:rPr>
          <w:rFonts w:ascii="Arial" w:hAnsi="Arial" w:cs="Arial"/>
          <w:b/>
          <w:bCs/>
          <w:color w:val="000000" w:themeColor="text1"/>
          <w:sz w:val="22"/>
          <w:szCs w:val="22"/>
          <w:lang w:val="en-US" w:eastAsia="fr-FR"/>
        </w:rPr>
        <w:t xml:space="preserve"> </w:t>
      </w:r>
    </w:p>
    <w:p w14:paraId="571761D4" w14:textId="77777777" w:rsidR="00A23CC8" w:rsidRPr="00DC5C46" w:rsidRDefault="00A23CC8" w:rsidP="008503C0">
      <w:pPr>
        <w:shd w:val="clear" w:color="auto" w:fill="FFFFFF"/>
        <w:spacing w:line="360" w:lineRule="auto"/>
        <w:jc w:val="both"/>
        <w:rPr>
          <w:rFonts w:ascii="Arial" w:hAnsi="Arial" w:cs="Arial"/>
          <w:b/>
          <w:bCs/>
          <w:color w:val="000000" w:themeColor="text1"/>
          <w:sz w:val="22"/>
          <w:szCs w:val="22"/>
          <w:lang w:val="en-US" w:eastAsia="fr-FR"/>
        </w:rPr>
      </w:pPr>
    </w:p>
    <w:p w14:paraId="743242E8" w14:textId="27D88908" w:rsidR="00A23CC8" w:rsidRPr="006269CA" w:rsidRDefault="008B3317" w:rsidP="002E4DBC">
      <w:pPr>
        <w:shd w:val="clear" w:color="auto" w:fill="FFFFFF"/>
        <w:spacing w:line="360" w:lineRule="auto"/>
        <w:jc w:val="both"/>
        <w:rPr>
          <w:rFonts w:ascii="Arial" w:hAnsi="Arial" w:cs="Arial"/>
          <w:b/>
          <w:bCs/>
          <w:color w:val="000000" w:themeColor="text1"/>
          <w:sz w:val="28"/>
          <w:szCs w:val="28"/>
          <w:lang w:val="en-US" w:eastAsia="fr-FR"/>
        </w:rPr>
      </w:pPr>
      <w:r w:rsidRPr="006269CA">
        <w:rPr>
          <w:rFonts w:ascii="Arial" w:hAnsi="Arial" w:cs="Arial"/>
          <w:b/>
          <w:bCs/>
          <w:color w:val="000000" w:themeColor="text1"/>
          <w:sz w:val="28"/>
          <w:szCs w:val="28"/>
          <w:lang w:val="en-US" w:eastAsia="fr-FR"/>
        </w:rPr>
        <w:t>Supplementary Tables</w:t>
      </w:r>
    </w:p>
    <w:p w14:paraId="5B87F997" w14:textId="77777777" w:rsidR="008B3317" w:rsidRPr="00DC5C46" w:rsidRDefault="008B3317" w:rsidP="002E4DBC">
      <w:pPr>
        <w:shd w:val="clear" w:color="auto" w:fill="FFFFFF"/>
        <w:spacing w:line="360" w:lineRule="auto"/>
        <w:jc w:val="both"/>
        <w:rPr>
          <w:rFonts w:ascii="Arial" w:hAnsi="Arial" w:cs="Arial"/>
          <w:b/>
          <w:bCs/>
          <w:color w:val="000000" w:themeColor="text1"/>
          <w:sz w:val="22"/>
          <w:szCs w:val="22"/>
          <w:lang w:val="en-US" w:eastAsia="fr-FR"/>
        </w:rPr>
      </w:pPr>
    </w:p>
    <w:p w14:paraId="382BF007" w14:textId="60349499" w:rsidR="001C4C5C" w:rsidRDefault="001C4C5C" w:rsidP="002E4DBC">
      <w:pPr>
        <w:shd w:val="clear" w:color="auto" w:fill="FFFFFF"/>
        <w:spacing w:line="360" w:lineRule="auto"/>
        <w:jc w:val="both"/>
        <w:rPr>
          <w:rFonts w:ascii="Arial" w:hAnsi="Arial" w:cs="Arial"/>
          <w:b/>
          <w:bCs/>
          <w:color w:val="000000" w:themeColor="text1"/>
          <w:sz w:val="22"/>
          <w:szCs w:val="22"/>
          <w:lang w:val="en-US" w:eastAsia="fr-FR"/>
        </w:rPr>
      </w:pPr>
      <w:r>
        <w:rPr>
          <w:rFonts w:ascii="Arial" w:hAnsi="Arial" w:cs="Arial"/>
          <w:b/>
          <w:bCs/>
          <w:color w:val="000000" w:themeColor="text1"/>
          <w:sz w:val="22"/>
          <w:szCs w:val="22"/>
          <w:lang w:val="en-US" w:eastAsia="fr-FR"/>
        </w:rPr>
        <w:t xml:space="preserve">Supplementary Table 1. </w:t>
      </w:r>
      <w:r w:rsidR="00A41150" w:rsidRPr="00A41150">
        <w:rPr>
          <w:rFonts w:ascii="Arial" w:hAnsi="Arial" w:cs="Arial"/>
          <w:b/>
          <w:bCs/>
          <w:color w:val="000000" w:themeColor="text1"/>
          <w:sz w:val="22"/>
          <w:szCs w:val="22"/>
          <w:lang w:val="en-US" w:eastAsia="fr-FR"/>
        </w:rPr>
        <w:t>qPCR quantification of mosquito (</w:t>
      </w:r>
      <w:r w:rsidR="00A41150" w:rsidRPr="00A41150">
        <w:rPr>
          <w:rFonts w:ascii="Arial" w:hAnsi="Arial" w:cs="Arial"/>
          <w:b/>
          <w:bCs/>
          <w:i/>
          <w:iCs/>
          <w:color w:val="000000" w:themeColor="text1"/>
          <w:sz w:val="22"/>
          <w:szCs w:val="22"/>
          <w:lang w:val="en-US" w:eastAsia="fr-FR"/>
        </w:rPr>
        <w:t>ace2</w:t>
      </w:r>
      <w:r w:rsidR="00A41150" w:rsidRPr="00A41150">
        <w:rPr>
          <w:rFonts w:ascii="Arial" w:hAnsi="Arial" w:cs="Arial"/>
          <w:b/>
          <w:bCs/>
          <w:color w:val="000000" w:themeColor="text1"/>
          <w:sz w:val="22"/>
          <w:szCs w:val="22"/>
          <w:lang w:val="en-US" w:eastAsia="fr-FR"/>
        </w:rPr>
        <w:t xml:space="preserve">), </w:t>
      </w:r>
      <w:r w:rsidR="00A41150" w:rsidRPr="00A41150">
        <w:rPr>
          <w:rFonts w:ascii="Arial" w:hAnsi="Arial" w:cs="Arial"/>
          <w:b/>
          <w:bCs/>
          <w:i/>
          <w:iCs/>
          <w:color w:val="000000" w:themeColor="text1"/>
          <w:sz w:val="22"/>
          <w:szCs w:val="22"/>
          <w:lang w:val="en-US" w:eastAsia="fr-FR"/>
        </w:rPr>
        <w:t>Wolbachia</w:t>
      </w:r>
      <w:r w:rsidR="00A41150" w:rsidRPr="00A41150">
        <w:rPr>
          <w:rFonts w:ascii="Arial" w:hAnsi="Arial" w:cs="Arial"/>
          <w:b/>
          <w:bCs/>
          <w:color w:val="000000" w:themeColor="text1"/>
          <w:sz w:val="22"/>
          <w:szCs w:val="22"/>
          <w:lang w:val="en-US" w:eastAsia="fr-FR"/>
        </w:rPr>
        <w:t xml:space="preserve"> (</w:t>
      </w:r>
      <w:r w:rsidR="00A41150" w:rsidRPr="00A41150">
        <w:rPr>
          <w:rFonts w:ascii="Arial" w:hAnsi="Arial" w:cs="Arial"/>
          <w:b/>
          <w:bCs/>
          <w:i/>
          <w:iCs/>
          <w:color w:val="000000" w:themeColor="text1"/>
          <w:sz w:val="22"/>
          <w:szCs w:val="22"/>
          <w:lang w:val="en-US" w:eastAsia="fr-FR"/>
        </w:rPr>
        <w:t>wsp</w:t>
      </w:r>
      <w:r w:rsidR="00A41150" w:rsidRPr="00A41150">
        <w:rPr>
          <w:rFonts w:ascii="Arial" w:hAnsi="Arial" w:cs="Arial"/>
          <w:b/>
          <w:bCs/>
          <w:color w:val="000000" w:themeColor="text1"/>
          <w:sz w:val="22"/>
          <w:szCs w:val="22"/>
          <w:lang w:val="en-US" w:eastAsia="fr-FR"/>
        </w:rPr>
        <w:t>), plasmid pWCP (</w:t>
      </w:r>
      <w:r w:rsidR="00A41150" w:rsidRPr="00A41150">
        <w:rPr>
          <w:rFonts w:ascii="Arial" w:hAnsi="Arial" w:cs="Arial"/>
          <w:b/>
          <w:bCs/>
          <w:i/>
          <w:iCs/>
          <w:color w:val="000000" w:themeColor="text1"/>
          <w:sz w:val="22"/>
          <w:szCs w:val="22"/>
          <w:lang w:val="en-US" w:eastAsia="fr-FR"/>
        </w:rPr>
        <w:t>GP11</w:t>
      </w:r>
      <w:r w:rsidR="00A41150" w:rsidRPr="00A41150">
        <w:rPr>
          <w:rFonts w:ascii="Arial" w:hAnsi="Arial" w:cs="Arial"/>
          <w:b/>
          <w:bCs/>
          <w:color w:val="000000" w:themeColor="text1"/>
          <w:sz w:val="22"/>
          <w:szCs w:val="22"/>
          <w:lang w:val="en-US" w:eastAsia="fr-FR"/>
        </w:rPr>
        <w:t>) and phage WO (</w:t>
      </w:r>
      <w:r w:rsidR="00A41150" w:rsidRPr="00A41150">
        <w:rPr>
          <w:rFonts w:ascii="Arial" w:hAnsi="Arial" w:cs="Arial"/>
          <w:b/>
          <w:bCs/>
          <w:i/>
          <w:iCs/>
          <w:color w:val="000000" w:themeColor="text1"/>
          <w:sz w:val="22"/>
          <w:szCs w:val="22"/>
          <w:lang w:val="en-US" w:eastAsia="fr-FR"/>
        </w:rPr>
        <w:t>gpW</w:t>
      </w:r>
      <w:r w:rsidR="00A41150" w:rsidRPr="00A41150">
        <w:rPr>
          <w:rFonts w:ascii="Arial" w:hAnsi="Arial" w:cs="Arial"/>
          <w:b/>
          <w:bCs/>
          <w:color w:val="000000" w:themeColor="text1"/>
          <w:sz w:val="22"/>
          <w:szCs w:val="22"/>
          <w:lang w:val="en-US" w:eastAsia="fr-FR"/>
        </w:rPr>
        <w:t xml:space="preserve">) </w:t>
      </w:r>
      <w:r w:rsidR="00A41150">
        <w:rPr>
          <w:rFonts w:ascii="Arial" w:hAnsi="Arial" w:cs="Arial"/>
          <w:b/>
          <w:bCs/>
          <w:color w:val="000000" w:themeColor="text1"/>
          <w:sz w:val="22"/>
          <w:szCs w:val="22"/>
          <w:lang w:val="en-US" w:eastAsia="fr-FR"/>
        </w:rPr>
        <w:t>genes</w:t>
      </w:r>
      <w:r w:rsidR="00A41150" w:rsidRPr="00A41150">
        <w:rPr>
          <w:rFonts w:ascii="Arial" w:hAnsi="Arial" w:cs="Arial"/>
          <w:b/>
          <w:bCs/>
          <w:color w:val="000000" w:themeColor="text1"/>
          <w:sz w:val="22"/>
          <w:szCs w:val="22"/>
          <w:lang w:val="en-US" w:eastAsia="fr-FR"/>
        </w:rPr>
        <w:t xml:space="preserve"> in the isolate sample</w:t>
      </w:r>
      <w:r w:rsidR="00A41150">
        <w:rPr>
          <w:rFonts w:ascii="Arial" w:hAnsi="Arial" w:cs="Arial"/>
          <w:b/>
          <w:bCs/>
          <w:color w:val="000000" w:themeColor="text1"/>
          <w:sz w:val="22"/>
          <w:szCs w:val="22"/>
          <w:lang w:val="en-US" w:eastAsia="fr-FR"/>
        </w:rPr>
        <w:t>.</w:t>
      </w:r>
    </w:p>
    <w:p w14:paraId="1680675E" w14:textId="77777777" w:rsidR="001C4C5C" w:rsidRDefault="001C4C5C" w:rsidP="002E4DBC">
      <w:pPr>
        <w:shd w:val="clear" w:color="auto" w:fill="FFFFFF"/>
        <w:spacing w:line="360" w:lineRule="auto"/>
        <w:jc w:val="both"/>
        <w:rPr>
          <w:rFonts w:ascii="Arial" w:hAnsi="Arial" w:cs="Arial"/>
          <w:b/>
          <w:bCs/>
          <w:color w:val="000000" w:themeColor="text1"/>
          <w:sz w:val="22"/>
          <w:szCs w:val="22"/>
          <w:lang w:val="en-US" w:eastAsia="fr-FR"/>
        </w:rPr>
      </w:pPr>
    </w:p>
    <w:p w14:paraId="0310114A" w14:textId="2929804E" w:rsidR="00B50632" w:rsidRPr="00DC5C46" w:rsidRDefault="008B3317" w:rsidP="002E4DBC">
      <w:pPr>
        <w:shd w:val="clear" w:color="auto" w:fill="FFFFFF"/>
        <w:spacing w:line="360" w:lineRule="auto"/>
        <w:jc w:val="both"/>
        <w:rPr>
          <w:rFonts w:ascii="Arial" w:hAnsi="Arial" w:cs="Arial"/>
          <w:sz w:val="22"/>
          <w:szCs w:val="22"/>
          <w:lang w:val="en-US"/>
        </w:rPr>
      </w:pPr>
      <w:r w:rsidRPr="00DC5C46">
        <w:rPr>
          <w:rFonts w:ascii="Arial" w:hAnsi="Arial" w:cs="Arial"/>
          <w:b/>
          <w:bCs/>
          <w:color w:val="000000" w:themeColor="text1"/>
          <w:sz w:val="22"/>
          <w:szCs w:val="22"/>
          <w:lang w:val="en-US" w:eastAsia="fr-FR"/>
        </w:rPr>
        <w:lastRenderedPageBreak/>
        <w:t xml:space="preserve">Supplementary Table </w:t>
      </w:r>
      <w:r w:rsidR="001C4C5C">
        <w:rPr>
          <w:rFonts w:ascii="Arial" w:hAnsi="Arial" w:cs="Arial"/>
          <w:b/>
          <w:bCs/>
          <w:color w:val="000000" w:themeColor="text1"/>
          <w:sz w:val="22"/>
          <w:szCs w:val="22"/>
          <w:lang w:val="en-US" w:eastAsia="fr-FR"/>
        </w:rPr>
        <w:t>2</w:t>
      </w:r>
      <w:r w:rsidR="00B50632" w:rsidRPr="00DC5C46">
        <w:rPr>
          <w:rFonts w:ascii="Arial" w:hAnsi="Arial" w:cs="Arial"/>
          <w:b/>
          <w:bCs/>
          <w:color w:val="000000" w:themeColor="text1"/>
          <w:sz w:val="22"/>
          <w:szCs w:val="22"/>
          <w:lang w:val="en-US" w:eastAsia="fr-FR"/>
        </w:rPr>
        <w:t>.</w:t>
      </w:r>
      <w:r w:rsidR="00B50632" w:rsidRPr="00DC5C46">
        <w:rPr>
          <w:rFonts w:ascii="Arial" w:hAnsi="Arial" w:cs="Arial"/>
          <w:sz w:val="22"/>
          <w:szCs w:val="22"/>
          <w:lang w:val="en-US"/>
        </w:rPr>
        <w:t xml:space="preserve"> </w:t>
      </w:r>
      <w:proofErr w:type="spellStart"/>
      <w:r w:rsidR="00DC5C46" w:rsidRPr="00DC5C46">
        <w:rPr>
          <w:rFonts w:ascii="Arial" w:hAnsi="Arial" w:cs="Arial"/>
          <w:b/>
          <w:bCs/>
          <w:sz w:val="22"/>
          <w:szCs w:val="22"/>
          <w:lang w:val="en-US"/>
        </w:rPr>
        <w:t>Metapangenomic</w:t>
      </w:r>
      <w:proofErr w:type="spellEnd"/>
      <w:r w:rsidR="00DC5C46" w:rsidRPr="00DC5C46">
        <w:rPr>
          <w:rFonts w:ascii="Arial" w:hAnsi="Arial" w:cs="Arial"/>
          <w:b/>
          <w:bCs/>
          <w:sz w:val="22"/>
          <w:szCs w:val="22"/>
          <w:lang w:val="en-US"/>
        </w:rPr>
        <w:t xml:space="preserve"> table</w:t>
      </w:r>
      <w:r w:rsidR="00DC5C46" w:rsidRPr="00DC5C46">
        <w:rPr>
          <w:rFonts w:ascii="Arial" w:hAnsi="Arial" w:cs="Arial"/>
          <w:sz w:val="22"/>
          <w:szCs w:val="22"/>
          <w:lang w:val="en-US"/>
        </w:rPr>
        <w:t xml:space="preserve"> </w:t>
      </w:r>
      <w:r w:rsidR="00B50632" w:rsidRPr="00DC5C46">
        <w:rPr>
          <w:rFonts w:ascii="Arial" w:hAnsi="Arial" w:cs="Arial"/>
          <w:sz w:val="22"/>
          <w:szCs w:val="22"/>
          <w:lang w:val="en-US"/>
        </w:rPr>
        <w:t xml:space="preserve">with: 1) isolate assembly gene annotation, 2) pangenome gene cluster intersections between isolate assembly and reference </w:t>
      </w:r>
      <w:r w:rsidR="00B50632" w:rsidRPr="00DC5C46">
        <w:rPr>
          <w:rFonts w:ascii="Arial" w:hAnsi="Arial" w:cs="Arial"/>
          <w:i/>
          <w:iCs/>
          <w:sz w:val="22"/>
          <w:szCs w:val="22"/>
          <w:lang w:val="en-US"/>
        </w:rPr>
        <w:t>Wolbachia</w:t>
      </w:r>
      <w:r w:rsidR="00B50632" w:rsidRPr="00DC5C46">
        <w:rPr>
          <w:rFonts w:ascii="Arial" w:hAnsi="Arial" w:cs="Arial"/>
          <w:sz w:val="22"/>
          <w:szCs w:val="22"/>
          <w:lang w:val="en-US"/>
        </w:rPr>
        <w:t xml:space="preserve"> and WO genomes, 3) gene-level annotations and isolate read coverage for gene cluster intersections.</w:t>
      </w:r>
    </w:p>
    <w:p w14:paraId="419916AE" w14:textId="77777777" w:rsidR="00B50632" w:rsidRPr="00DC5C46" w:rsidRDefault="00B50632" w:rsidP="002E4DBC">
      <w:pPr>
        <w:shd w:val="clear" w:color="auto" w:fill="FFFFFF"/>
        <w:spacing w:line="360" w:lineRule="auto"/>
        <w:jc w:val="both"/>
        <w:rPr>
          <w:rFonts w:ascii="Arial" w:hAnsi="Arial" w:cs="Arial"/>
          <w:b/>
          <w:bCs/>
          <w:color w:val="000000" w:themeColor="text1"/>
          <w:sz w:val="22"/>
          <w:szCs w:val="22"/>
          <w:lang w:val="en-US" w:eastAsia="fr-FR"/>
        </w:rPr>
      </w:pPr>
    </w:p>
    <w:p w14:paraId="09C9DEE6" w14:textId="078E25C2" w:rsidR="00B50632" w:rsidRPr="00DC5C46" w:rsidRDefault="008B3317" w:rsidP="002E4DBC">
      <w:pPr>
        <w:shd w:val="clear" w:color="auto" w:fill="FFFFFF"/>
        <w:spacing w:line="360" w:lineRule="auto"/>
        <w:jc w:val="both"/>
        <w:rPr>
          <w:rFonts w:ascii="Arial" w:hAnsi="Arial" w:cs="Arial"/>
          <w:sz w:val="22"/>
          <w:szCs w:val="22"/>
          <w:lang w:val="en-US"/>
        </w:rPr>
      </w:pPr>
      <w:r w:rsidRPr="00DC5C46">
        <w:rPr>
          <w:rFonts w:ascii="Arial" w:hAnsi="Arial" w:cs="Arial"/>
          <w:b/>
          <w:bCs/>
          <w:color w:val="000000" w:themeColor="text1"/>
          <w:sz w:val="22"/>
          <w:szCs w:val="22"/>
          <w:lang w:val="en-US" w:eastAsia="fr-FR"/>
        </w:rPr>
        <w:t xml:space="preserve">Supplementary Table </w:t>
      </w:r>
      <w:r w:rsidR="001C4C5C">
        <w:rPr>
          <w:rFonts w:ascii="Arial" w:hAnsi="Arial" w:cs="Arial"/>
          <w:b/>
          <w:bCs/>
          <w:color w:val="000000" w:themeColor="text1"/>
          <w:sz w:val="22"/>
          <w:szCs w:val="22"/>
          <w:lang w:val="en-US" w:eastAsia="fr-FR"/>
        </w:rPr>
        <w:t>3</w:t>
      </w:r>
      <w:r w:rsidR="00B50632" w:rsidRPr="00DC5C46">
        <w:rPr>
          <w:rFonts w:ascii="Arial" w:hAnsi="Arial" w:cs="Arial"/>
          <w:b/>
          <w:bCs/>
          <w:color w:val="000000" w:themeColor="text1"/>
          <w:sz w:val="22"/>
          <w:szCs w:val="22"/>
          <w:lang w:val="en-US" w:eastAsia="fr-FR"/>
        </w:rPr>
        <w:t>.</w:t>
      </w:r>
      <w:r w:rsidR="002E4DBC" w:rsidRPr="00DC5C46">
        <w:rPr>
          <w:rFonts w:ascii="Arial" w:hAnsi="Arial" w:cs="Arial"/>
          <w:sz w:val="22"/>
          <w:szCs w:val="22"/>
          <w:lang w:val="en-US"/>
        </w:rPr>
        <w:t xml:space="preserve"> </w:t>
      </w:r>
      <w:r w:rsidR="00B50632" w:rsidRPr="00DC5C46">
        <w:rPr>
          <w:rFonts w:ascii="Arial" w:hAnsi="Arial" w:cs="Arial"/>
          <w:b/>
          <w:bCs/>
          <w:sz w:val="22"/>
          <w:szCs w:val="22"/>
          <w:lang w:val="en-US"/>
        </w:rPr>
        <w:t>Summary of phage particle isolation experiments</w:t>
      </w:r>
      <w:r w:rsidR="00DC5C46" w:rsidRPr="00DC5C46">
        <w:rPr>
          <w:rFonts w:ascii="Arial" w:hAnsi="Arial" w:cs="Arial"/>
          <w:b/>
          <w:bCs/>
          <w:sz w:val="22"/>
          <w:szCs w:val="22"/>
          <w:lang w:val="en-US"/>
        </w:rPr>
        <w:t xml:space="preserve"> with starting material, number of mosquitoes, DNAse treatment specificity, DN</w:t>
      </w:r>
      <w:r w:rsidR="00AB38D1">
        <w:rPr>
          <w:rFonts w:ascii="Arial" w:hAnsi="Arial" w:cs="Arial"/>
          <w:b/>
          <w:bCs/>
          <w:sz w:val="22"/>
          <w:szCs w:val="22"/>
          <w:lang w:val="en-US"/>
        </w:rPr>
        <w:t>A</w:t>
      </w:r>
      <w:r w:rsidR="00DC5C46" w:rsidRPr="00DC5C46">
        <w:rPr>
          <w:rFonts w:ascii="Arial" w:hAnsi="Arial" w:cs="Arial"/>
          <w:b/>
          <w:bCs/>
          <w:sz w:val="22"/>
          <w:szCs w:val="22"/>
          <w:lang w:val="en-US"/>
        </w:rPr>
        <w:t xml:space="preserve"> extraction specificity and sequencing te</w:t>
      </w:r>
      <w:r w:rsidR="00AB38D1">
        <w:rPr>
          <w:rFonts w:ascii="Arial" w:hAnsi="Arial" w:cs="Arial"/>
          <w:b/>
          <w:bCs/>
          <w:sz w:val="22"/>
          <w:szCs w:val="22"/>
          <w:lang w:val="en-US"/>
        </w:rPr>
        <w:t>c</w:t>
      </w:r>
      <w:r w:rsidR="00DC5C46" w:rsidRPr="00DC5C46">
        <w:rPr>
          <w:rFonts w:ascii="Arial" w:hAnsi="Arial" w:cs="Arial"/>
          <w:b/>
          <w:bCs/>
          <w:sz w:val="22"/>
          <w:szCs w:val="22"/>
          <w:lang w:val="en-US"/>
        </w:rPr>
        <w:t>hnology.</w:t>
      </w:r>
    </w:p>
    <w:p w14:paraId="5B0867F8" w14:textId="77777777" w:rsidR="00B50632" w:rsidRPr="00DC5C46" w:rsidRDefault="00B50632" w:rsidP="002E4DBC">
      <w:pPr>
        <w:shd w:val="clear" w:color="auto" w:fill="FFFFFF"/>
        <w:spacing w:line="360" w:lineRule="auto"/>
        <w:jc w:val="both"/>
        <w:rPr>
          <w:rFonts w:ascii="Arial" w:hAnsi="Arial" w:cs="Arial"/>
          <w:b/>
          <w:bCs/>
          <w:color w:val="000000" w:themeColor="text1"/>
          <w:sz w:val="22"/>
          <w:szCs w:val="22"/>
          <w:lang w:val="en-US" w:eastAsia="fr-FR"/>
        </w:rPr>
      </w:pPr>
    </w:p>
    <w:p w14:paraId="560DE4FE" w14:textId="29652AD9" w:rsidR="008B3317" w:rsidRPr="00DC5C46" w:rsidRDefault="008B3317" w:rsidP="002E4DBC">
      <w:pPr>
        <w:shd w:val="clear" w:color="auto" w:fill="FFFFFF"/>
        <w:spacing w:line="360" w:lineRule="auto"/>
        <w:jc w:val="both"/>
        <w:rPr>
          <w:rFonts w:ascii="Arial" w:hAnsi="Arial" w:cs="Arial"/>
          <w:b/>
          <w:bCs/>
          <w:color w:val="000000" w:themeColor="text1"/>
          <w:sz w:val="22"/>
          <w:szCs w:val="22"/>
          <w:lang w:val="en-US" w:eastAsia="fr-FR"/>
        </w:rPr>
      </w:pPr>
      <w:r w:rsidRPr="00DC5C46">
        <w:rPr>
          <w:rFonts w:ascii="Arial" w:hAnsi="Arial" w:cs="Arial"/>
          <w:b/>
          <w:bCs/>
          <w:color w:val="000000" w:themeColor="text1"/>
          <w:sz w:val="22"/>
          <w:szCs w:val="22"/>
          <w:lang w:val="en-US" w:eastAsia="fr-FR"/>
        </w:rPr>
        <w:t xml:space="preserve">Supplementary Table </w:t>
      </w:r>
      <w:r w:rsidR="001C4C5C">
        <w:rPr>
          <w:rFonts w:ascii="Arial" w:hAnsi="Arial" w:cs="Arial"/>
          <w:b/>
          <w:bCs/>
          <w:color w:val="000000" w:themeColor="text1"/>
          <w:sz w:val="22"/>
          <w:szCs w:val="22"/>
          <w:lang w:val="en-US" w:eastAsia="fr-FR"/>
        </w:rPr>
        <w:t>4</w:t>
      </w:r>
      <w:r w:rsidR="00B50632" w:rsidRPr="00DC5C46">
        <w:rPr>
          <w:rFonts w:ascii="Arial" w:hAnsi="Arial" w:cs="Arial"/>
          <w:b/>
          <w:bCs/>
          <w:color w:val="000000" w:themeColor="text1"/>
          <w:sz w:val="22"/>
          <w:szCs w:val="22"/>
          <w:lang w:val="en-US" w:eastAsia="fr-FR"/>
        </w:rPr>
        <w:t xml:space="preserve">. </w:t>
      </w:r>
      <w:r w:rsidR="00DC5C46" w:rsidRPr="00DC5C46">
        <w:rPr>
          <w:rFonts w:ascii="Arial" w:hAnsi="Arial" w:cs="Arial"/>
          <w:b/>
          <w:bCs/>
          <w:sz w:val="22"/>
          <w:szCs w:val="22"/>
          <w:lang w:val="en-US"/>
        </w:rPr>
        <w:t>T</w:t>
      </w:r>
      <w:r w:rsidR="00B50632" w:rsidRPr="00DC5C46">
        <w:rPr>
          <w:rFonts w:ascii="Arial" w:hAnsi="Arial" w:cs="Arial"/>
          <w:b/>
          <w:bCs/>
          <w:sz w:val="22"/>
          <w:szCs w:val="22"/>
          <w:lang w:val="en-US"/>
        </w:rPr>
        <w:t>arget genes used in qPCR assays</w:t>
      </w:r>
      <w:r w:rsidR="00B50632" w:rsidRPr="00DC5C46">
        <w:rPr>
          <w:rFonts w:ascii="Arial" w:hAnsi="Arial" w:cs="Arial"/>
          <w:sz w:val="22"/>
          <w:szCs w:val="22"/>
          <w:lang w:val="en-US"/>
        </w:rPr>
        <w:t xml:space="preserve">, including gene names, primer names and sequences, the number of gene copies in the genome </w:t>
      </w:r>
      <w:r w:rsidR="00B50632" w:rsidRPr="0067093F">
        <w:rPr>
          <w:rFonts w:ascii="Arial" w:hAnsi="Arial" w:cs="Arial"/>
          <w:i/>
          <w:iCs/>
          <w:sz w:val="22"/>
          <w:szCs w:val="22"/>
          <w:lang w:val="en-US"/>
        </w:rPr>
        <w:t>w</w:t>
      </w:r>
      <w:r w:rsidR="00B50632" w:rsidRPr="00DC5C46">
        <w:rPr>
          <w:rFonts w:ascii="Arial" w:hAnsi="Arial" w:cs="Arial"/>
          <w:sz w:val="22"/>
          <w:szCs w:val="22"/>
          <w:lang w:val="en-US"/>
        </w:rPr>
        <w:t>PipPel, and references from which the primers were obtained.</w:t>
      </w:r>
    </w:p>
    <w:p w14:paraId="129E967C" w14:textId="77777777" w:rsidR="008B3317" w:rsidRDefault="008B3317" w:rsidP="002E4DBC">
      <w:pPr>
        <w:shd w:val="clear" w:color="auto" w:fill="FFFFFF"/>
        <w:spacing w:line="360" w:lineRule="auto"/>
        <w:jc w:val="both"/>
        <w:rPr>
          <w:rFonts w:ascii="Arial" w:hAnsi="Arial" w:cs="Arial"/>
          <w:b/>
          <w:bCs/>
          <w:color w:val="000000" w:themeColor="text1"/>
          <w:sz w:val="22"/>
          <w:szCs w:val="22"/>
          <w:lang w:val="en-US" w:eastAsia="fr-FR"/>
        </w:rPr>
      </w:pPr>
    </w:p>
    <w:p w14:paraId="76E7B853" w14:textId="579E91CE" w:rsidR="00BC030F" w:rsidRPr="006269CA" w:rsidRDefault="00BC030F" w:rsidP="002E4DBC">
      <w:pPr>
        <w:shd w:val="clear" w:color="auto" w:fill="FFFFFF"/>
        <w:spacing w:line="360" w:lineRule="auto"/>
        <w:jc w:val="both"/>
        <w:rPr>
          <w:rFonts w:ascii="Arial" w:hAnsi="Arial" w:cs="Arial"/>
          <w:b/>
          <w:bCs/>
          <w:color w:val="000000" w:themeColor="text1"/>
          <w:sz w:val="28"/>
          <w:szCs w:val="28"/>
          <w:lang w:val="en-US" w:eastAsia="fr-FR"/>
        </w:rPr>
      </w:pPr>
      <w:r w:rsidRPr="006269CA">
        <w:rPr>
          <w:rFonts w:ascii="Arial" w:hAnsi="Arial" w:cs="Arial"/>
          <w:b/>
          <w:bCs/>
          <w:color w:val="000000" w:themeColor="text1"/>
          <w:sz w:val="28"/>
          <w:szCs w:val="28"/>
          <w:lang w:val="en-US" w:eastAsia="fr-FR"/>
        </w:rPr>
        <w:t>Supplementary Notebooks</w:t>
      </w:r>
    </w:p>
    <w:p w14:paraId="771CE151" w14:textId="77777777" w:rsidR="008B7652" w:rsidRDefault="008B7652" w:rsidP="002E4DBC">
      <w:pPr>
        <w:shd w:val="clear" w:color="auto" w:fill="FFFFFF"/>
        <w:spacing w:line="360" w:lineRule="auto"/>
        <w:jc w:val="both"/>
        <w:rPr>
          <w:rFonts w:ascii="Arial" w:hAnsi="Arial" w:cs="Arial"/>
          <w:b/>
          <w:bCs/>
          <w:color w:val="000000" w:themeColor="text1"/>
          <w:sz w:val="22"/>
          <w:szCs w:val="22"/>
          <w:lang w:val="en-US" w:eastAsia="fr-FR"/>
        </w:rPr>
      </w:pPr>
    </w:p>
    <w:p w14:paraId="7BC0E41A" w14:textId="77777777" w:rsidR="00543A4B" w:rsidRPr="001E5910" w:rsidRDefault="00543A4B" w:rsidP="00543A4B">
      <w:pPr>
        <w:shd w:val="clear" w:color="auto" w:fill="FFFFFF"/>
        <w:spacing w:line="360" w:lineRule="auto"/>
        <w:jc w:val="both"/>
        <w:rPr>
          <w:rFonts w:ascii="Arial" w:hAnsi="Arial" w:cs="Arial"/>
          <w:color w:val="000000" w:themeColor="text1"/>
          <w:sz w:val="22"/>
          <w:szCs w:val="22"/>
          <w:lang w:val="en-US" w:eastAsia="fr-FR"/>
        </w:rPr>
      </w:pPr>
      <w:r w:rsidRPr="00BC030F">
        <w:rPr>
          <w:rFonts w:ascii="Arial" w:hAnsi="Arial" w:cs="Arial"/>
          <w:b/>
          <w:bCs/>
          <w:color w:val="000000" w:themeColor="text1"/>
          <w:sz w:val="22"/>
          <w:szCs w:val="22"/>
          <w:lang w:val="en-US" w:eastAsia="fr-FR"/>
        </w:rPr>
        <w:t xml:space="preserve">Supplementary Notebook </w:t>
      </w:r>
      <w:r>
        <w:rPr>
          <w:rFonts w:ascii="Arial" w:hAnsi="Arial" w:cs="Arial"/>
          <w:b/>
          <w:bCs/>
          <w:color w:val="000000" w:themeColor="text1"/>
          <w:sz w:val="22"/>
          <w:szCs w:val="22"/>
          <w:lang w:val="en-US" w:eastAsia="fr-FR"/>
        </w:rPr>
        <w:t>1</w:t>
      </w:r>
      <w:r w:rsidRPr="00BC030F">
        <w:rPr>
          <w:rFonts w:ascii="Arial" w:hAnsi="Arial" w:cs="Arial"/>
          <w:b/>
          <w:bCs/>
          <w:color w:val="000000" w:themeColor="text1"/>
          <w:sz w:val="22"/>
          <w:szCs w:val="22"/>
          <w:lang w:val="en-US" w:eastAsia="fr-FR"/>
        </w:rPr>
        <w:t xml:space="preserve">: </w:t>
      </w:r>
      <w:r w:rsidRPr="001E5910">
        <w:rPr>
          <w:rFonts w:ascii="Arial" w:hAnsi="Arial" w:cs="Arial"/>
          <w:color w:val="000000" w:themeColor="text1"/>
          <w:sz w:val="22"/>
          <w:szCs w:val="22"/>
          <w:lang w:val="en-US" w:eastAsia="fr-FR"/>
        </w:rPr>
        <w:t>Quantitative analysis of WO phage induction assays.</w:t>
      </w:r>
    </w:p>
    <w:p w14:paraId="6AAC352D" w14:textId="77777777" w:rsidR="00543A4B" w:rsidRDefault="00543A4B" w:rsidP="00BC030F">
      <w:pPr>
        <w:shd w:val="clear" w:color="auto" w:fill="FFFFFF"/>
        <w:spacing w:line="360" w:lineRule="auto"/>
        <w:jc w:val="both"/>
        <w:rPr>
          <w:rFonts w:ascii="Arial" w:hAnsi="Arial" w:cs="Arial"/>
          <w:b/>
          <w:bCs/>
          <w:color w:val="000000" w:themeColor="text1"/>
          <w:sz w:val="22"/>
          <w:szCs w:val="22"/>
          <w:lang w:val="en-US" w:eastAsia="fr-FR"/>
        </w:rPr>
      </w:pPr>
    </w:p>
    <w:p w14:paraId="4B69084C" w14:textId="200493F1" w:rsidR="00BC030F" w:rsidRDefault="00BC030F" w:rsidP="00BC030F">
      <w:pPr>
        <w:shd w:val="clear" w:color="auto" w:fill="FFFFFF"/>
        <w:spacing w:line="360" w:lineRule="auto"/>
        <w:jc w:val="both"/>
        <w:rPr>
          <w:rFonts w:ascii="Arial" w:hAnsi="Arial" w:cs="Arial"/>
          <w:color w:val="000000" w:themeColor="text1"/>
          <w:sz w:val="22"/>
          <w:szCs w:val="22"/>
          <w:lang w:val="en-US" w:eastAsia="fr-FR"/>
        </w:rPr>
      </w:pPr>
      <w:r w:rsidRPr="00BC030F">
        <w:rPr>
          <w:rFonts w:ascii="Arial" w:hAnsi="Arial" w:cs="Arial"/>
          <w:b/>
          <w:bCs/>
          <w:color w:val="000000" w:themeColor="text1"/>
          <w:sz w:val="22"/>
          <w:szCs w:val="22"/>
          <w:lang w:val="en-US" w:eastAsia="fr-FR"/>
        </w:rPr>
        <w:t xml:space="preserve">Supplementary Notebook </w:t>
      </w:r>
      <w:r w:rsidR="00543A4B">
        <w:rPr>
          <w:rFonts w:ascii="Arial" w:hAnsi="Arial" w:cs="Arial"/>
          <w:b/>
          <w:bCs/>
          <w:color w:val="000000" w:themeColor="text1"/>
          <w:sz w:val="22"/>
          <w:szCs w:val="22"/>
          <w:lang w:val="en-US" w:eastAsia="fr-FR"/>
        </w:rPr>
        <w:t>2</w:t>
      </w:r>
      <w:r w:rsidRPr="00BC030F">
        <w:rPr>
          <w:rFonts w:ascii="Arial" w:hAnsi="Arial" w:cs="Arial"/>
          <w:b/>
          <w:bCs/>
          <w:color w:val="000000" w:themeColor="text1"/>
          <w:sz w:val="22"/>
          <w:szCs w:val="22"/>
          <w:lang w:val="en-US" w:eastAsia="fr-FR"/>
        </w:rPr>
        <w:t xml:space="preserve">:  </w:t>
      </w:r>
      <w:r w:rsidRPr="00BC030F">
        <w:rPr>
          <w:rFonts w:ascii="Arial" w:hAnsi="Arial" w:cs="Arial"/>
          <w:color w:val="000000" w:themeColor="text1"/>
          <w:sz w:val="22"/>
          <w:szCs w:val="22"/>
          <w:lang w:val="en-US" w:eastAsia="fr-FR"/>
        </w:rPr>
        <w:t xml:space="preserve">Assembly of Isolate and </w:t>
      </w:r>
      <w:proofErr w:type="spellStart"/>
      <w:r w:rsidRPr="00BC030F">
        <w:rPr>
          <w:rFonts w:ascii="Arial" w:hAnsi="Arial" w:cs="Arial"/>
          <w:i/>
          <w:iCs/>
          <w:color w:val="000000" w:themeColor="text1"/>
          <w:sz w:val="22"/>
          <w:szCs w:val="22"/>
          <w:lang w:val="en-US" w:eastAsia="fr-FR"/>
        </w:rPr>
        <w:t>w</w:t>
      </w:r>
      <w:r w:rsidRPr="00BC030F">
        <w:rPr>
          <w:rFonts w:ascii="Arial" w:hAnsi="Arial" w:cs="Arial"/>
          <w:color w:val="000000" w:themeColor="text1"/>
          <w:sz w:val="22"/>
          <w:szCs w:val="22"/>
          <w:lang w:val="en-US" w:eastAsia="fr-FR"/>
        </w:rPr>
        <w:t>PipSLAB</w:t>
      </w:r>
      <w:proofErr w:type="spellEnd"/>
      <w:r w:rsidRPr="00BC030F">
        <w:rPr>
          <w:rFonts w:ascii="Arial" w:hAnsi="Arial" w:cs="Arial"/>
          <w:color w:val="000000" w:themeColor="text1"/>
          <w:sz w:val="22"/>
          <w:szCs w:val="22"/>
          <w:lang w:val="en-US" w:eastAsia="fr-FR"/>
        </w:rPr>
        <w:t xml:space="preserve"> from short paired-end reads and related analyzes: taxonomical binning and read alignments.</w:t>
      </w:r>
    </w:p>
    <w:p w14:paraId="6272D4AC" w14:textId="77777777" w:rsidR="008B7652" w:rsidRPr="00BC030F" w:rsidRDefault="008B7652" w:rsidP="00BC030F">
      <w:pPr>
        <w:shd w:val="clear" w:color="auto" w:fill="FFFFFF"/>
        <w:spacing w:line="360" w:lineRule="auto"/>
        <w:jc w:val="both"/>
        <w:rPr>
          <w:rFonts w:ascii="Arial" w:hAnsi="Arial" w:cs="Arial"/>
          <w:color w:val="000000" w:themeColor="text1"/>
          <w:sz w:val="22"/>
          <w:szCs w:val="22"/>
          <w:lang w:val="en-US" w:eastAsia="fr-FR"/>
        </w:rPr>
      </w:pPr>
    </w:p>
    <w:p w14:paraId="1770321D" w14:textId="6346A0BE" w:rsidR="00BC030F" w:rsidRDefault="00BC030F" w:rsidP="00BC030F">
      <w:pPr>
        <w:shd w:val="clear" w:color="auto" w:fill="FFFFFF"/>
        <w:spacing w:line="360" w:lineRule="auto"/>
        <w:jc w:val="both"/>
        <w:rPr>
          <w:rFonts w:ascii="Arial" w:hAnsi="Arial" w:cs="Arial"/>
          <w:color w:val="000000" w:themeColor="text1"/>
          <w:sz w:val="22"/>
          <w:szCs w:val="22"/>
          <w:lang w:val="en-US" w:eastAsia="fr-FR"/>
        </w:rPr>
      </w:pPr>
      <w:r w:rsidRPr="00BC030F">
        <w:rPr>
          <w:rFonts w:ascii="Arial" w:hAnsi="Arial" w:cs="Arial"/>
          <w:b/>
          <w:bCs/>
          <w:color w:val="000000" w:themeColor="text1"/>
          <w:sz w:val="22"/>
          <w:szCs w:val="22"/>
          <w:lang w:val="en-US" w:eastAsia="fr-FR"/>
        </w:rPr>
        <w:t xml:space="preserve">Supplementary Notebook </w:t>
      </w:r>
      <w:r w:rsidR="00543A4B">
        <w:rPr>
          <w:rFonts w:ascii="Arial" w:hAnsi="Arial" w:cs="Arial"/>
          <w:b/>
          <w:bCs/>
          <w:color w:val="000000" w:themeColor="text1"/>
          <w:sz w:val="22"/>
          <w:szCs w:val="22"/>
          <w:lang w:val="en-US" w:eastAsia="fr-FR"/>
        </w:rPr>
        <w:t>3</w:t>
      </w:r>
      <w:r w:rsidRPr="00BC030F">
        <w:rPr>
          <w:rFonts w:ascii="Arial" w:hAnsi="Arial" w:cs="Arial"/>
          <w:b/>
          <w:bCs/>
          <w:color w:val="000000" w:themeColor="text1"/>
          <w:sz w:val="22"/>
          <w:szCs w:val="22"/>
          <w:lang w:val="en-US" w:eastAsia="fr-FR"/>
        </w:rPr>
        <w:t xml:space="preserve">: </w:t>
      </w:r>
      <w:r w:rsidRPr="00BC030F">
        <w:rPr>
          <w:rFonts w:ascii="Arial" w:hAnsi="Arial" w:cs="Arial"/>
          <w:color w:val="000000" w:themeColor="text1"/>
          <w:sz w:val="22"/>
          <w:szCs w:val="22"/>
          <w:lang w:val="en-US" w:eastAsia="fr-FR"/>
        </w:rPr>
        <w:t xml:space="preserve">Anvi’o </w:t>
      </w:r>
      <w:proofErr w:type="spellStart"/>
      <w:r w:rsidRPr="00BC030F">
        <w:rPr>
          <w:rFonts w:ascii="Arial" w:hAnsi="Arial" w:cs="Arial"/>
          <w:color w:val="000000" w:themeColor="text1"/>
          <w:sz w:val="22"/>
          <w:szCs w:val="22"/>
          <w:lang w:val="en-US" w:eastAsia="fr-FR"/>
        </w:rPr>
        <w:t>pangenomic</w:t>
      </w:r>
      <w:proofErr w:type="spellEnd"/>
      <w:r w:rsidRPr="00BC030F">
        <w:rPr>
          <w:rFonts w:ascii="Arial" w:hAnsi="Arial" w:cs="Arial"/>
          <w:color w:val="000000" w:themeColor="text1"/>
          <w:sz w:val="22"/>
          <w:szCs w:val="22"/>
          <w:lang w:val="en-US" w:eastAsia="fr-FR"/>
        </w:rPr>
        <w:t xml:space="preserve"> analyzes using </w:t>
      </w:r>
      <w:proofErr w:type="spellStart"/>
      <w:r w:rsidRPr="00BC030F">
        <w:rPr>
          <w:rFonts w:ascii="Arial" w:hAnsi="Arial" w:cs="Arial"/>
          <w:color w:val="000000" w:themeColor="text1"/>
          <w:sz w:val="22"/>
          <w:szCs w:val="22"/>
          <w:lang w:val="en-US" w:eastAsia="fr-FR"/>
        </w:rPr>
        <w:t>pWCP</w:t>
      </w:r>
      <w:proofErr w:type="spellEnd"/>
      <w:r w:rsidRPr="00BC030F">
        <w:rPr>
          <w:rFonts w:ascii="Arial" w:hAnsi="Arial" w:cs="Arial"/>
          <w:color w:val="000000" w:themeColor="text1"/>
          <w:sz w:val="22"/>
          <w:szCs w:val="22"/>
          <w:lang w:val="en-US" w:eastAsia="fr-FR"/>
        </w:rPr>
        <w:t xml:space="preserve">, WO, </w:t>
      </w:r>
      <w:proofErr w:type="spellStart"/>
      <w:r w:rsidRPr="00BC030F">
        <w:rPr>
          <w:rFonts w:ascii="Arial" w:hAnsi="Arial" w:cs="Arial"/>
          <w:i/>
          <w:iCs/>
          <w:color w:val="000000" w:themeColor="text1"/>
          <w:sz w:val="22"/>
          <w:szCs w:val="22"/>
          <w:lang w:val="en-US" w:eastAsia="fr-FR"/>
        </w:rPr>
        <w:t>w</w:t>
      </w:r>
      <w:r w:rsidRPr="00BC030F">
        <w:rPr>
          <w:rFonts w:ascii="Arial" w:hAnsi="Arial" w:cs="Arial"/>
          <w:color w:val="000000" w:themeColor="text1"/>
          <w:sz w:val="22"/>
          <w:szCs w:val="22"/>
          <w:lang w:val="en-US" w:eastAsia="fr-FR"/>
        </w:rPr>
        <w:t>PipSLAB</w:t>
      </w:r>
      <w:proofErr w:type="spellEnd"/>
      <w:r w:rsidRPr="00BC030F">
        <w:rPr>
          <w:rFonts w:ascii="Arial" w:hAnsi="Arial" w:cs="Arial"/>
          <w:color w:val="000000" w:themeColor="text1"/>
          <w:sz w:val="22"/>
          <w:szCs w:val="22"/>
          <w:lang w:val="en-US" w:eastAsia="fr-FR"/>
        </w:rPr>
        <w:t xml:space="preserve"> and </w:t>
      </w:r>
      <w:proofErr w:type="spellStart"/>
      <w:r w:rsidRPr="000F5FEE">
        <w:rPr>
          <w:rFonts w:ascii="Arial" w:hAnsi="Arial" w:cs="Arial"/>
          <w:i/>
          <w:iCs/>
          <w:color w:val="000000" w:themeColor="text1"/>
          <w:sz w:val="22"/>
          <w:szCs w:val="22"/>
          <w:lang w:val="en-US" w:eastAsia="fr-FR"/>
        </w:rPr>
        <w:t>w</w:t>
      </w:r>
      <w:r w:rsidRPr="00BC030F">
        <w:rPr>
          <w:rFonts w:ascii="Arial" w:hAnsi="Arial" w:cs="Arial"/>
          <w:color w:val="000000" w:themeColor="text1"/>
          <w:sz w:val="22"/>
          <w:szCs w:val="22"/>
          <w:lang w:val="en-US" w:eastAsia="fr-FR"/>
        </w:rPr>
        <w:t>PipPel</w:t>
      </w:r>
      <w:proofErr w:type="spellEnd"/>
      <w:r w:rsidRPr="00BC030F">
        <w:rPr>
          <w:rFonts w:ascii="Arial" w:hAnsi="Arial" w:cs="Arial"/>
          <w:color w:val="000000" w:themeColor="text1"/>
          <w:sz w:val="22"/>
          <w:szCs w:val="22"/>
          <w:lang w:val="en-US" w:eastAsia="fr-FR"/>
        </w:rPr>
        <w:t xml:space="preserve"> including addition of metagenomic data layers.</w:t>
      </w:r>
    </w:p>
    <w:p w14:paraId="06A95B5E" w14:textId="77777777" w:rsidR="008B7652" w:rsidRPr="00BC030F" w:rsidRDefault="008B7652" w:rsidP="00BC030F">
      <w:pPr>
        <w:shd w:val="clear" w:color="auto" w:fill="FFFFFF"/>
        <w:spacing w:line="360" w:lineRule="auto"/>
        <w:jc w:val="both"/>
        <w:rPr>
          <w:rFonts w:ascii="Arial" w:hAnsi="Arial" w:cs="Arial"/>
          <w:color w:val="000000" w:themeColor="text1"/>
          <w:sz w:val="22"/>
          <w:szCs w:val="22"/>
          <w:lang w:val="en-US" w:eastAsia="fr-FR"/>
        </w:rPr>
      </w:pPr>
    </w:p>
    <w:p w14:paraId="15FCE261" w14:textId="5C30CA1B" w:rsidR="008B7652" w:rsidRPr="008D7347" w:rsidRDefault="00BC030F" w:rsidP="00BC030F">
      <w:pPr>
        <w:shd w:val="clear" w:color="auto" w:fill="FFFFFF"/>
        <w:spacing w:line="360" w:lineRule="auto"/>
        <w:jc w:val="both"/>
        <w:rPr>
          <w:rFonts w:ascii="Arial" w:hAnsi="Arial" w:cs="Arial"/>
          <w:color w:val="000000" w:themeColor="text1"/>
          <w:sz w:val="22"/>
          <w:szCs w:val="22"/>
          <w:lang w:val="en-US" w:eastAsia="fr-FR"/>
        </w:rPr>
      </w:pPr>
      <w:r w:rsidRPr="00BC030F">
        <w:rPr>
          <w:rFonts w:ascii="Arial" w:hAnsi="Arial" w:cs="Arial"/>
          <w:b/>
          <w:bCs/>
          <w:color w:val="000000" w:themeColor="text1"/>
          <w:sz w:val="22"/>
          <w:szCs w:val="22"/>
          <w:lang w:val="en-US" w:eastAsia="fr-FR"/>
        </w:rPr>
        <w:t xml:space="preserve">Supplementary Notebook </w:t>
      </w:r>
      <w:r w:rsidR="00543A4B">
        <w:rPr>
          <w:rFonts w:ascii="Arial" w:hAnsi="Arial" w:cs="Arial"/>
          <w:b/>
          <w:bCs/>
          <w:color w:val="000000" w:themeColor="text1"/>
          <w:sz w:val="22"/>
          <w:szCs w:val="22"/>
          <w:lang w:val="en-US" w:eastAsia="fr-FR"/>
        </w:rPr>
        <w:t>4</w:t>
      </w:r>
      <w:r w:rsidRPr="00BC030F">
        <w:rPr>
          <w:rFonts w:ascii="Arial" w:hAnsi="Arial" w:cs="Arial"/>
          <w:b/>
          <w:bCs/>
          <w:color w:val="000000" w:themeColor="text1"/>
          <w:sz w:val="22"/>
          <w:szCs w:val="22"/>
          <w:lang w:val="en-US" w:eastAsia="fr-FR"/>
        </w:rPr>
        <w:t xml:space="preserve">: </w:t>
      </w:r>
      <w:r w:rsidRPr="008D7347">
        <w:rPr>
          <w:rFonts w:ascii="Arial" w:hAnsi="Arial" w:cs="Arial"/>
          <w:color w:val="000000" w:themeColor="text1"/>
          <w:sz w:val="22"/>
          <w:szCs w:val="22"/>
          <w:lang w:val="en-US" w:eastAsia="fr-FR"/>
        </w:rPr>
        <w:t xml:space="preserve">Coverage calculation at gene cluster-level for alignment of Isolate reads and </w:t>
      </w:r>
      <w:r w:rsidR="0042033F">
        <w:rPr>
          <w:rFonts w:ascii="Arial" w:hAnsi="Arial" w:cs="Arial"/>
          <w:color w:val="000000" w:themeColor="text1"/>
          <w:sz w:val="22"/>
          <w:szCs w:val="22"/>
          <w:lang w:val="en-US" w:eastAsia="fr-FR"/>
        </w:rPr>
        <w:t>SLAB</w:t>
      </w:r>
      <w:r w:rsidRPr="008D7347">
        <w:rPr>
          <w:rFonts w:ascii="Arial" w:hAnsi="Arial" w:cs="Arial"/>
          <w:color w:val="000000" w:themeColor="text1"/>
          <w:sz w:val="22"/>
          <w:szCs w:val="22"/>
          <w:lang w:val="en-US" w:eastAsia="fr-FR"/>
        </w:rPr>
        <w:t xml:space="preserve"> reads on </w:t>
      </w:r>
      <w:proofErr w:type="spellStart"/>
      <w:r w:rsidRPr="008D7347">
        <w:rPr>
          <w:rFonts w:ascii="Arial" w:hAnsi="Arial" w:cs="Arial"/>
          <w:i/>
          <w:iCs/>
          <w:color w:val="000000" w:themeColor="text1"/>
          <w:sz w:val="22"/>
          <w:szCs w:val="22"/>
          <w:lang w:val="en-US" w:eastAsia="fr-FR"/>
        </w:rPr>
        <w:t>w</w:t>
      </w:r>
      <w:r w:rsidRPr="008D7347">
        <w:rPr>
          <w:rFonts w:ascii="Arial" w:hAnsi="Arial" w:cs="Arial"/>
          <w:color w:val="000000" w:themeColor="text1"/>
          <w:sz w:val="22"/>
          <w:szCs w:val="22"/>
          <w:lang w:val="en-US" w:eastAsia="fr-FR"/>
        </w:rPr>
        <w:t>PipSLAB</w:t>
      </w:r>
      <w:proofErr w:type="spellEnd"/>
      <w:r w:rsidRPr="008D7347">
        <w:rPr>
          <w:rFonts w:ascii="Arial" w:hAnsi="Arial" w:cs="Arial"/>
          <w:color w:val="000000" w:themeColor="text1"/>
          <w:sz w:val="22"/>
          <w:szCs w:val="22"/>
          <w:lang w:val="en-US" w:eastAsia="fr-FR"/>
        </w:rPr>
        <w:t>.</w:t>
      </w:r>
    </w:p>
    <w:p w14:paraId="6B9D00B0" w14:textId="77777777" w:rsidR="0042033F" w:rsidRDefault="0042033F" w:rsidP="00BC030F">
      <w:pPr>
        <w:shd w:val="clear" w:color="auto" w:fill="FFFFFF"/>
        <w:spacing w:line="360" w:lineRule="auto"/>
        <w:jc w:val="both"/>
        <w:rPr>
          <w:rFonts w:ascii="Arial" w:hAnsi="Arial" w:cs="Arial"/>
          <w:b/>
          <w:bCs/>
          <w:color w:val="000000" w:themeColor="text1"/>
          <w:sz w:val="22"/>
          <w:szCs w:val="22"/>
          <w:lang w:val="en-US" w:eastAsia="fr-FR"/>
        </w:rPr>
      </w:pPr>
    </w:p>
    <w:p w14:paraId="04D0C2B1" w14:textId="249E6532" w:rsidR="00BC030F" w:rsidRDefault="00BC030F" w:rsidP="00BC030F">
      <w:pPr>
        <w:shd w:val="clear" w:color="auto" w:fill="FFFFFF"/>
        <w:spacing w:line="360" w:lineRule="auto"/>
        <w:jc w:val="both"/>
        <w:rPr>
          <w:rFonts w:ascii="Arial" w:hAnsi="Arial" w:cs="Arial"/>
          <w:color w:val="000000" w:themeColor="text1"/>
          <w:sz w:val="22"/>
          <w:szCs w:val="22"/>
          <w:lang w:val="en-US" w:eastAsia="fr-FR"/>
        </w:rPr>
      </w:pPr>
      <w:r w:rsidRPr="00BC030F">
        <w:rPr>
          <w:rFonts w:ascii="Arial" w:hAnsi="Arial" w:cs="Arial"/>
          <w:b/>
          <w:bCs/>
          <w:color w:val="000000" w:themeColor="text1"/>
          <w:sz w:val="22"/>
          <w:szCs w:val="22"/>
          <w:lang w:val="en-US" w:eastAsia="fr-FR"/>
        </w:rPr>
        <w:t xml:space="preserve">Supplementary Notebook </w:t>
      </w:r>
      <w:r w:rsidR="00543A4B">
        <w:rPr>
          <w:rFonts w:ascii="Arial" w:hAnsi="Arial" w:cs="Arial"/>
          <w:b/>
          <w:bCs/>
          <w:color w:val="000000" w:themeColor="text1"/>
          <w:sz w:val="22"/>
          <w:szCs w:val="22"/>
          <w:lang w:val="en-US" w:eastAsia="fr-FR"/>
        </w:rPr>
        <w:t>5</w:t>
      </w:r>
      <w:r w:rsidRPr="00BC030F">
        <w:rPr>
          <w:rFonts w:ascii="Arial" w:hAnsi="Arial" w:cs="Arial"/>
          <w:b/>
          <w:bCs/>
          <w:color w:val="000000" w:themeColor="text1"/>
          <w:sz w:val="22"/>
          <w:szCs w:val="22"/>
          <w:lang w:val="en-US" w:eastAsia="fr-FR"/>
        </w:rPr>
        <w:t xml:space="preserve">: </w:t>
      </w:r>
      <w:r w:rsidRPr="002C2150">
        <w:rPr>
          <w:rFonts w:ascii="Arial" w:hAnsi="Arial" w:cs="Arial"/>
          <w:color w:val="000000" w:themeColor="text1"/>
          <w:sz w:val="22"/>
          <w:szCs w:val="22"/>
          <w:lang w:val="en-US" w:eastAsia="fr-FR"/>
        </w:rPr>
        <w:t xml:space="preserve">Coverage visualization of alignment of Isolate reads on </w:t>
      </w:r>
      <w:r w:rsidRPr="002C2150">
        <w:rPr>
          <w:rFonts w:ascii="Arial" w:hAnsi="Arial" w:cs="Arial"/>
          <w:i/>
          <w:iCs/>
          <w:color w:val="000000" w:themeColor="text1"/>
          <w:sz w:val="22"/>
          <w:szCs w:val="22"/>
          <w:lang w:val="en-US" w:eastAsia="fr-FR"/>
        </w:rPr>
        <w:t>w</w:t>
      </w:r>
      <w:r w:rsidRPr="002C2150">
        <w:rPr>
          <w:rFonts w:ascii="Arial" w:hAnsi="Arial" w:cs="Arial"/>
          <w:color w:val="000000" w:themeColor="text1"/>
          <w:sz w:val="22"/>
          <w:szCs w:val="22"/>
          <w:lang w:val="en-US" w:eastAsia="fr-FR"/>
        </w:rPr>
        <w:t>PipPel and WO regions.</w:t>
      </w:r>
    </w:p>
    <w:p w14:paraId="38D8CA62" w14:textId="77777777" w:rsidR="008B7652" w:rsidRPr="002C2150" w:rsidRDefault="008B7652" w:rsidP="00BC030F">
      <w:pPr>
        <w:shd w:val="clear" w:color="auto" w:fill="FFFFFF"/>
        <w:spacing w:line="360" w:lineRule="auto"/>
        <w:jc w:val="both"/>
        <w:rPr>
          <w:rFonts w:ascii="Arial" w:hAnsi="Arial" w:cs="Arial"/>
          <w:color w:val="000000" w:themeColor="text1"/>
          <w:sz w:val="22"/>
          <w:szCs w:val="22"/>
          <w:lang w:val="en-US" w:eastAsia="fr-FR"/>
        </w:rPr>
      </w:pPr>
    </w:p>
    <w:p w14:paraId="57C9C11D" w14:textId="6E120531" w:rsidR="00BC030F" w:rsidRDefault="00BC030F" w:rsidP="00BC030F">
      <w:pPr>
        <w:shd w:val="clear" w:color="auto" w:fill="FFFFFF"/>
        <w:spacing w:line="360" w:lineRule="auto"/>
        <w:jc w:val="both"/>
        <w:rPr>
          <w:rFonts w:ascii="Arial" w:hAnsi="Arial" w:cs="Arial"/>
          <w:color w:val="000000" w:themeColor="text1"/>
          <w:sz w:val="22"/>
          <w:szCs w:val="22"/>
          <w:lang w:val="en-US" w:eastAsia="fr-FR"/>
        </w:rPr>
      </w:pPr>
      <w:r w:rsidRPr="00BC030F">
        <w:rPr>
          <w:rFonts w:ascii="Arial" w:hAnsi="Arial" w:cs="Arial"/>
          <w:b/>
          <w:bCs/>
          <w:color w:val="000000" w:themeColor="text1"/>
          <w:sz w:val="22"/>
          <w:szCs w:val="22"/>
          <w:lang w:val="en-US" w:eastAsia="fr-FR"/>
        </w:rPr>
        <w:t xml:space="preserve">Supplementary Notebook </w:t>
      </w:r>
      <w:r w:rsidR="00543A4B">
        <w:rPr>
          <w:rFonts w:ascii="Arial" w:hAnsi="Arial" w:cs="Arial"/>
          <w:b/>
          <w:bCs/>
          <w:color w:val="000000" w:themeColor="text1"/>
          <w:sz w:val="22"/>
          <w:szCs w:val="22"/>
          <w:lang w:val="en-US" w:eastAsia="fr-FR"/>
        </w:rPr>
        <w:t>6</w:t>
      </w:r>
      <w:r w:rsidRPr="00BC030F">
        <w:rPr>
          <w:rFonts w:ascii="Arial" w:hAnsi="Arial" w:cs="Arial"/>
          <w:b/>
          <w:bCs/>
          <w:color w:val="000000" w:themeColor="text1"/>
          <w:sz w:val="22"/>
          <w:szCs w:val="22"/>
          <w:lang w:val="en-US" w:eastAsia="fr-FR"/>
        </w:rPr>
        <w:t xml:space="preserve">: </w:t>
      </w:r>
      <w:r w:rsidRPr="008B7652">
        <w:rPr>
          <w:rFonts w:ascii="Arial" w:hAnsi="Arial" w:cs="Arial"/>
          <w:color w:val="000000" w:themeColor="text1"/>
          <w:sz w:val="22"/>
          <w:szCs w:val="22"/>
          <w:lang w:val="en-US" w:eastAsia="fr-FR"/>
        </w:rPr>
        <w:t xml:space="preserve">Coverage </w:t>
      </w:r>
      <w:proofErr w:type="spellStart"/>
      <w:r w:rsidRPr="008B7652">
        <w:rPr>
          <w:rFonts w:ascii="Arial" w:hAnsi="Arial" w:cs="Arial"/>
          <w:color w:val="000000" w:themeColor="text1"/>
          <w:sz w:val="22"/>
          <w:szCs w:val="22"/>
          <w:lang w:val="en-US" w:eastAsia="fr-FR"/>
        </w:rPr>
        <w:t>barplot</w:t>
      </w:r>
      <w:proofErr w:type="spellEnd"/>
      <w:r w:rsidRPr="008B7652">
        <w:rPr>
          <w:rFonts w:ascii="Arial" w:hAnsi="Arial" w:cs="Arial"/>
          <w:color w:val="000000" w:themeColor="text1"/>
          <w:sz w:val="22"/>
          <w:szCs w:val="22"/>
          <w:lang w:val="en-US" w:eastAsia="fr-FR"/>
        </w:rPr>
        <w:t xml:space="preserve"> for alignment of Isolate reads on </w:t>
      </w:r>
      <w:r w:rsidRPr="008B7652">
        <w:rPr>
          <w:rFonts w:ascii="Arial" w:hAnsi="Arial" w:cs="Arial"/>
          <w:i/>
          <w:iCs/>
          <w:color w:val="000000" w:themeColor="text1"/>
          <w:sz w:val="22"/>
          <w:szCs w:val="22"/>
          <w:lang w:val="en-US" w:eastAsia="fr-FR"/>
        </w:rPr>
        <w:t>w</w:t>
      </w:r>
      <w:r w:rsidRPr="008B7652">
        <w:rPr>
          <w:rFonts w:ascii="Arial" w:hAnsi="Arial" w:cs="Arial"/>
          <w:color w:val="000000" w:themeColor="text1"/>
          <w:sz w:val="22"/>
          <w:szCs w:val="22"/>
          <w:lang w:val="en-US" w:eastAsia="fr-FR"/>
        </w:rPr>
        <w:t>PipPel regions (WO phage, MLST) and pWCP plasmid.</w:t>
      </w:r>
    </w:p>
    <w:p w14:paraId="1907E967" w14:textId="77777777" w:rsidR="001E5910" w:rsidRPr="00BC030F" w:rsidRDefault="001E5910" w:rsidP="00BC030F">
      <w:pPr>
        <w:shd w:val="clear" w:color="auto" w:fill="FFFFFF"/>
        <w:spacing w:line="360" w:lineRule="auto"/>
        <w:jc w:val="both"/>
        <w:rPr>
          <w:rFonts w:ascii="Arial" w:hAnsi="Arial" w:cs="Arial"/>
          <w:b/>
          <w:bCs/>
          <w:color w:val="000000" w:themeColor="text1"/>
          <w:sz w:val="22"/>
          <w:szCs w:val="22"/>
          <w:lang w:val="en-US" w:eastAsia="fr-FR"/>
        </w:rPr>
      </w:pPr>
    </w:p>
    <w:p w14:paraId="720253F1" w14:textId="6AF3418F" w:rsidR="00BC030F" w:rsidRDefault="00BC030F" w:rsidP="00BC030F">
      <w:pPr>
        <w:shd w:val="clear" w:color="auto" w:fill="FFFFFF"/>
        <w:spacing w:line="360" w:lineRule="auto"/>
        <w:jc w:val="both"/>
        <w:rPr>
          <w:rFonts w:ascii="Arial" w:hAnsi="Arial" w:cs="Arial"/>
          <w:color w:val="000000" w:themeColor="text1"/>
          <w:sz w:val="22"/>
          <w:szCs w:val="22"/>
          <w:lang w:val="en-US" w:eastAsia="fr-FR"/>
        </w:rPr>
      </w:pPr>
      <w:r w:rsidRPr="00BC030F">
        <w:rPr>
          <w:rFonts w:ascii="Arial" w:hAnsi="Arial" w:cs="Arial"/>
          <w:b/>
          <w:bCs/>
          <w:color w:val="000000" w:themeColor="text1"/>
          <w:sz w:val="22"/>
          <w:szCs w:val="22"/>
          <w:lang w:val="en-US" w:eastAsia="fr-FR"/>
        </w:rPr>
        <w:t xml:space="preserve">Supplementary Notebook </w:t>
      </w:r>
      <w:r w:rsidR="00543A4B">
        <w:rPr>
          <w:rFonts w:ascii="Arial" w:hAnsi="Arial" w:cs="Arial"/>
          <w:b/>
          <w:bCs/>
          <w:color w:val="000000" w:themeColor="text1"/>
          <w:sz w:val="22"/>
          <w:szCs w:val="22"/>
          <w:lang w:val="en-US" w:eastAsia="fr-FR"/>
        </w:rPr>
        <w:t>7</w:t>
      </w:r>
      <w:r w:rsidRPr="00BC030F">
        <w:rPr>
          <w:rFonts w:ascii="Arial" w:hAnsi="Arial" w:cs="Arial"/>
          <w:b/>
          <w:bCs/>
          <w:color w:val="000000" w:themeColor="text1"/>
          <w:sz w:val="22"/>
          <w:szCs w:val="22"/>
          <w:lang w:val="en-US" w:eastAsia="fr-FR"/>
        </w:rPr>
        <w:t xml:space="preserve">: </w:t>
      </w:r>
      <w:r w:rsidRPr="001E5910">
        <w:rPr>
          <w:rFonts w:ascii="Arial" w:hAnsi="Arial" w:cs="Arial"/>
          <w:color w:val="000000" w:themeColor="text1"/>
          <w:sz w:val="22"/>
          <w:szCs w:val="22"/>
          <w:lang w:val="en-US" w:eastAsia="fr-FR"/>
        </w:rPr>
        <w:t>Coverage visualization of alignment of Isolate reads on Isolate assembly.</w:t>
      </w:r>
    </w:p>
    <w:p w14:paraId="1340AFCC" w14:textId="77777777" w:rsidR="006269CA" w:rsidRDefault="006269CA" w:rsidP="00BC030F">
      <w:pPr>
        <w:shd w:val="clear" w:color="auto" w:fill="FFFFFF"/>
        <w:spacing w:line="360" w:lineRule="auto"/>
        <w:jc w:val="both"/>
        <w:rPr>
          <w:rFonts w:ascii="Arial" w:hAnsi="Arial" w:cs="Arial"/>
          <w:color w:val="000000" w:themeColor="text1"/>
          <w:sz w:val="22"/>
          <w:szCs w:val="22"/>
          <w:lang w:val="en-US" w:eastAsia="fr-FR"/>
        </w:rPr>
      </w:pPr>
    </w:p>
    <w:p w14:paraId="255F4D5D" w14:textId="77777777" w:rsidR="008B3317" w:rsidRDefault="008B3317" w:rsidP="002E4DBC">
      <w:pPr>
        <w:shd w:val="clear" w:color="auto" w:fill="FFFFFF"/>
        <w:spacing w:line="360" w:lineRule="auto"/>
        <w:jc w:val="both"/>
        <w:rPr>
          <w:rFonts w:ascii="Arial" w:hAnsi="Arial" w:cs="Arial"/>
          <w:b/>
          <w:bCs/>
          <w:color w:val="000000" w:themeColor="text1"/>
          <w:sz w:val="22"/>
          <w:szCs w:val="22"/>
          <w:lang w:val="en-US" w:eastAsia="fr-FR"/>
        </w:rPr>
      </w:pPr>
    </w:p>
    <w:p w14:paraId="67AAFD97" w14:textId="1D732C00" w:rsidR="00D926A4" w:rsidRPr="006269CA" w:rsidRDefault="00D926A4" w:rsidP="002E4DBC">
      <w:pPr>
        <w:shd w:val="clear" w:color="auto" w:fill="FFFFFF"/>
        <w:spacing w:line="360" w:lineRule="auto"/>
        <w:jc w:val="both"/>
        <w:rPr>
          <w:rFonts w:ascii="Arial" w:hAnsi="Arial" w:cs="Arial"/>
          <w:b/>
          <w:bCs/>
          <w:color w:val="000000" w:themeColor="text1"/>
          <w:sz w:val="28"/>
          <w:szCs w:val="28"/>
          <w:lang w:val="en-US" w:eastAsia="fr-FR"/>
        </w:rPr>
      </w:pPr>
      <w:r w:rsidRPr="006269CA">
        <w:rPr>
          <w:rFonts w:ascii="Arial" w:hAnsi="Arial" w:cs="Arial"/>
          <w:b/>
          <w:bCs/>
          <w:color w:val="000000" w:themeColor="text1"/>
          <w:sz w:val="28"/>
          <w:szCs w:val="28"/>
          <w:lang w:val="en-US" w:eastAsia="fr-FR"/>
        </w:rPr>
        <w:lastRenderedPageBreak/>
        <w:t>References</w:t>
      </w:r>
    </w:p>
    <w:p w14:paraId="72E12613" w14:textId="77777777" w:rsidR="00D926A4" w:rsidRPr="00FE490F" w:rsidRDefault="00D926A4" w:rsidP="00D926A4">
      <w:pPr>
        <w:pStyle w:val="Bibliography"/>
        <w:spacing w:line="240" w:lineRule="auto"/>
        <w:jc w:val="both"/>
        <w:rPr>
          <w:rFonts w:ascii="Arial" w:hAnsi="Arial" w:cs="Arial"/>
          <w:sz w:val="22"/>
          <w:lang w:val="en-US"/>
        </w:rPr>
      </w:pPr>
      <w:r>
        <w:rPr>
          <w:rFonts w:ascii="Arial" w:hAnsi="Arial" w:cs="Arial"/>
          <w:sz w:val="22"/>
          <w:szCs w:val="22"/>
          <w:u w:val="single"/>
          <w:lang w:val="en-US"/>
        </w:rPr>
        <w:fldChar w:fldCharType="begin"/>
      </w:r>
      <w:r>
        <w:rPr>
          <w:rFonts w:ascii="Arial" w:hAnsi="Arial" w:cs="Arial"/>
          <w:sz w:val="22"/>
          <w:szCs w:val="22"/>
          <w:u w:val="single"/>
          <w:lang w:val="en-US"/>
        </w:rPr>
        <w:instrText xml:space="preserve"> ADDIN ZOTERO_BIBL {"uncited":[],"omitted":[],"custom":[]} CSL_BIBLIOGRAPHY </w:instrText>
      </w:r>
      <w:r>
        <w:rPr>
          <w:rFonts w:ascii="Arial" w:hAnsi="Arial" w:cs="Arial"/>
          <w:sz w:val="22"/>
          <w:szCs w:val="22"/>
          <w:u w:val="single"/>
          <w:lang w:val="en-US"/>
        </w:rPr>
        <w:fldChar w:fldCharType="separate"/>
      </w:r>
      <w:r w:rsidRPr="00FE490F">
        <w:rPr>
          <w:rFonts w:ascii="Arial" w:hAnsi="Arial" w:cs="Arial"/>
          <w:sz w:val="22"/>
          <w:lang w:val="en-US"/>
        </w:rPr>
        <w:t>1.</w:t>
      </w:r>
      <w:r w:rsidRPr="00FE490F">
        <w:rPr>
          <w:rFonts w:ascii="Arial" w:hAnsi="Arial" w:cs="Arial"/>
          <w:sz w:val="22"/>
          <w:lang w:val="en-US"/>
        </w:rPr>
        <w:tab/>
        <w:t xml:space="preserve">Bordenstein, S. R. &amp; Bordenstein, S. R. Temperature Affects the Tripartite Interactions between Bacteriophage WO, Wolbachia, and Cytoplasmic Incompatibility. </w:t>
      </w:r>
      <w:r w:rsidRPr="00FE490F">
        <w:rPr>
          <w:rFonts w:ascii="Arial" w:hAnsi="Arial" w:cs="Arial"/>
          <w:i/>
          <w:iCs/>
          <w:sz w:val="22"/>
          <w:lang w:val="en-US"/>
        </w:rPr>
        <w:t>PLOS ONE</w:t>
      </w:r>
      <w:r w:rsidRPr="00FE490F">
        <w:rPr>
          <w:rFonts w:ascii="Arial" w:hAnsi="Arial" w:cs="Arial"/>
          <w:sz w:val="22"/>
          <w:lang w:val="en-US"/>
        </w:rPr>
        <w:t xml:space="preserve"> </w:t>
      </w:r>
      <w:r w:rsidRPr="00FE490F">
        <w:rPr>
          <w:rFonts w:ascii="Arial" w:hAnsi="Arial" w:cs="Arial"/>
          <w:b/>
          <w:bCs/>
          <w:sz w:val="22"/>
          <w:lang w:val="en-US"/>
        </w:rPr>
        <w:t>6</w:t>
      </w:r>
      <w:r w:rsidRPr="00FE490F">
        <w:rPr>
          <w:rFonts w:ascii="Arial" w:hAnsi="Arial" w:cs="Arial"/>
          <w:sz w:val="22"/>
          <w:lang w:val="en-US"/>
        </w:rPr>
        <w:t>, e29106 (2011).</w:t>
      </w:r>
    </w:p>
    <w:p w14:paraId="427EA2D5" w14:textId="77777777" w:rsidR="00D926A4" w:rsidRPr="00FE490F" w:rsidRDefault="00D926A4" w:rsidP="00D926A4">
      <w:pPr>
        <w:pStyle w:val="Bibliography"/>
        <w:spacing w:line="240" w:lineRule="auto"/>
        <w:jc w:val="both"/>
        <w:rPr>
          <w:rFonts w:ascii="Arial" w:hAnsi="Arial" w:cs="Arial"/>
          <w:sz w:val="22"/>
          <w:lang w:val="en-US"/>
        </w:rPr>
      </w:pPr>
      <w:r w:rsidRPr="00FE490F">
        <w:rPr>
          <w:rFonts w:ascii="Arial" w:hAnsi="Arial" w:cs="Arial"/>
          <w:sz w:val="22"/>
          <w:lang w:val="en-US"/>
        </w:rPr>
        <w:t>2.</w:t>
      </w:r>
      <w:r w:rsidRPr="00FE490F">
        <w:rPr>
          <w:rFonts w:ascii="Arial" w:hAnsi="Arial" w:cs="Arial"/>
          <w:sz w:val="22"/>
          <w:lang w:val="en-US"/>
        </w:rPr>
        <w:tab/>
        <w:t xml:space="preserve">Howard-Varona, C., Hargreaves, K. R., Abedon, S. T. &amp; Sullivan, M. B. Lysogeny in nature: mechanisms, impact and ecology of temperate phages. </w:t>
      </w:r>
      <w:r w:rsidRPr="00FE490F">
        <w:rPr>
          <w:rFonts w:ascii="Arial" w:hAnsi="Arial" w:cs="Arial"/>
          <w:i/>
          <w:iCs/>
          <w:sz w:val="22"/>
          <w:lang w:val="en-US"/>
        </w:rPr>
        <w:t>ISME J</w:t>
      </w:r>
      <w:r w:rsidRPr="00FE490F">
        <w:rPr>
          <w:rFonts w:ascii="Arial" w:hAnsi="Arial" w:cs="Arial"/>
          <w:sz w:val="22"/>
          <w:lang w:val="en-US"/>
        </w:rPr>
        <w:t xml:space="preserve"> </w:t>
      </w:r>
      <w:r w:rsidRPr="00FE490F">
        <w:rPr>
          <w:rFonts w:ascii="Arial" w:hAnsi="Arial" w:cs="Arial"/>
          <w:b/>
          <w:bCs/>
          <w:sz w:val="22"/>
          <w:lang w:val="en-US"/>
        </w:rPr>
        <w:t>11</w:t>
      </w:r>
      <w:r w:rsidRPr="00FE490F">
        <w:rPr>
          <w:rFonts w:ascii="Arial" w:hAnsi="Arial" w:cs="Arial"/>
          <w:sz w:val="22"/>
          <w:lang w:val="en-US"/>
        </w:rPr>
        <w:t>, 1511–1520 (2017).</w:t>
      </w:r>
    </w:p>
    <w:p w14:paraId="0F39AFDB" w14:textId="77777777" w:rsidR="00D926A4" w:rsidRPr="00FE490F" w:rsidRDefault="00D926A4" w:rsidP="00D926A4">
      <w:pPr>
        <w:pStyle w:val="Bibliography"/>
        <w:spacing w:line="240" w:lineRule="auto"/>
        <w:jc w:val="both"/>
        <w:rPr>
          <w:rFonts w:ascii="Arial" w:hAnsi="Arial" w:cs="Arial"/>
          <w:sz w:val="22"/>
          <w:lang w:val="en-US"/>
        </w:rPr>
      </w:pPr>
      <w:r w:rsidRPr="00FE490F">
        <w:rPr>
          <w:rFonts w:ascii="Arial" w:hAnsi="Arial" w:cs="Arial"/>
          <w:sz w:val="22"/>
          <w:lang w:val="en-US"/>
        </w:rPr>
        <w:t>3.</w:t>
      </w:r>
      <w:r w:rsidRPr="00FE490F">
        <w:rPr>
          <w:rFonts w:ascii="Arial" w:hAnsi="Arial" w:cs="Arial"/>
          <w:sz w:val="22"/>
          <w:lang w:val="en-US"/>
        </w:rPr>
        <w:tab/>
        <w:t xml:space="preserve">Xu, R. </w:t>
      </w:r>
      <w:r w:rsidRPr="00FE490F">
        <w:rPr>
          <w:rFonts w:ascii="Arial" w:hAnsi="Arial" w:cs="Arial"/>
          <w:i/>
          <w:iCs/>
          <w:sz w:val="22"/>
          <w:lang w:val="en-US"/>
        </w:rPr>
        <w:t>et al.</w:t>
      </w:r>
      <w:r w:rsidRPr="00FE490F">
        <w:rPr>
          <w:rFonts w:ascii="Arial" w:hAnsi="Arial" w:cs="Arial"/>
          <w:sz w:val="22"/>
          <w:lang w:val="en-US"/>
        </w:rPr>
        <w:t xml:space="preserve"> Mitomycin C-induced prophage activation for exploring the Lysogeny-lysis functional dynamics in situ. </w:t>
      </w:r>
      <w:r w:rsidRPr="00FE490F">
        <w:rPr>
          <w:rFonts w:ascii="Arial" w:hAnsi="Arial" w:cs="Arial"/>
          <w:i/>
          <w:iCs/>
          <w:sz w:val="22"/>
          <w:lang w:val="en-US"/>
        </w:rPr>
        <w:t>Applied Soil Ecology</w:t>
      </w:r>
      <w:r w:rsidRPr="00FE490F">
        <w:rPr>
          <w:rFonts w:ascii="Arial" w:hAnsi="Arial" w:cs="Arial"/>
          <w:sz w:val="22"/>
          <w:lang w:val="en-US"/>
        </w:rPr>
        <w:t xml:space="preserve"> </w:t>
      </w:r>
      <w:r w:rsidRPr="00FE490F">
        <w:rPr>
          <w:rFonts w:ascii="Arial" w:hAnsi="Arial" w:cs="Arial"/>
          <w:b/>
          <w:bCs/>
          <w:sz w:val="22"/>
          <w:lang w:val="en-US"/>
        </w:rPr>
        <w:t>215</w:t>
      </w:r>
      <w:r w:rsidRPr="00FE490F">
        <w:rPr>
          <w:rFonts w:ascii="Arial" w:hAnsi="Arial" w:cs="Arial"/>
          <w:sz w:val="22"/>
          <w:lang w:val="en-US"/>
        </w:rPr>
        <w:t>, 106436 (2025).</w:t>
      </w:r>
    </w:p>
    <w:p w14:paraId="331C1C4E" w14:textId="77777777" w:rsidR="00D926A4" w:rsidRPr="00D926A4" w:rsidRDefault="00D926A4" w:rsidP="00D926A4">
      <w:pPr>
        <w:pStyle w:val="Bibliography"/>
        <w:spacing w:line="240" w:lineRule="auto"/>
        <w:jc w:val="both"/>
        <w:rPr>
          <w:rFonts w:ascii="Arial" w:hAnsi="Arial" w:cs="Arial"/>
          <w:sz w:val="22"/>
        </w:rPr>
      </w:pPr>
      <w:r w:rsidRPr="00FE490F">
        <w:rPr>
          <w:rFonts w:ascii="Arial" w:hAnsi="Arial" w:cs="Arial"/>
          <w:sz w:val="22"/>
          <w:lang w:val="en-US"/>
        </w:rPr>
        <w:t>4.</w:t>
      </w:r>
      <w:r w:rsidRPr="00FE490F">
        <w:rPr>
          <w:rFonts w:ascii="Arial" w:hAnsi="Arial" w:cs="Arial"/>
          <w:sz w:val="22"/>
          <w:lang w:val="en-US"/>
        </w:rPr>
        <w:tab/>
        <w:t xml:space="preserve">Greenrod, S. T. E., Hector, T. E., Blazanin, M., Cazares, D. &amp; King, K. C. Temperature as a Driver of Phage Ecology and Evolution. </w:t>
      </w:r>
      <w:r w:rsidRPr="00D926A4">
        <w:rPr>
          <w:rFonts w:ascii="Arial" w:hAnsi="Arial" w:cs="Arial"/>
          <w:i/>
          <w:iCs/>
          <w:sz w:val="22"/>
        </w:rPr>
        <w:t>Annual Review of Microbiology</w:t>
      </w:r>
      <w:r w:rsidRPr="00D926A4">
        <w:rPr>
          <w:rFonts w:ascii="Arial" w:hAnsi="Arial" w:cs="Arial"/>
          <w:sz w:val="22"/>
        </w:rPr>
        <w:t xml:space="preserve"> </w:t>
      </w:r>
      <w:r w:rsidRPr="00D926A4">
        <w:rPr>
          <w:rFonts w:ascii="Arial" w:hAnsi="Arial" w:cs="Arial"/>
          <w:b/>
          <w:bCs/>
          <w:sz w:val="22"/>
        </w:rPr>
        <w:t>79</w:t>
      </w:r>
      <w:r w:rsidRPr="00D926A4">
        <w:rPr>
          <w:rFonts w:ascii="Arial" w:hAnsi="Arial" w:cs="Arial"/>
          <w:sz w:val="22"/>
        </w:rPr>
        <w:t>, 497–522 (2025).</w:t>
      </w:r>
    </w:p>
    <w:p w14:paraId="7BD16C50" w14:textId="5876BB92" w:rsidR="008503C0" w:rsidRPr="00DC5C46" w:rsidRDefault="00D926A4" w:rsidP="00D926A4">
      <w:pPr>
        <w:jc w:val="both"/>
        <w:rPr>
          <w:rFonts w:ascii="Arial" w:hAnsi="Arial" w:cs="Arial"/>
          <w:sz w:val="22"/>
          <w:szCs w:val="22"/>
          <w:u w:val="single"/>
          <w:lang w:val="en-US"/>
        </w:rPr>
      </w:pPr>
      <w:r>
        <w:rPr>
          <w:rFonts w:ascii="Arial" w:hAnsi="Arial" w:cs="Arial"/>
          <w:sz w:val="22"/>
          <w:szCs w:val="22"/>
          <w:u w:val="single"/>
          <w:lang w:val="en-US"/>
        </w:rPr>
        <w:fldChar w:fldCharType="end"/>
      </w:r>
    </w:p>
    <w:sectPr w:rsidR="008503C0" w:rsidRPr="00DC5C46" w:rsidSect="006269CA">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3A"/>
    <w:rsid w:val="000F5FEE"/>
    <w:rsid w:val="001C4C5C"/>
    <w:rsid w:val="001E5910"/>
    <w:rsid w:val="001F30C7"/>
    <w:rsid w:val="00226E9A"/>
    <w:rsid w:val="002A4D1A"/>
    <w:rsid w:val="002B51AE"/>
    <w:rsid w:val="002C2150"/>
    <w:rsid w:val="002E4DBC"/>
    <w:rsid w:val="0038258B"/>
    <w:rsid w:val="00392DCE"/>
    <w:rsid w:val="003E3481"/>
    <w:rsid w:val="0042033F"/>
    <w:rsid w:val="0043376B"/>
    <w:rsid w:val="004F3BB5"/>
    <w:rsid w:val="00527499"/>
    <w:rsid w:val="005300AA"/>
    <w:rsid w:val="00543A4B"/>
    <w:rsid w:val="005B392B"/>
    <w:rsid w:val="006269CA"/>
    <w:rsid w:val="00665C92"/>
    <w:rsid w:val="0067093F"/>
    <w:rsid w:val="00677969"/>
    <w:rsid w:val="00694E28"/>
    <w:rsid w:val="007076C2"/>
    <w:rsid w:val="00806E6D"/>
    <w:rsid w:val="008503C0"/>
    <w:rsid w:val="008A5F3A"/>
    <w:rsid w:val="008B3317"/>
    <w:rsid w:val="008B72A1"/>
    <w:rsid w:val="008B7652"/>
    <w:rsid w:val="008D7347"/>
    <w:rsid w:val="008F7651"/>
    <w:rsid w:val="0097176C"/>
    <w:rsid w:val="00A23CC8"/>
    <w:rsid w:val="00A41150"/>
    <w:rsid w:val="00AB38D1"/>
    <w:rsid w:val="00B50632"/>
    <w:rsid w:val="00B579B9"/>
    <w:rsid w:val="00B8550B"/>
    <w:rsid w:val="00BC030F"/>
    <w:rsid w:val="00C50FC4"/>
    <w:rsid w:val="00C51B5A"/>
    <w:rsid w:val="00C64D9F"/>
    <w:rsid w:val="00D926A4"/>
    <w:rsid w:val="00DA3357"/>
    <w:rsid w:val="00DC5C46"/>
    <w:rsid w:val="00E4055B"/>
    <w:rsid w:val="00F04F76"/>
    <w:rsid w:val="00F17DDA"/>
    <w:rsid w:val="00F27EE4"/>
    <w:rsid w:val="00F50C55"/>
    <w:rsid w:val="00FC0CD1"/>
    <w:rsid w:val="00FD116B"/>
    <w:rsid w:val="00FE4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5458"/>
  <w15:chartTrackingRefBased/>
  <w15:docId w15:val="{596174DB-8013-DE4C-B36F-E407DCCE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F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F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F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F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F3A"/>
    <w:rPr>
      <w:rFonts w:eastAsiaTheme="majorEastAsia" w:cstheme="majorBidi"/>
      <w:color w:val="272727" w:themeColor="text1" w:themeTint="D8"/>
    </w:rPr>
  </w:style>
  <w:style w:type="paragraph" w:styleId="Title">
    <w:name w:val="Title"/>
    <w:basedOn w:val="Normal"/>
    <w:next w:val="Normal"/>
    <w:link w:val="TitleChar"/>
    <w:uiPriority w:val="10"/>
    <w:qFormat/>
    <w:rsid w:val="008A5F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F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F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5F3A"/>
    <w:rPr>
      <w:i/>
      <w:iCs/>
      <w:color w:val="404040" w:themeColor="text1" w:themeTint="BF"/>
    </w:rPr>
  </w:style>
  <w:style w:type="paragraph" w:styleId="ListParagraph">
    <w:name w:val="List Paragraph"/>
    <w:basedOn w:val="Normal"/>
    <w:uiPriority w:val="34"/>
    <w:qFormat/>
    <w:rsid w:val="008A5F3A"/>
    <w:pPr>
      <w:ind w:left="720"/>
      <w:contextualSpacing/>
    </w:pPr>
  </w:style>
  <w:style w:type="character" w:styleId="IntenseEmphasis">
    <w:name w:val="Intense Emphasis"/>
    <w:basedOn w:val="DefaultParagraphFont"/>
    <w:uiPriority w:val="21"/>
    <w:qFormat/>
    <w:rsid w:val="008A5F3A"/>
    <w:rPr>
      <w:i/>
      <w:iCs/>
      <w:color w:val="0F4761" w:themeColor="accent1" w:themeShade="BF"/>
    </w:rPr>
  </w:style>
  <w:style w:type="paragraph" w:styleId="IntenseQuote">
    <w:name w:val="Intense Quote"/>
    <w:basedOn w:val="Normal"/>
    <w:next w:val="Normal"/>
    <w:link w:val="IntenseQuoteChar"/>
    <w:uiPriority w:val="30"/>
    <w:qFormat/>
    <w:rsid w:val="008A5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F3A"/>
    <w:rPr>
      <w:i/>
      <w:iCs/>
      <w:color w:val="0F4761" w:themeColor="accent1" w:themeShade="BF"/>
    </w:rPr>
  </w:style>
  <w:style w:type="character" w:styleId="IntenseReference">
    <w:name w:val="Intense Reference"/>
    <w:basedOn w:val="DefaultParagraphFont"/>
    <w:uiPriority w:val="32"/>
    <w:qFormat/>
    <w:rsid w:val="008A5F3A"/>
    <w:rPr>
      <w:b/>
      <w:bCs/>
      <w:smallCaps/>
      <w:color w:val="0F4761" w:themeColor="accent1" w:themeShade="BF"/>
      <w:spacing w:val="5"/>
    </w:rPr>
  </w:style>
  <w:style w:type="character" w:styleId="CommentReference">
    <w:name w:val="annotation reference"/>
    <w:basedOn w:val="DefaultParagraphFont"/>
    <w:uiPriority w:val="99"/>
    <w:semiHidden/>
    <w:unhideWhenUsed/>
    <w:qFormat/>
    <w:rsid w:val="008A5F3A"/>
    <w:rPr>
      <w:sz w:val="16"/>
      <w:szCs w:val="16"/>
    </w:rPr>
  </w:style>
  <w:style w:type="character" w:customStyle="1" w:styleId="CommentTextChar">
    <w:name w:val="Comment Text Char"/>
    <w:basedOn w:val="DefaultParagraphFont"/>
    <w:link w:val="CommentText"/>
    <w:uiPriority w:val="99"/>
    <w:semiHidden/>
    <w:qFormat/>
    <w:rsid w:val="008A5F3A"/>
    <w:rPr>
      <w:sz w:val="20"/>
      <w:szCs w:val="20"/>
    </w:rPr>
  </w:style>
  <w:style w:type="paragraph" w:styleId="CommentText">
    <w:name w:val="annotation text"/>
    <w:basedOn w:val="Normal"/>
    <w:link w:val="CommentTextChar"/>
    <w:uiPriority w:val="99"/>
    <w:semiHidden/>
    <w:unhideWhenUsed/>
    <w:qFormat/>
    <w:rsid w:val="008A5F3A"/>
    <w:pPr>
      <w:suppressAutoHyphens/>
    </w:pPr>
    <w:rPr>
      <w:sz w:val="20"/>
      <w:szCs w:val="20"/>
    </w:rPr>
  </w:style>
  <w:style w:type="character" w:customStyle="1" w:styleId="CommentaireCar1">
    <w:name w:val="Commentaire Car1"/>
    <w:basedOn w:val="DefaultParagraphFont"/>
    <w:uiPriority w:val="99"/>
    <w:semiHidden/>
    <w:rsid w:val="008A5F3A"/>
    <w:rPr>
      <w:sz w:val="20"/>
      <w:szCs w:val="20"/>
    </w:rPr>
  </w:style>
  <w:style w:type="paragraph" w:styleId="Revision">
    <w:name w:val="Revision"/>
    <w:hidden/>
    <w:uiPriority w:val="99"/>
    <w:semiHidden/>
    <w:rsid w:val="008B3317"/>
  </w:style>
  <w:style w:type="paragraph" w:styleId="CommentSubject">
    <w:name w:val="annotation subject"/>
    <w:basedOn w:val="CommentText"/>
    <w:next w:val="CommentText"/>
    <w:link w:val="CommentSubjectChar"/>
    <w:uiPriority w:val="99"/>
    <w:semiHidden/>
    <w:unhideWhenUsed/>
    <w:rsid w:val="00DC5C46"/>
    <w:pPr>
      <w:suppressAutoHyphens w:val="0"/>
    </w:pPr>
    <w:rPr>
      <w:b/>
      <w:bCs/>
    </w:rPr>
  </w:style>
  <w:style w:type="character" w:customStyle="1" w:styleId="CommentSubjectChar">
    <w:name w:val="Comment Subject Char"/>
    <w:basedOn w:val="CommentTextChar"/>
    <w:link w:val="CommentSubject"/>
    <w:uiPriority w:val="99"/>
    <w:semiHidden/>
    <w:rsid w:val="00DC5C46"/>
    <w:rPr>
      <w:b/>
      <w:bCs/>
      <w:sz w:val="20"/>
      <w:szCs w:val="20"/>
    </w:rPr>
  </w:style>
  <w:style w:type="paragraph" w:styleId="Bibliography">
    <w:name w:val="Bibliography"/>
    <w:basedOn w:val="Normal"/>
    <w:next w:val="Normal"/>
    <w:uiPriority w:val="37"/>
    <w:unhideWhenUsed/>
    <w:rsid w:val="00D926A4"/>
    <w:pPr>
      <w:tabs>
        <w:tab w:val="left" w:pos="260"/>
      </w:tabs>
      <w:spacing w:line="480" w:lineRule="auto"/>
      <w:ind w:left="264" w:hanging="264"/>
    </w:pPr>
  </w:style>
  <w:style w:type="paragraph" w:customStyle="1" w:styleId="Index">
    <w:name w:val="Index"/>
    <w:basedOn w:val="Normal"/>
    <w:qFormat/>
    <w:rsid w:val="00FE490F"/>
    <w:pPr>
      <w:suppressLineNumbers/>
      <w:suppressAutoHyphens/>
    </w:pPr>
    <w:rPr>
      <w:rFonts w:cs="Lohit Devanagari"/>
    </w:rPr>
  </w:style>
  <w:style w:type="character" w:styleId="LineNumber">
    <w:name w:val="line number"/>
    <w:basedOn w:val="DefaultParagraphFont"/>
    <w:uiPriority w:val="99"/>
    <w:semiHidden/>
    <w:unhideWhenUsed/>
    <w:rsid w:val="00626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DC4D-6E2C-2445-A89B-FF9823C0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Brunner</dc:creator>
  <cp:keywords/>
  <dc:description/>
  <cp:lastModifiedBy>Julie Reveillaud</cp:lastModifiedBy>
  <cp:revision>3</cp:revision>
  <dcterms:created xsi:type="dcterms:W3CDTF">2026-05-19T07:41:00Z</dcterms:created>
  <dcterms:modified xsi:type="dcterms:W3CDTF">2026-05-19T07:46:00Z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id="8pXaIavK"/&gt;&lt;style id="http://www.zotero.org/styles/nature-reviews-microbiology" hasBibliography="1" bibliographyStyleHasBeenSet="1"/&gt;&lt;prefs&gt;&lt;pref name="fieldType" value="Field"/&gt;&lt;/prefs&gt;&lt;/data&gt;</vt:lpwstr>
  </property>
</Properties>
</file>