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86" w:rsidRPr="00FF7B92" w:rsidRDefault="00FF7B92">
      <w:pPr>
        <w:rPr>
          <w:rFonts w:ascii="Times New Roman" w:hAnsi="Times New Roman" w:hint="eastAsia"/>
          <w:b/>
          <w:sz w:val="24"/>
          <w:szCs w:val="24"/>
        </w:rPr>
      </w:pPr>
      <w:r w:rsidRPr="008F3F44">
        <w:rPr>
          <w:rFonts w:ascii="Times New Roman" w:hAnsi="Times New Roman"/>
          <w:b/>
          <w:sz w:val="24"/>
          <w:szCs w:val="24"/>
        </w:rPr>
        <w:t>Supplementary T</w:t>
      </w:r>
      <w:r>
        <w:rPr>
          <w:rFonts w:ascii="Times New Roman" w:hAnsi="Times New Roman"/>
          <w:b/>
          <w:sz w:val="24"/>
          <w:szCs w:val="24"/>
        </w:rPr>
        <w:t>able 6</w:t>
      </w:r>
      <w:r>
        <w:rPr>
          <w:rFonts w:ascii="Times New Roman" w:hAnsi="Times New Roman"/>
          <w:b/>
          <w:sz w:val="24"/>
          <w:szCs w:val="24"/>
        </w:rPr>
        <w:t>.</w:t>
      </w:r>
      <w:r w:rsidRPr="008F3F44">
        <w:rPr>
          <w:rFonts w:ascii="Times New Roman" w:hAnsi="Times New Roman"/>
          <w:b/>
          <w:sz w:val="24"/>
          <w:szCs w:val="24"/>
        </w:rPr>
        <w:t xml:space="preserve"> Comparison of characteristics of short videos published by medical and non-medical professionals on the </w:t>
      </w:r>
      <w:r>
        <w:rPr>
          <w:rFonts w:ascii="Times New Roman" w:hAnsi="Times New Roman"/>
          <w:b/>
          <w:sz w:val="24"/>
          <w:szCs w:val="24"/>
        </w:rPr>
        <w:t>Bilibili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3012"/>
        <w:gridCol w:w="2483"/>
        <w:gridCol w:w="776"/>
      </w:tblGrid>
      <w:tr w:rsidR="00FF7B92" w:rsidRPr="00FF7B92" w:rsidTr="00FF7B92">
        <w:trPr>
          <w:trHeight w:val="476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Non-medical </w:t>
            </w:r>
            <w:bookmarkStart w:id="0" w:name="OLE_LINK215"/>
            <w:bookmarkStart w:id="1" w:name="OLE_LINK216"/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bookmarkEnd w:id="0"/>
            <w:bookmarkEnd w:id="1"/>
            <w:r w:rsidRPr="00FF7B92">
              <w:rPr>
                <w:rFonts w:ascii="宋体" w:hAnsi="宋体"/>
                <w:color w:val="000000"/>
                <w:kern w:val="0"/>
                <w:sz w:val="18"/>
                <w:szCs w:val="18"/>
              </w:rPr>
              <w:t>（</w:t>
            </w: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</w:t>
            </w:r>
            <w:r w:rsidRPr="00FF7B92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121</w:t>
            </w:r>
            <w:r w:rsidRPr="00FF7B92">
              <w:rPr>
                <w:rFonts w:ascii="宋体" w:hAnsi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Medical professionals</w:t>
            </w:r>
            <w:r w:rsidRPr="00FF7B92">
              <w:rPr>
                <w:rFonts w:ascii="宋体" w:hAnsi="宋体"/>
                <w:color w:val="000000"/>
                <w:kern w:val="0"/>
                <w:sz w:val="18"/>
                <w:szCs w:val="18"/>
              </w:rPr>
              <w:t>（</w:t>
            </w: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</w:t>
            </w:r>
            <w:r w:rsidRPr="00FF7B92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FF7B92">
              <w:rPr>
                <w:rFonts w:ascii="宋体" w:hAnsi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FF7B92" w:rsidRPr="00FF7B92" w:rsidTr="00FF7B92">
        <w:trPr>
          <w:trHeight w:val="506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(1.00, 5.00)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10.50 (2.25, 16.50)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FF7B92" w:rsidRPr="00FF7B92" w:rsidTr="00FF7B92">
        <w:trPr>
          <w:trHeight w:val="4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Favorites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 (0.00, 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 (1.25, 7.00)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0.100</w:t>
            </w:r>
          </w:p>
        </w:tc>
      </w:tr>
      <w:tr w:rsidR="00FF7B92" w:rsidRPr="00FF7B92" w:rsidTr="00FF7B92">
        <w:trPr>
          <w:trHeight w:val="4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 (0.00, 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0.923</w:t>
            </w:r>
          </w:p>
        </w:tc>
      </w:tr>
      <w:tr w:rsidR="00FF7B92" w:rsidRPr="00FF7B92" w:rsidTr="00FF7B92">
        <w:trPr>
          <w:trHeight w:val="4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 (0.00, 4.00)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 (0.00, 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0.589</w:t>
            </w:r>
          </w:p>
        </w:tc>
      </w:tr>
      <w:tr w:rsidR="00FF7B92" w:rsidRPr="00FF7B92" w:rsidTr="00FF7B92">
        <w:trPr>
          <w:trHeight w:val="4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mDISCERN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 (1.00,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(2.00, 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0.043</w:t>
            </w:r>
          </w:p>
        </w:tc>
      </w:tr>
      <w:tr w:rsidR="00FF7B92" w:rsidRPr="00FF7B92" w:rsidTr="00FF7B92">
        <w:trPr>
          <w:trHeight w:val="4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GQS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 (1.00,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 (1.00,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FF7B92" w:rsidRPr="00FF7B92" w:rsidTr="00FF7B92">
        <w:trPr>
          <w:trHeight w:val="50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10.00 (10.00, 11.00)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12.50 (12.00, 13.75)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F7B92" w:rsidRPr="00FF7B92" w:rsidRDefault="00FF7B92" w:rsidP="00FF7B9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F7B92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:rsidR="00FF7B92" w:rsidRDefault="00FF7B92">
      <w:pPr>
        <w:rPr>
          <w:rFonts w:hint="eastAsia"/>
        </w:rPr>
      </w:pPr>
      <w:bookmarkStart w:id="2" w:name="OLE_LINK184"/>
      <w:bookmarkStart w:id="3" w:name="OLE_LINK185"/>
      <w:bookmarkStart w:id="4" w:name="OLE_LINK186"/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 xml:space="preserve">Notes: Continuous variables are expressed as median (interquartile range). The Mann–Whitney U test was used for comparison of continuous variables between the two subgroups. </w:t>
      </w:r>
      <w:r w:rsidRPr="001F5931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>-values &lt; 0.05 were considered statistically significant. mDISCERN, modified DISCERN; GQS, Global Quality Scale; VIQI, Video Information and Quality Index.</w:t>
      </w:r>
      <w:bookmarkStart w:id="5" w:name="_GoBack"/>
      <w:bookmarkEnd w:id="2"/>
      <w:bookmarkEnd w:id="3"/>
      <w:bookmarkEnd w:id="4"/>
      <w:bookmarkEnd w:id="5"/>
    </w:p>
    <w:sectPr w:rsidR="00FF7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F0"/>
    <w:rsid w:val="002D1686"/>
    <w:rsid w:val="00AC54F0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E7B2E"/>
  <w15:chartTrackingRefBased/>
  <w15:docId w15:val="{62E48C87-FA84-499A-A067-48767774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B9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2026-05-11T05:44:00Z</dcterms:created>
  <dcterms:modified xsi:type="dcterms:W3CDTF">2026-05-11T05:46:00Z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65fd0d5f-db12-49c9-81ef-cc6f557f5b76</vt:lpwstr>
  </property>
</Properties>
</file>