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FE384">
      <w:pPr>
        <w:jc w:val="center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Supplementary Information</w:t>
      </w:r>
    </w:p>
    <w:p w14:paraId="24DEFC54">
      <w:pPr>
        <w:jc w:val="center"/>
        <w:rPr>
          <w:rFonts w:ascii="Times New Roman" w:hAnsi="Times New Roman" w:eastAsia="宋体" w:cs="Times New Roman"/>
          <w:b/>
          <w:bCs/>
          <w:sz w:val="24"/>
        </w:rPr>
      </w:pPr>
    </w:p>
    <w:p w14:paraId="79A7B807">
      <w:pPr>
        <w:adjustRightInd w:val="0"/>
        <w:snapToGrid w:val="0"/>
        <w:spacing w:line="360" w:lineRule="auto"/>
        <w:jc w:val="center"/>
        <w:rPr>
          <w:rFonts w:ascii="Times New Roman" w:hAnsi="Times New Roman" w:eastAsia="宋体" w:cs="Times New Roman"/>
          <w:b/>
          <w:bCs/>
          <w:kern w:val="0"/>
          <w:sz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</w:rPr>
        <w:t>A MBene-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>based</w:t>
      </w:r>
      <w:r>
        <w:rPr>
          <w:rFonts w:ascii="Times New Roman" w:hAnsi="Times New Roman" w:eastAsia="宋体" w:cs="Times New Roman"/>
          <w:b/>
          <w:bCs/>
          <w:kern w:val="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>e</w:t>
      </w:r>
      <w:r>
        <w:rPr>
          <w:rFonts w:ascii="Times New Roman" w:hAnsi="Times New Roman" w:eastAsia="宋体" w:cs="Times New Roman"/>
          <w:b/>
          <w:bCs/>
          <w:kern w:val="0"/>
          <w:sz w:val="24"/>
        </w:rPr>
        <w:t xml:space="preserve">lectrochemical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>a</w:t>
      </w:r>
      <w:r>
        <w:rPr>
          <w:rFonts w:ascii="Times New Roman" w:hAnsi="Times New Roman" w:eastAsia="宋体" w:cs="Times New Roman"/>
          <w:b/>
          <w:bCs/>
          <w:kern w:val="0"/>
          <w:sz w:val="24"/>
        </w:rPr>
        <w:t xml:space="preserve">ptasensor for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>l</w:t>
      </w:r>
      <w:r>
        <w:rPr>
          <w:rFonts w:ascii="Times New Roman" w:hAnsi="Times New Roman" w:eastAsia="宋体" w:cs="Times New Roman"/>
          <w:b/>
          <w:bCs/>
          <w:kern w:val="0"/>
          <w:sz w:val="24"/>
        </w:rPr>
        <w:t>abel-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>f</w:t>
      </w:r>
      <w:r>
        <w:rPr>
          <w:rFonts w:ascii="Times New Roman" w:hAnsi="Times New Roman" w:eastAsia="宋体" w:cs="Times New Roman"/>
          <w:b/>
          <w:bCs/>
          <w:kern w:val="0"/>
          <w:sz w:val="24"/>
        </w:rPr>
        <w:t xml:space="preserve">ree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>d</w:t>
      </w:r>
      <w:r>
        <w:rPr>
          <w:rFonts w:ascii="Times New Roman" w:hAnsi="Times New Roman" w:eastAsia="宋体" w:cs="Times New Roman"/>
          <w:b/>
          <w:bCs/>
          <w:kern w:val="0"/>
          <w:sz w:val="24"/>
        </w:rPr>
        <w:t>etection of EpCAM-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>o</w:t>
      </w:r>
      <w:r>
        <w:rPr>
          <w:rFonts w:ascii="Times New Roman" w:hAnsi="Times New Roman" w:eastAsia="宋体" w:cs="Times New Roman"/>
          <w:b/>
          <w:bCs/>
          <w:kern w:val="0"/>
          <w:sz w:val="24"/>
        </w:rPr>
        <w:t xml:space="preserve">verexpressing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>cancer</w:t>
      </w:r>
      <w:r>
        <w:rPr>
          <w:rFonts w:ascii="Times New Roman" w:hAnsi="Times New Roman" w:eastAsia="宋体" w:cs="Times New Roman"/>
          <w:b/>
          <w:bCs/>
          <w:kern w:val="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</w:rPr>
        <w:t>c</w:t>
      </w:r>
      <w:r>
        <w:rPr>
          <w:rFonts w:ascii="Times New Roman" w:hAnsi="Times New Roman" w:eastAsia="宋体" w:cs="Times New Roman"/>
          <w:b/>
          <w:bCs/>
          <w:kern w:val="0"/>
          <w:sz w:val="24"/>
        </w:rPr>
        <w:t>ells</w:t>
      </w:r>
    </w:p>
    <w:p w14:paraId="34DD3633">
      <w:pPr>
        <w:pStyle w:val="9"/>
        <w:spacing w:after="0" w:line="360" w:lineRule="auto"/>
        <w:rPr>
          <w:rFonts w:ascii="Times New Roman" w:hAnsi="Times New Roman" w:eastAsiaTheme="minorEastAsia"/>
          <w:b w:val="0"/>
          <w:bCs/>
          <w:sz w:val="24"/>
          <w:szCs w:val="24"/>
          <w:lang w:eastAsia="zh-CN"/>
        </w:rPr>
      </w:pPr>
    </w:p>
    <w:p w14:paraId="039677D7">
      <w:pPr>
        <w:pStyle w:val="9"/>
        <w:spacing w:after="0" w:line="360" w:lineRule="auto"/>
        <w:jc w:val="center"/>
        <w:rPr>
          <w:rFonts w:ascii="Times New Roman" w:hAnsi="Times New Roman"/>
          <w:b w:val="0"/>
          <w:bCs/>
          <w:sz w:val="21"/>
          <w:szCs w:val="21"/>
        </w:rPr>
      </w:pPr>
      <w:r>
        <w:rPr>
          <w:rFonts w:ascii="Times New Roman" w:hAnsi="Times New Roman" w:eastAsiaTheme="minorEastAsia"/>
          <w:b w:val="0"/>
          <w:bCs/>
          <w:sz w:val="21"/>
          <w:szCs w:val="21"/>
          <w:lang w:eastAsia="zh-CN"/>
        </w:rPr>
        <w:t>Min</w:t>
      </w:r>
      <w:r>
        <w:rPr>
          <w:rFonts w:ascii="Times New Roman" w:hAnsi="Times New Roman"/>
          <w:b w:val="0"/>
          <w:bCs/>
          <w:sz w:val="21"/>
          <w:szCs w:val="21"/>
          <w:lang w:eastAsia="zh-CN"/>
        </w:rPr>
        <w:t xml:space="preserve"> Li</w:t>
      </w:r>
      <w:r>
        <w:rPr>
          <w:rFonts w:hint="eastAsia" w:ascii="Times New Roman" w:hAnsi="Times New Roman"/>
          <w:b w:val="0"/>
          <w:bCs/>
          <w:sz w:val="21"/>
          <w:szCs w:val="21"/>
          <w:vertAlign w:val="superscript"/>
          <w:lang w:eastAsia="zh-CN"/>
        </w:rPr>
        <w:t>a,</w:t>
      </w:r>
      <w:r>
        <w:rPr>
          <w:rFonts w:ascii="Times New Roman" w:hAnsi="Times New Roman"/>
          <w:b w:val="0"/>
          <w:bCs/>
          <w:sz w:val="21"/>
          <w:szCs w:val="21"/>
          <w:vertAlign w:val="superscript"/>
          <w:lang w:eastAsia="zh-CN"/>
        </w:rPr>
        <w:t>1</w:t>
      </w:r>
      <w:r>
        <w:rPr>
          <w:rFonts w:ascii="Times New Roman" w:hAnsi="Times New Roman"/>
          <w:b w:val="0"/>
          <w:bCs/>
          <w:sz w:val="21"/>
          <w:szCs w:val="21"/>
          <w:lang w:eastAsia="zh-CN"/>
        </w:rPr>
        <w:t>,Yue Jiang</w:t>
      </w:r>
      <w:r>
        <w:rPr>
          <w:rFonts w:hint="eastAsia" w:ascii="Times New Roman" w:hAnsi="Times New Roman"/>
          <w:b w:val="0"/>
          <w:bCs/>
          <w:sz w:val="21"/>
          <w:szCs w:val="21"/>
          <w:vertAlign w:val="superscript"/>
          <w:lang w:eastAsia="zh-CN"/>
        </w:rPr>
        <w:t>b,1</w:t>
      </w:r>
      <w:r>
        <w:rPr>
          <w:rFonts w:ascii="Times New Roman" w:hAnsi="Times New Roman"/>
          <w:b w:val="0"/>
          <w:bCs/>
          <w:sz w:val="21"/>
          <w:szCs w:val="21"/>
          <w:lang w:eastAsia="zh-CN"/>
        </w:rPr>
        <w:t>, Yang Huang</w:t>
      </w:r>
      <w:r>
        <w:rPr>
          <w:rFonts w:hint="eastAsia" w:ascii="Times New Roman" w:hAnsi="Times New Roman"/>
          <w:b w:val="0"/>
          <w:bCs/>
          <w:sz w:val="21"/>
          <w:szCs w:val="21"/>
          <w:vertAlign w:val="superscript"/>
          <w:lang w:eastAsia="zh-CN"/>
        </w:rPr>
        <w:t>b</w:t>
      </w:r>
      <w:r>
        <w:rPr>
          <w:rFonts w:ascii="Times New Roman" w:hAnsi="Times New Roman"/>
          <w:b w:val="0"/>
          <w:bCs/>
          <w:sz w:val="21"/>
          <w:szCs w:val="21"/>
          <w:lang w:eastAsia="zh-CN"/>
        </w:rPr>
        <w:t xml:space="preserve">, </w:t>
      </w:r>
      <w:r>
        <w:rPr>
          <w:rFonts w:ascii="Times New Roman" w:hAnsi="Times New Roman" w:eastAsiaTheme="minorEastAsia"/>
          <w:b w:val="0"/>
          <w:bCs/>
          <w:sz w:val="21"/>
          <w:szCs w:val="21"/>
          <w:lang w:eastAsia="zh-CN"/>
        </w:rPr>
        <w:t>Wei Chen</w:t>
      </w:r>
      <w:r>
        <w:rPr>
          <w:rFonts w:hint="eastAsia" w:ascii="Times New Roman" w:hAnsi="Times New Roman"/>
          <w:b w:val="0"/>
          <w:bCs/>
          <w:sz w:val="21"/>
          <w:szCs w:val="21"/>
          <w:vertAlign w:val="superscript"/>
          <w:lang w:eastAsia="zh-CN"/>
        </w:rPr>
        <w:t>c</w:t>
      </w:r>
      <w:r>
        <w:rPr>
          <w:rFonts w:ascii="Times New Roman" w:hAnsi="Times New Roman"/>
          <w:b w:val="0"/>
          <w:bCs/>
          <w:sz w:val="21"/>
          <w:szCs w:val="21"/>
          <w:lang w:eastAsia="zh-CN"/>
        </w:rPr>
        <w:t>, Yan Li</w:t>
      </w:r>
      <w:r>
        <w:rPr>
          <w:rFonts w:hint="eastAsia" w:ascii="Times New Roman" w:hAnsi="Times New Roman" w:eastAsia="宋体"/>
          <w:b w:val="0"/>
          <w:bCs/>
          <w:sz w:val="21"/>
          <w:szCs w:val="21"/>
          <w:vertAlign w:val="superscript"/>
          <w:lang w:eastAsia="zh-CN"/>
        </w:rPr>
        <w:t>d</w:t>
      </w:r>
      <w:r>
        <w:rPr>
          <w:rFonts w:ascii="Times New Roman" w:hAnsi="Times New Roman"/>
          <w:b w:val="0"/>
          <w:bCs/>
          <w:sz w:val="21"/>
          <w:szCs w:val="21"/>
          <w:lang w:eastAsia="zh-CN"/>
        </w:rPr>
        <w:t>, Dongxin Liang</w:t>
      </w:r>
      <w:r>
        <w:rPr>
          <w:rFonts w:hint="eastAsia" w:ascii="Times New Roman" w:hAnsi="Times New Roman"/>
          <w:b w:val="0"/>
          <w:bCs/>
          <w:sz w:val="21"/>
          <w:szCs w:val="21"/>
          <w:vertAlign w:val="superscript"/>
          <w:lang w:eastAsia="zh-CN"/>
        </w:rPr>
        <w:t>a</w:t>
      </w:r>
      <w:r>
        <w:rPr>
          <w:rFonts w:ascii="Times New Roman" w:hAnsi="Times New Roman"/>
          <w:b w:val="0"/>
          <w:bCs/>
          <w:sz w:val="21"/>
          <w:szCs w:val="21"/>
          <w:lang w:eastAsia="zh-CN"/>
        </w:rPr>
        <w:t xml:space="preserve">, </w:t>
      </w:r>
      <w:r>
        <w:rPr>
          <w:rFonts w:hint="eastAsia" w:ascii="Times New Roman" w:hAnsi="Times New Roman"/>
          <w:b w:val="0"/>
          <w:bCs/>
          <w:sz w:val="21"/>
          <w:szCs w:val="21"/>
          <w:lang w:eastAsia="zh-CN"/>
        </w:rPr>
        <w:t>Yuqi Wang</w:t>
      </w:r>
      <w:r>
        <w:rPr>
          <w:rFonts w:hint="eastAsia" w:ascii="Times New Roman" w:hAnsi="Times New Roman"/>
          <w:b w:val="0"/>
          <w:bCs/>
          <w:sz w:val="21"/>
          <w:szCs w:val="21"/>
          <w:vertAlign w:val="superscript"/>
          <w:lang w:eastAsia="zh-CN"/>
        </w:rPr>
        <w:t>a</w:t>
      </w:r>
      <w:r>
        <w:rPr>
          <w:rFonts w:hint="eastAsia" w:ascii="Times New Roman" w:hAnsi="Times New Roman"/>
          <w:b w:val="0"/>
          <w:bCs/>
          <w:sz w:val="21"/>
          <w:szCs w:val="21"/>
          <w:lang w:eastAsia="zh-CN"/>
        </w:rPr>
        <w:t>, Qian Qie</w:t>
      </w:r>
      <w:r>
        <w:rPr>
          <w:rFonts w:hint="eastAsia" w:ascii="Times New Roman" w:hAnsi="Times New Roman"/>
          <w:b w:val="0"/>
          <w:bCs/>
          <w:sz w:val="21"/>
          <w:szCs w:val="21"/>
          <w:vertAlign w:val="superscript"/>
          <w:lang w:eastAsia="zh-CN"/>
        </w:rPr>
        <w:t>a</w:t>
      </w:r>
      <w:r>
        <w:rPr>
          <w:rFonts w:hint="eastAsia" w:ascii="Times New Roman" w:hAnsi="Times New Roman"/>
          <w:b w:val="0"/>
          <w:bCs/>
          <w:sz w:val="21"/>
          <w:szCs w:val="21"/>
          <w:lang w:eastAsia="zh-CN"/>
        </w:rPr>
        <w:t>, Jiaxian Yuan</w:t>
      </w:r>
      <w:r>
        <w:rPr>
          <w:rFonts w:hint="eastAsia" w:ascii="Times New Roman" w:hAnsi="Times New Roman"/>
          <w:b w:val="0"/>
          <w:bCs/>
          <w:sz w:val="21"/>
          <w:szCs w:val="21"/>
          <w:vertAlign w:val="superscript"/>
          <w:lang w:eastAsia="zh-CN"/>
        </w:rPr>
        <w:t>c</w:t>
      </w:r>
      <w:r>
        <w:rPr>
          <w:rFonts w:hint="eastAsia" w:ascii="Times New Roman" w:hAnsi="Times New Roman"/>
          <w:b w:val="0"/>
          <w:bCs/>
          <w:sz w:val="21"/>
          <w:szCs w:val="21"/>
          <w:lang w:eastAsia="zh-CN"/>
        </w:rPr>
        <w:t>, Jiahui Zhang</w:t>
      </w:r>
      <w:r>
        <w:rPr>
          <w:rFonts w:hint="eastAsia" w:ascii="Times New Roman" w:hAnsi="Times New Roman"/>
          <w:b w:val="0"/>
          <w:bCs/>
          <w:sz w:val="21"/>
          <w:szCs w:val="21"/>
          <w:vertAlign w:val="superscript"/>
          <w:lang w:eastAsia="zh-CN"/>
        </w:rPr>
        <w:t>a</w:t>
      </w:r>
      <w:r>
        <w:rPr>
          <w:rFonts w:hint="eastAsia" w:ascii="Times New Roman" w:hAnsi="Times New Roman"/>
          <w:b w:val="0"/>
          <w:bCs/>
          <w:sz w:val="21"/>
          <w:szCs w:val="21"/>
          <w:lang w:eastAsia="zh-CN"/>
        </w:rPr>
        <w:t>, Yuan Zhang</w:t>
      </w:r>
      <w:r>
        <w:rPr>
          <w:rFonts w:hint="eastAsia" w:ascii="Times New Roman" w:hAnsi="Times New Roman"/>
          <w:b w:val="0"/>
          <w:bCs/>
          <w:sz w:val="21"/>
          <w:szCs w:val="21"/>
          <w:vertAlign w:val="superscript"/>
          <w:lang w:eastAsia="zh-CN"/>
        </w:rPr>
        <w:t>a</w:t>
      </w:r>
      <w:r>
        <w:rPr>
          <w:rFonts w:hint="eastAsia" w:ascii="Times New Roman" w:hAnsi="Times New Roman"/>
          <w:b w:val="0"/>
          <w:bCs/>
          <w:sz w:val="21"/>
          <w:szCs w:val="21"/>
          <w:lang w:eastAsia="zh-CN"/>
        </w:rPr>
        <w:t>, Siyu Yang</w:t>
      </w:r>
      <w:r>
        <w:rPr>
          <w:rFonts w:hint="eastAsia" w:ascii="Times New Roman" w:hAnsi="Times New Roman"/>
          <w:b w:val="0"/>
          <w:bCs/>
          <w:sz w:val="21"/>
          <w:szCs w:val="21"/>
          <w:vertAlign w:val="superscript"/>
          <w:lang w:eastAsia="zh-CN"/>
        </w:rPr>
        <w:t>a</w:t>
      </w:r>
      <w:r>
        <w:rPr>
          <w:rFonts w:hint="eastAsia" w:ascii="Times New Roman" w:hAnsi="Times New Roman"/>
          <w:b w:val="0"/>
          <w:bCs/>
          <w:sz w:val="21"/>
          <w:szCs w:val="21"/>
          <w:lang w:eastAsia="zh-CN"/>
        </w:rPr>
        <w:t>, Xin He</w:t>
      </w:r>
      <w:r>
        <w:rPr>
          <w:rFonts w:hint="eastAsia" w:ascii="Times New Roman" w:hAnsi="Times New Roman"/>
          <w:b w:val="0"/>
          <w:bCs/>
          <w:sz w:val="21"/>
          <w:szCs w:val="21"/>
          <w:vertAlign w:val="superscript"/>
          <w:lang w:eastAsia="zh-CN"/>
        </w:rPr>
        <w:t>a</w:t>
      </w:r>
      <w:r>
        <w:rPr>
          <w:rFonts w:hint="eastAsia" w:ascii="Times New Roman" w:hAnsi="Times New Roman"/>
          <w:b w:val="0"/>
          <w:bCs/>
          <w:sz w:val="21"/>
          <w:szCs w:val="21"/>
          <w:lang w:eastAsia="zh-CN"/>
        </w:rPr>
        <w:t>, Zhaoyi Zhang</w:t>
      </w:r>
      <w:r>
        <w:rPr>
          <w:rFonts w:hint="eastAsia" w:ascii="Times New Roman" w:hAnsi="Times New Roman"/>
          <w:b w:val="0"/>
          <w:bCs/>
          <w:sz w:val="21"/>
          <w:szCs w:val="21"/>
          <w:vertAlign w:val="superscript"/>
          <w:lang w:eastAsia="zh-CN"/>
        </w:rPr>
        <w:t>a</w:t>
      </w:r>
      <w:r>
        <w:rPr>
          <w:rFonts w:ascii="Times New Roman" w:hAnsi="Times New Roman"/>
          <w:b w:val="0"/>
          <w:bCs/>
          <w:sz w:val="21"/>
          <w:szCs w:val="21"/>
        </w:rPr>
        <w:t>,</w:t>
      </w:r>
      <w:r>
        <w:rPr>
          <w:rFonts w:ascii="Times New Roman" w:hAnsi="Times New Roman" w:eastAsiaTheme="minorEastAsia"/>
          <w:b w:val="0"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b w:val="0"/>
          <w:bCs/>
          <w:sz w:val="21"/>
          <w:szCs w:val="21"/>
        </w:rPr>
        <w:t>Liping Du</w:t>
      </w:r>
      <w:r>
        <w:rPr>
          <w:rFonts w:hint="eastAsia" w:ascii="Times New Roman" w:hAnsi="Times New Roman" w:eastAsia="宋体"/>
          <w:b w:val="0"/>
          <w:bCs/>
          <w:sz w:val="21"/>
          <w:szCs w:val="21"/>
          <w:vertAlign w:val="superscript"/>
          <w:lang w:eastAsia="zh-CN"/>
        </w:rPr>
        <w:t>c,</w:t>
      </w:r>
      <w:r>
        <w:rPr>
          <w:rFonts w:ascii="Times New Roman" w:hAnsi="Times New Roman"/>
          <w:b w:val="0"/>
          <w:bCs/>
          <w:sz w:val="21"/>
          <w:szCs w:val="21"/>
          <w:vertAlign w:val="superscript"/>
        </w:rPr>
        <w:t>*</w:t>
      </w:r>
      <w:r>
        <w:rPr>
          <w:rFonts w:ascii="Times New Roman" w:hAnsi="Times New Roman"/>
          <w:b w:val="0"/>
          <w:bCs/>
          <w:sz w:val="21"/>
          <w:szCs w:val="21"/>
        </w:rPr>
        <w:t xml:space="preserve">, </w:t>
      </w:r>
      <w:bookmarkStart w:id="0" w:name="_Hlk123307234"/>
      <w:bookmarkStart w:id="1" w:name="OLE_LINK89"/>
      <w:r>
        <w:rPr>
          <w:rFonts w:ascii="Times New Roman" w:hAnsi="Times New Roman"/>
          <w:b w:val="0"/>
          <w:bCs/>
          <w:sz w:val="21"/>
          <w:szCs w:val="21"/>
        </w:rPr>
        <w:t>Chunsheng Wu</w:t>
      </w:r>
      <w:r>
        <w:rPr>
          <w:rFonts w:hint="eastAsia" w:ascii="Times New Roman" w:hAnsi="Times New Roman" w:eastAsia="宋体"/>
          <w:b w:val="0"/>
          <w:bCs/>
          <w:sz w:val="21"/>
          <w:szCs w:val="21"/>
          <w:vertAlign w:val="superscript"/>
          <w:lang w:eastAsia="zh-CN"/>
        </w:rPr>
        <w:t>c,</w:t>
      </w:r>
      <w:r>
        <w:rPr>
          <w:rFonts w:ascii="Times New Roman" w:hAnsi="Times New Roman"/>
          <w:b w:val="0"/>
          <w:bCs/>
          <w:sz w:val="21"/>
          <w:szCs w:val="21"/>
          <w:vertAlign w:val="superscript"/>
        </w:rPr>
        <w:t>*</w:t>
      </w:r>
      <w:r>
        <w:rPr>
          <w:rFonts w:ascii="Times New Roman" w:hAnsi="Times New Roman"/>
          <w:b w:val="0"/>
          <w:bCs/>
          <w:sz w:val="21"/>
          <w:szCs w:val="21"/>
        </w:rPr>
        <w:t>, Qilin</w:t>
      </w:r>
      <w:r>
        <w:rPr>
          <w:rFonts w:ascii="Times New Roman" w:hAnsi="Times New Roman" w:eastAsiaTheme="minorEastAsia"/>
          <w:b w:val="0"/>
          <w:bCs/>
          <w:sz w:val="21"/>
          <w:szCs w:val="21"/>
          <w:lang w:eastAsia="zh-CN"/>
        </w:rPr>
        <w:t>g</w:t>
      </w:r>
      <w:r>
        <w:rPr>
          <w:rFonts w:ascii="Times New Roman" w:hAnsi="Times New Roman"/>
          <w:b w:val="0"/>
          <w:bCs/>
          <w:sz w:val="21"/>
          <w:szCs w:val="21"/>
        </w:rPr>
        <w:t xml:space="preserve"> Li</w:t>
      </w:r>
      <w:r>
        <w:rPr>
          <w:rFonts w:hint="eastAsia" w:ascii="Times New Roman" w:hAnsi="Times New Roman" w:eastAsia="宋体"/>
          <w:b w:val="0"/>
          <w:bCs/>
          <w:sz w:val="21"/>
          <w:szCs w:val="21"/>
          <w:vertAlign w:val="superscript"/>
          <w:lang w:eastAsia="zh-CN"/>
        </w:rPr>
        <w:t>a,</w:t>
      </w:r>
      <w:bookmarkEnd w:id="0"/>
      <w:bookmarkEnd w:id="1"/>
      <w:r>
        <w:rPr>
          <w:rFonts w:ascii="Times New Roman" w:hAnsi="Times New Roman"/>
          <w:b w:val="0"/>
          <w:bCs/>
          <w:sz w:val="21"/>
          <w:szCs w:val="21"/>
          <w:vertAlign w:val="superscript"/>
        </w:rPr>
        <w:t>*</w:t>
      </w:r>
    </w:p>
    <w:p w14:paraId="7AF2F19A">
      <w:pPr>
        <w:rPr>
          <w:rFonts w:ascii="Times New Roman" w:hAnsi="Times New Roman" w:cs="Times New Roman"/>
          <w:sz w:val="24"/>
          <w:highlight w:val="yellow"/>
          <w:lang w:eastAsia="de-DE" w:bidi="en-US"/>
        </w:rPr>
      </w:pPr>
    </w:p>
    <w:p w14:paraId="3987CE5B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vertAlign w:val="superscript"/>
        </w:rPr>
        <w:t>a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Department of Obstetrics and Gynecology, the First Affiliated Hospital of Xi</w:t>
      </w:r>
      <w:r>
        <w:rPr>
          <w:rFonts w:ascii="Times New Roman" w:hAnsi="Times New Roman" w:cs="Times New Roman"/>
          <w:szCs w:val="21"/>
        </w:rPr>
        <w:t>’</w:t>
      </w:r>
      <w:r>
        <w:rPr>
          <w:rFonts w:hint="eastAsia" w:ascii="Times New Roman" w:hAnsi="Times New Roman" w:cs="Times New Roman"/>
          <w:szCs w:val="21"/>
        </w:rPr>
        <w:t>an Jiaotong University, Xi</w:t>
      </w:r>
      <w:r>
        <w:rPr>
          <w:rFonts w:ascii="Times New Roman" w:hAnsi="Times New Roman" w:cs="Times New Roman"/>
          <w:szCs w:val="21"/>
        </w:rPr>
        <w:t>’</w:t>
      </w:r>
      <w:r>
        <w:rPr>
          <w:rFonts w:hint="eastAsia" w:ascii="Times New Roman" w:hAnsi="Times New Roman" w:cs="Times New Roman"/>
          <w:szCs w:val="21"/>
        </w:rPr>
        <w:t>an, 710061, China</w:t>
      </w:r>
    </w:p>
    <w:p w14:paraId="7F4AE79E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vertAlign w:val="superscript"/>
        </w:rPr>
        <w:t>b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>The Hong Kong University of Science and Technology (Guangzhou), Advanced Materials Thrust, Nansha, Guangzhou, 511400, China</w:t>
      </w:r>
    </w:p>
    <w:p w14:paraId="7B1D8A49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vertAlign w:val="superscript"/>
        </w:rPr>
        <w:t>c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Institu</w:t>
      </w:r>
      <w:r>
        <w:rPr>
          <w:rFonts w:hint="eastAsia" w:ascii="Times New Roman" w:hAnsi="Times New Roman" w:cs="Times New Roman"/>
          <w:szCs w:val="21"/>
        </w:rPr>
        <w:t>t</w:t>
      </w:r>
      <w:r>
        <w:rPr>
          <w:rFonts w:ascii="Times New Roman" w:hAnsi="Times New Roman" w:cs="Times New Roman"/>
          <w:szCs w:val="21"/>
        </w:rPr>
        <w:t>e of Medical Engineering, Department of Biophysics, School of Basic Medical Sciences, Xi’an Jiaotong University, Xi’an, 710061, China</w:t>
      </w:r>
    </w:p>
    <w:p w14:paraId="2CF56376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vertAlign w:val="superscript"/>
        </w:rPr>
        <w:t xml:space="preserve">d </w:t>
      </w:r>
      <w:r>
        <w:rPr>
          <w:rFonts w:ascii="Times New Roman" w:hAnsi="Times New Roman" w:cs="Times New Roman"/>
          <w:szCs w:val="21"/>
        </w:rPr>
        <w:t>School of Computer Science and Technology, Faculty of Electronic and Information Engineering, Xi'an Jiaotong University, Xi’an, 710061, China</w:t>
      </w:r>
    </w:p>
    <w:p w14:paraId="3B9718F7">
      <w:pPr>
        <w:adjustRightInd w:val="0"/>
        <w:snapToGrid w:val="0"/>
        <w:spacing w:line="480" w:lineRule="auto"/>
        <w:rPr>
          <w:rFonts w:ascii="Times New Roman" w:hAnsi="Times New Roman" w:eastAsia="等线" w:cs="Times New Roman"/>
          <w:color w:val="000000"/>
          <w:szCs w:val="21"/>
          <w:vertAlign w:val="superscript"/>
        </w:rPr>
      </w:pPr>
    </w:p>
    <w:p w14:paraId="350F0ABC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="等线" w:cs="Times New Roman"/>
          <w:color w:val="000000"/>
          <w:szCs w:val="21"/>
          <w:vertAlign w:val="superscript"/>
        </w:rPr>
        <w:t>1</w:t>
      </w:r>
      <w:r>
        <w:rPr>
          <w:rFonts w:hint="eastAsia" w:ascii="Times New Roman" w:hAnsi="Times New Roman" w:eastAsia="等线" w:cs="Times New Roman"/>
          <w:color w:val="000000"/>
          <w:szCs w:val="21"/>
        </w:rPr>
        <w:t>These authors contributed equally to this work.</w:t>
      </w:r>
    </w:p>
    <w:p w14:paraId="3C5AC41F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Cs w:val="21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ascii="Times New Roman" w:hAnsi="Times New Roman" w:eastAsia="等线" w:cs="Times New Roman"/>
          <w:color w:val="000000"/>
          <w:szCs w:val="21"/>
        </w:rPr>
        <w:t>Correspond</w:t>
      </w:r>
      <w:r>
        <w:rPr>
          <w:rFonts w:hint="eastAsia" w:ascii="Times New Roman" w:hAnsi="Times New Roman" w:eastAsia="等线" w:cs="Times New Roman"/>
          <w:color w:val="000000"/>
          <w:szCs w:val="21"/>
        </w:rPr>
        <w:t>ing</w:t>
      </w:r>
      <w:r>
        <w:rPr>
          <w:rFonts w:ascii="Times New Roman" w:hAnsi="Times New Roman" w:eastAsia="等线" w:cs="Times New Roman"/>
          <w:color w:val="000000"/>
          <w:szCs w:val="21"/>
        </w:rPr>
        <w:t xml:space="preserve"> author</w:t>
      </w:r>
      <w:r>
        <w:rPr>
          <w:rFonts w:hint="eastAsia" w:ascii="Times New Roman" w:hAnsi="Times New Roman" w:eastAsia="等线" w:cs="Times New Roman"/>
          <w:color w:val="000000"/>
          <w:szCs w:val="21"/>
        </w:rPr>
        <w:t>s:</w:t>
      </w:r>
      <w:r>
        <w:rPr>
          <w:rFonts w:ascii="Times New Roman" w:hAnsi="Times New Roman" w:cs="Times New Roman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bCs/>
          <w:szCs w:val="21"/>
        </w:rPr>
        <w:t>Liping Du</w:t>
      </w:r>
      <w:r>
        <w:rPr>
          <w:rFonts w:hint="eastAsia" w:ascii="Times New Roman" w:hAnsi="Times New Roman"/>
          <w:bCs/>
          <w:szCs w:val="21"/>
        </w:rPr>
        <w:t xml:space="preserve"> (</w:t>
      </w:r>
      <w:r>
        <w:fldChar w:fldCharType="begin"/>
      </w:r>
      <w:r>
        <w:instrText xml:space="preserve"> HYPERLINK "mailto:duliping@xjtu.edu.cn" </w:instrText>
      </w:r>
      <w:r>
        <w:fldChar w:fldCharType="separate"/>
      </w:r>
      <w:r>
        <w:rPr>
          <w:rStyle w:val="6"/>
          <w:rFonts w:ascii="Times New Roman" w:hAnsi="Times New Roman" w:cs="Times New Roman"/>
          <w:color w:val="auto"/>
          <w:szCs w:val="21"/>
          <w:u w:val="none"/>
        </w:rPr>
        <w:t>duliping@xjtu.edu.cn</w:t>
      </w:r>
      <w:r>
        <w:rPr>
          <w:rStyle w:val="6"/>
          <w:rFonts w:ascii="Times New Roman" w:hAnsi="Times New Roman" w:cs="Times New Roman"/>
          <w:color w:val="auto"/>
          <w:szCs w:val="21"/>
          <w:u w:val="none"/>
        </w:rPr>
        <w:fldChar w:fldCharType="end"/>
      </w:r>
      <w:r>
        <w:rPr>
          <w:rFonts w:hint="eastAsia" w:ascii="Times New Roman" w:hAnsi="Times New Roman"/>
          <w:bCs/>
          <w:szCs w:val="21"/>
        </w:rPr>
        <w:t>)</w:t>
      </w:r>
      <w:r>
        <w:rPr>
          <w:rFonts w:ascii="Times New Roman" w:hAnsi="Times New Roman"/>
          <w:bCs/>
          <w:szCs w:val="21"/>
        </w:rPr>
        <w:t>, Chunsheng Wu</w:t>
      </w:r>
      <w:r>
        <w:rPr>
          <w:rFonts w:hint="eastAsia" w:ascii="Times New Roman" w:hAnsi="Times New Roman"/>
          <w:bCs/>
          <w:szCs w:val="21"/>
        </w:rPr>
        <w:t xml:space="preserve"> (</w:t>
      </w:r>
      <w:r>
        <w:rPr>
          <w:rStyle w:val="6"/>
          <w:rFonts w:ascii="Times New Roman" w:hAnsi="Times New Roman" w:eastAsia="等线" w:cs="Times New Roman"/>
          <w:bCs/>
          <w:color w:val="auto"/>
          <w:szCs w:val="21"/>
          <w:u w:val="none"/>
        </w:rPr>
        <w:t>wuchunsheng@xjtu.edu.cn</w:t>
      </w:r>
      <w:r>
        <w:rPr>
          <w:rFonts w:hint="eastAsia" w:ascii="Times New Roman" w:hAnsi="Times New Roman"/>
          <w:bCs/>
          <w:szCs w:val="21"/>
        </w:rPr>
        <w:t>)</w:t>
      </w:r>
      <w:r>
        <w:rPr>
          <w:rFonts w:ascii="Times New Roman" w:hAnsi="Times New Roman"/>
          <w:bCs/>
          <w:szCs w:val="21"/>
        </w:rPr>
        <w:t>, Qiling Li</w:t>
      </w:r>
      <w:r>
        <w:rPr>
          <w:rFonts w:hint="eastAsia" w:ascii="Times New Roman" w:hAnsi="Times New Roman"/>
          <w:bCs/>
          <w:szCs w:val="21"/>
        </w:rPr>
        <w:t xml:space="preserve"> (</w:t>
      </w:r>
      <w:r>
        <w:fldChar w:fldCharType="begin"/>
      </w:r>
      <w:r>
        <w:instrText xml:space="preserve"> HYPERLINK "mailto:liqiling@mail.xjtu.edu.cn" </w:instrText>
      </w:r>
      <w:r>
        <w:fldChar w:fldCharType="separate"/>
      </w:r>
      <w:r>
        <w:rPr>
          <w:rFonts w:ascii="Times New Roman" w:hAnsi="Times New Roman" w:eastAsia="等线" w:cs="Times New Roman"/>
          <w:color w:val="000000"/>
          <w:szCs w:val="21"/>
        </w:rPr>
        <w:t>liqiling@mail.xjtu.edu.cn</w:t>
      </w:r>
      <w:r>
        <w:rPr>
          <w:rFonts w:ascii="Times New Roman" w:hAnsi="Times New Roman" w:eastAsia="等线" w:cs="Times New Roman"/>
          <w:color w:val="000000"/>
          <w:szCs w:val="21"/>
        </w:rPr>
        <w:fldChar w:fldCharType="end"/>
      </w:r>
      <w:r>
        <w:rPr>
          <w:rFonts w:hint="eastAsia" w:ascii="Times New Roman" w:hAnsi="Times New Roman"/>
          <w:bCs/>
          <w:szCs w:val="21"/>
        </w:rPr>
        <w:t>)</w:t>
      </w:r>
    </w:p>
    <w:p w14:paraId="7714D513">
      <w:pPr>
        <w:spacing w:line="400" w:lineRule="exact"/>
        <w:jc w:val="left"/>
        <w:rPr>
          <w:rFonts w:ascii="Times New Roman" w:hAnsi="Times New Roman" w:eastAsia="宋体" w:cs="Times New Roman"/>
          <w:b/>
          <w:bCs/>
          <w:sz w:val="24"/>
        </w:rPr>
      </w:pPr>
    </w:p>
    <w:p w14:paraId="41381529">
      <w:pPr>
        <w:spacing w:line="400" w:lineRule="exact"/>
        <w:jc w:val="left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Supplementary Figures</w:t>
      </w:r>
    </w:p>
    <w:p w14:paraId="614E78B3">
      <w:pPr>
        <w:spacing w:line="400" w:lineRule="exact"/>
        <w:jc w:val="left"/>
        <w:rPr>
          <w:rFonts w:ascii="Times New Roman" w:hAnsi="Times New Roman" w:eastAsia="宋体" w:cs="Times New Roman"/>
          <w:szCs w:val="21"/>
        </w:rPr>
      </w:pPr>
    </w:p>
    <w:p w14:paraId="4193DEB9">
      <w:pPr>
        <w:spacing w:line="400" w:lineRule="exact"/>
        <w:jc w:val="left"/>
        <w:rPr>
          <w:rFonts w:ascii="Times New Roman" w:hAnsi="Times New Roman" w:eastAsia="宋体" w:cs="Times New Roman"/>
          <w:szCs w:val="21"/>
        </w:rPr>
      </w:pPr>
    </w:p>
    <w:p w14:paraId="1C73A50B">
      <w:pPr>
        <w:spacing w:line="400" w:lineRule="exact"/>
        <w:jc w:val="left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Supplementary Tables</w:t>
      </w:r>
    </w:p>
    <w:p w14:paraId="038A7EFA">
      <w:pPr>
        <w:spacing w:line="400" w:lineRule="exact"/>
        <w:jc w:val="left"/>
        <w:rPr>
          <w:rFonts w:ascii="Times New Roman" w:hAnsi="Times New Roman" w:eastAsia="宋体" w:cs="Times New Roman"/>
          <w:szCs w:val="21"/>
        </w:rPr>
      </w:pPr>
    </w:p>
    <w:p w14:paraId="7B8D3316">
      <w:pPr>
        <w:spacing w:line="400" w:lineRule="exact"/>
        <w:jc w:val="left"/>
        <w:rPr>
          <w:rFonts w:ascii="Times New Roman" w:hAnsi="Times New Roman" w:eastAsia="宋体" w:cs="Times New Roman"/>
          <w:szCs w:val="21"/>
        </w:rPr>
      </w:pPr>
    </w:p>
    <w:p w14:paraId="4F651A48">
      <w:pPr>
        <w:spacing w:line="400" w:lineRule="exact"/>
        <w:jc w:val="left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Supplementary References</w:t>
      </w:r>
    </w:p>
    <w:p w14:paraId="6ED4DD73"/>
    <w:p w14:paraId="0242EE63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27A4AA2">
      <w:pPr>
        <w:jc w:val="left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Supplementary Figures</w:t>
      </w:r>
    </w:p>
    <w:p w14:paraId="0839E8F3"/>
    <w:p w14:paraId="72B148D7">
      <w:r>
        <w:rPr>
          <w:rFonts w:hint="eastAsia"/>
        </w:rPr>
        <w:drawing>
          <wp:inline distT="0" distB="0" distL="114300" distR="114300">
            <wp:extent cx="6133465" cy="1635760"/>
            <wp:effectExtent l="0" t="0" r="635" b="254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rcRect l="1894" r="4136"/>
                    <a:stretch>
                      <a:fillRect/>
                    </a:stretch>
                  </pic:blipFill>
                  <pic:spPr>
                    <a:xfrm>
                      <a:off x="0" y="0"/>
                      <a:ext cx="6133465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439E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Supplementary Fig. 1 | AFM of different surface of modified electrodes.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(a)</w:t>
      </w:r>
      <w:r>
        <w:rPr>
          <w:rFonts w:ascii="Times New Roman" w:hAnsi="Times New Roman" w:cs="Times New Roman"/>
          <w:sz w:val="18"/>
          <w:szCs w:val="18"/>
        </w:rPr>
        <w:t xml:space="preserve"> MBene/SPGE.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(b) </w:t>
      </w:r>
      <w:r>
        <w:rPr>
          <w:rFonts w:ascii="Times New Roman" w:hAnsi="Times New Roman" w:cs="Times New Roman"/>
          <w:sz w:val="18"/>
          <w:szCs w:val="18"/>
        </w:rPr>
        <w:t>Aptamer/MBene/SPGE.</w:t>
      </w:r>
    </w:p>
    <w:p w14:paraId="104AF86E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br w:type="page"/>
      </w:r>
    </w:p>
    <w:p w14:paraId="620FA2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>2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|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kern w:val="0"/>
          <w:sz w:val="18"/>
          <w:szCs w:val="18"/>
        </w:rPr>
        <w:t xml:space="preserve">Fluorescence characterization of the sensing interface assembly and target recognition. (a)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Fluorescence image of bare MBene/SPGE. </w:t>
      </w:r>
      <w:r>
        <w:rPr>
          <w:rFonts w:hint="eastAsia" w:ascii="Times New Roman" w:hAnsi="Times New Roman" w:eastAsia="宋体" w:cs="Times New Roman"/>
          <w:b/>
          <w:bCs/>
          <w:kern w:val="0"/>
          <w:sz w:val="18"/>
          <w:szCs w:val="18"/>
        </w:rPr>
        <w:t xml:space="preserve">(b)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Fluorescence image of MBene/SPGE after immobilization of the FAM-labeled EpCAM aptamers. </w:t>
      </w:r>
      <w:r>
        <w:rPr>
          <w:rFonts w:hint="eastAsia" w:ascii="Times New Roman" w:hAnsi="Times New Roman" w:eastAsia="宋体" w:cs="Times New Roman"/>
          <w:b/>
          <w:bCs/>
          <w:kern w:val="0"/>
          <w:sz w:val="18"/>
          <w:szCs w:val="18"/>
        </w:rPr>
        <w:t xml:space="preserve">(c) </w:t>
      </w:r>
      <w:r>
        <w:rPr>
          <w:rFonts w:hint="eastAsia" w:ascii="Times New Roman" w:hAnsi="Times New Roman" w:eastAsia="宋体" w:cs="Times New Roman"/>
          <w:kern w:val="0"/>
          <w:sz w:val="18"/>
          <w:szCs w:val="18"/>
        </w:rPr>
        <w:t xml:space="preserve">Fluorescence image of the FAM-labeled aptasensor after incubation with EpCAM protein solution. </w:t>
      </w:r>
      <w:r>
        <w:rPr>
          <w:rFonts w:hint="eastAsia" w:ascii="Arial" w:hAnsi="Arial" w:cs="Ari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31115</wp:posOffset>
            </wp:positionV>
            <wp:extent cx="5273675" cy="1842135"/>
            <wp:effectExtent l="0" t="0" r="3175" b="5715"/>
            <wp:wrapTopAndBottom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F3DDEC">
      <w:pPr>
        <w:rPr>
          <w:rFonts w:ascii="Times New Roman" w:hAnsi="Times New Roman" w:cs="Times New Roman"/>
        </w:rPr>
      </w:pPr>
    </w:p>
    <w:p w14:paraId="45C0D549">
      <w:pPr>
        <w:rPr>
          <w:rFonts w:ascii="Times New Roman" w:hAnsi="Times New Roman" w:cs="Times New Roman"/>
        </w:rPr>
      </w:pPr>
    </w:p>
    <w:p w14:paraId="2A7F939E">
      <w:pPr>
        <w:rPr>
          <w:rFonts w:ascii="Times New Roman" w:hAnsi="Times New Roman" w:cs="Times New Roman"/>
        </w:rPr>
      </w:pPr>
    </w:p>
    <w:p w14:paraId="44027EBA">
      <w:pPr>
        <w:rPr>
          <w:rFonts w:ascii="Times New Roman" w:hAnsi="Times New Roman" w:cs="Times New Roman"/>
        </w:rPr>
      </w:pPr>
    </w:p>
    <w:p w14:paraId="2916E3E7">
      <w:pPr>
        <w:rPr>
          <w:rFonts w:ascii="Times New Roman" w:hAnsi="Times New Roman" w:cs="Times New Roman"/>
        </w:rPr>
      </w:pPr>
    </w:p>
    <w:p w14:paraId="02E9835C">
      <w:pPr>
        <w:rPr>
          <w:rFonts w:ascii="Times New Roman" w:hAnsi="Times New Roman" w:cs="Times New Roman"/>
        </w:rPr>
      </w:pPr>
    </w:p>
    <w:p w14:paraId="57A416C2">
      <w:pPr>
        <w:rPr>
          <w:rFonts w:ascii="Times New Roman" w:hAnsi="Times New Roman" w:cs="Times New Roman"/>
        </w:rPr>
      </w:pPr>
    </w:p>
    <w:p w14:paraId="2ED2016E">
      <w:pPr>
        <w:rPr>
          <w:rFonts w:ascii="Times New Roman" w:hAnsi="Times New Roman" w:cs="Times New Roman"/>
        </w:rPr>
      </w:pPr>
    </w:p>
    <w:p w14:paraId="013F0FE3">
      <w:pPr>
        <w:rPr>
          <w:rFonts w:ascii="Times New Roman" w:hAnsi="Times New Roman" w:cs="Times New Roman"/>
        </w:rPr>
      </w:pPr>
    </w:p>
    <w:p w14:paraId="69F4B40E">
      <w:pPr>
        <w:rPr>
          <w:rFonts w:ascii="Times New Roman" w:hAnsi="Times New Roman" w:cs="Times New Roman"/>
        </w:rPr>
      </w:pPr>
    </w:p>
    <w:p w14:paraId="000A92B8">
      <w:pPr>
        <w:rPr>
          <w:rFonts w:ascii="Times New Roman" w:hAnsi="Times New Roman" w:cs="Times New Roman"/>
        </w:rPr>
      </w:pPr>
    </w:p>
    <w:p w14:paraId="0ED28750">
      <w:pPr>
        <w:rPr>
          <w:rFonts w:ascii="Times New Roman" w:hAnsi="Times New Roman" w:cs="Times New Roman"/>
        </w:rPr>
      </w:pPr>
    </w:p>
    <w:p w14:paraId="451C440C">
      <w:pPr>
        <w:rPr>
          <w:rFonts w:ascii="Times New Roman" w:hAnsi="Times New Roman" w:cs="Times New Roman"/>
        </w:rPr>
      </w:pPr>
    </w:p>
    <w:p w14:paraId="0DABBFDF">
      <w:pPr>
        <w:rPr>
          <w:rFonts w:ascii="Times New Roman" w:hAnsi="Times New Roman" w:cs="Times New Roman"/>
        </w:rPr>
      </w:pPr>
    </w:p>
    <w:p w14:paraId="3CE759EE">
      <w:pPr>
        <w:rPr>
          <w:rFonts w:ascii="Times New Roman" w:hAnsi="Times New Roman" w:cs="Times New Roman"/>
        </w:rPr>
      </w:pPr>
    </w:p>
    <w:p w14:paraId="3D191BB5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br w:type="page"/>
      </w:r>
    </w:p>
    <w:p w14:paraId="0E20963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166370</wp:posOffset>
            </wp:positionV>
            <wp:extent cx="6383655" cy="2457450"/>
            <wp:effectExtent l="0" t="0" r="7620" b="0"/>
            <wp:wrapTopAndBottom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8365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>3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|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 xml:space="preserve"> Optimization of experimental parameters for aptasensor. (a)</w:t>
      </w:r>
      <w:r>
        <w:rPr>
          <w:rFonts w:hint="eastAsia" w:ascii="Times New Roman" w:hAnsi="Times New Roman" w:cs="Times New Roman"/>
          <w:sz w:val="18"/>
          <w:szCs w:val="18"/>
        </w:rPr>
        <w:t xml:space="preserve"> Different concentrations of MBene. 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 xml:space="preserve">(b) </w:t>
      </w:r>
      <w:r>
        <w:rPr>
          <w:rFonts w:hint="eastAsia" w:ascii="Times New Roman" w:hAnsi="Times New Roman" w:cs="Times New Roman"/>
          <w:sz w:val="18"/>
          <w:szCs w:val="18"/>
        </w:rPr>
        <w:t xml:space="preserve">Different concentrations of EpCAM aptamer. 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>(c)</w:t>
      </w:r>
      <w:r>
        <w:rPr>
          <w:rFonts w:hint="eastAsia" w:ascii="Times New Roman" w:hAnsi="Times New Roman" w:cs="Times New Roman"/>
          <w:sz w:val="18"/>
          <w:szCs w:val="18"/>
        </w:rPr>
        <w:t xml:space="preserve"> Different incubation times of tagets.  The error bars were calculated by three parallel experiments.</w:t>
      </w:r>
    </w:p>
    <w:p w14:paraId="451A2489">
      <w:pPr>
        <w:spacing w:line="360" w:lineRule="auto"/>
        <w:rPr>
          <w:rFonts w:ascii="Times New Roman" w:hAnsi="Times New Roman" w:cs="Times New Roman"/>
          <w:b/>
          <w:shd w:val="clear" w:color="auto" w:fill="FFFFFF"/>
        </w:rPr>
      </w:pPr>
    </w:p>
    <w:p w14:paraId="52124F9B">
      <w:pPr>
        <w:rPr>
          <w:rFonts w:ascii="Times New Roman" w:hAnsi="Times New Roman" w:eastAsia="Noto Sans SC" w:cs="Times New Roman"/>
          <w:color w:val="000000"/>
          <w:sz w:val="24"/>
        </w:rPr>
      </w:pPr>
      <w:r>
        <w:rPr>
          <w:rFonts w:ascii="Times New Roman" w:hAnsi="Times New Roman" w:eastAsia="Noto Sans SC" w:cs="Times New Roman"/>
          <w:color w:val="000000"/>
          <w:sz w:val="24"/>
        </w:rPr>
        <w:br w:type="page"/>
      </w:r>
    </w:p>
    <w:p w14:paraId="01A293C7">
      <w:pPr>
        <w:rPr>
          <w:rFonts w:hint="default" w:ascii="Times New Roman" w:hAnsi="Times New Roman" w:eastAsia="宋体"/>
          <w:b/>
          <w:bCs/>
          <w:sz w:val="18"/>
          <w:szCs w:val="18"/>
          <w:lang w:val="en-US" w:eastAsia="zh-CN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112395</wp:posOffset>
            </wp:positionV>
            <wp:extent cx="5217795" cy="2879090"/>
            <wp:effectExtent l="0" t="0" r="1905" b="0"/>
            <wp:wrapTopAndBottom/>
            <wp:docPr id="8" name="图片 8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7795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sz w:val="18"/>
          <w:szCs w:val="18"/>
        </w:rPr>
        <w:t>4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| </w:t>
      </w:r>
      <w:r>
        <w:rPr>
          <w:rFonts w:hint="eastAsia" w:ascii="Times New Roman" w:hAnsi="Times New Roman" w:eastAsia="宋体"/>
          <w:b/>
          <w:bCs/>
          <w:sz w:val="18"/>
          <w:szCs w:val="18"/>
          <w:lang w:val="en-US" w:eastAsia="zh-CN"/>
        </w:rPr>
        <w:t>Original w</w:t>
      </w:r>
      <w:r>
        <w:rPr>
          <w:rFonts w:hint="eastAsia" w:ascii="Times New Roman" w:hAnsi="Times New Roman" w:eastAsia="宋体"/>
          <w:b/>
          <w:bCs/>
          <w:sz w:val="18"/>
          <w:szCs w:val="18"/>
        </w:rPr>
        <w:t>estern blotting of EpCAM protein levels in HEK293T and Ishikawa cell lines</w:t>
      </w:r>
      <w:r>
        <w:rPr>
          <w:rFonts w:hint="eastAsia" w:ascii="Times New Roman" w:hAnsi="Times New Roman" w:eastAsia="宋体"/>
          <w:b/>
          <w:bCs/>
          <w:sz w:val="18"/>
          <w:szCs w:val="18"/>
          <w:lang w:val="en-US" w:eastAsia="zh-CN"/>
        </w:rPr>
        <w:t xml:space="preserve"> for three repeats.</w:t>
      </w:r>
    </w:p>
    <w:p w14:paraId="3E660E5A">
      <w:pPr>
        <w:rPr>
          <w:rFonts w:ascii="Times New Roman" w:hAnsi="Times New Roman" w:eastAsia="Noto Sans SC" w:cs="Times New Roman"/>
          <w:color w:val="000000"/>
          <w:sz w:val="24"/>
        </w:rPr>
      </w:pPr>
      <w:r>
        <w:rPr>
          <w:rFonts w:ascii="Times New Roman" w:hAnsi="Times New Roman" w:eastAsia="Noto Sans SC" w:cs="Times New Roman"/>
          <w:color w:val="000000"/>
          <w:sz w:val="24"/>
        </w:rPr>
        <w:br w:type="page"/>
      </w:r>
      <w:bookmarkStart w:id="2" w:name="_GoBack"/>
      <w:bookmarkEnd w:id="2"/>
    </w:p>
    <w:p w14:paraId="4B5BDCBA">
      <w:pPr>
        <w:rPr>
          <w:rFonts w:ascii="Times New Roman" w:hAnsi="Times New Roman" w:eastAsia="Noto Sans SC" w:cs="Times New Roman"/>
          <w:color w:val="000000"/>
          <w:sz w:val="24"/>
        </w:rPr>
      </w:pPr>
    </w:p>
    <w:p w14:paraId="7B57793A">
      <w:pPr>
        <w:rPr>
          <w:rFonts w:ascii="Times New Roman" w:hAnsi="Times New Roman" w:eastAsia="Noto Sans SC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sz w:val="18"/>
          <w:szCs w:val="18"/>
          <w:lang w:val="en-US" w:eastAsia="zh-CN"/>
        </w:rPr>
        <w:t>5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| </w:t>
      </w:r>
      <w:r>
        <w:rPr>
          <w:rFonts w:hint="eastAsia" w:ascii="Times New Roman" w:hAnsi="Times New Roman" w:eastAsia="宋体"/>
          <w:b/>
          <w:bCs/>
          <w:sz w:val="18"/>
          <w:szCs w:val="18"/>
        </w:rPr>
        <w:t xml:space="preserve">Fluorescence characterization of cell capture specificity. (a) </w:t>
      </w:r>
      <w:r>
        <w:rPr>
          <w:rFonts w:hint="eastAsia" w:ascii="Times New Roman" w:hAnsi="Times New Roman" w:eastAsia="宋体"/>
          <w:sz w:val="18"/>
          <w:szCs w:val="18"/>
        </w:rPr>
        <w:t>Fluorescence image of the bare MCH/Aptamer/MBene/SPGE sensing surface.</w:t>
      </w:r>
      <w:r>
        <w:rPr>
          <w:rFonts w:hint="eastAsia" w:ascii="Times New Roman" w:hAnsi="Times New Roman" w:eastAsia="宋体"/>
          <w:b/>
          <w:bCs/>
          <w:sz w:val="18"/>
          <w:szCs w:val="18"/>
        </w:rPr>
        <w:t xml:space="preserve"> (b) </w:t>
      </w:r>
      <w:r>
        <w:rPr>
          <w:rFonts w:hint="eastAsia" w:ascii="Times New Roman" w:hAnsi="Times New Roman" w:eastAsia="宋体"/>
          <w:sz w:val="18"/>
          <w:szCs w:val="18"/>
        </w:rPr>
        <w:t>Fluorescence image of the MCH/Aptamer/ MBene/SPGE after incubation with EpCAM-negative HEK293T cells (10</w:t>
      </w:r>
      <w:r>
        <w:rPr>
          <w:rFonts w:hint="eastAsia" w:ascii="Times New Roman" w:hAnsi="Times New Roman" w:eastAsia="宋体"/>
          <w:sz w:val="18"/>
          <w:szCs w:val="18"/>
          <w:vertAlign w:val="superscript"/>
        </w:rPr>
        <w:t>5</w:t>
      </w:r>
      <w:r>
        <w:rPr>
          <w:rFonts w:hint="eastAsia" w:ascii="Times New Roman" w:hAnsi="Times New Roman" w:eastAsia="宋体"/>
          <w:sz w:val="18"/>
          <w:szCs w:val="18"/>
        </w:rPr>
        <w:t xml:space="preserve">cells/mL). </w:t>
      </w:r>
      <w:r>
        <w:rPr>
          <w:rFonts w:hint="eastAsia" w:ascii="Times New Roman" w:hAnsi="Times New Roman" w:eastAsia="宋体"/>
          <w:b/>
          <w:bCs/>
          <w:sz w:val="18"/>
          <w:szCs w:val="18"/>
        </w:rPr>
        <w:t xml:space="preserve">(c) </w:t>
      </w:r>
      <w:r>
        <w:rPr>
          <w:rFonts w:hint="eastAsia" w:ascii="Times New Roman" w:hAnsi="Times New Roman" w:eastAsia="宋体"/>
          <w:sz w:val="18"/>
          <w:szCs w:val="18"/>
        </w:rPr>
        <w:t>Fluorescence image of the MCH/Aptamer/MBene/SPGE after incubation with EpCAM-positive Ishikawa cells (10</w:t>
      </w:r>
      <w:r>
        <w:rPr>
          <w:rFonts w:hint="eastAsia" w:ascii="Times New Roman" w:hAnsi="Times New Roman" w:eastAsia="宋体"/>
          <w:sz w:val="18"/>
          <w:szCs w:val="18"/>
          <w:vertAlign w:val="superscript"/>
        </w:rPr>
        <w:t>4</w:t>
      </w:r>
      <w:r>
        <w:rPr>
          <w:rFonts w:hint="eastAsia" w:ascii="Times New Roman" w:hAnsi="Times New Roman" w:eastAsia="宋体"/>
          <w:sz w:val="18"/>
          <w:szCs w:val="18"/>
        </w:rPr>
        <w:t xml:space="preserve"> cells/mL). Cell nuclei were stained with DAPI.</w:t>
      </w:r>
      <w:r>
        <w:rPr>
          <w:rFonts w:hint="eastAsia" w:ascii="Times New Roman" w:hAnsi="Times New Roman" w:eastAsia="Noto Sans SC" w:cs="Times New Roman"/>
          <w:color w:val="000000"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94615</wp:posOffset>
            </wp:positionV>
            <wp:extent cx="6431280" cy="2323465"/>
            <wp:effectExtent l="0" t="0" r="7620" b="635"/>
            <wp:wrapTopAndBottom/>
            <wp:docPr id="4" name="图片 4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1280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4C78CC">
      <w:pPr>
        <w:rPr>
          <w:rFonts w:ascii="Times New Roman" w:hAnsi="Times New Roman" w:eastAsia="Noto Sans SC" w:cs="Times New Roman"/>
          <w:color w:val="000000"/>
          <w:sz w:val="24"/>
        </w:rPr>
      </w:pPr>
    </w:p>
    <w:p w14:paraId="2613C4CD">
      <w:pPr>
        <w:rPr>
          <w:rFonts w:ascii="Times New Roman" w:hAnsi="Times New Roman" w:eastAsia="Noto Sans SC" w:cs="Times New Roman"/>
          <w:color w:val="000000"/>
          <w:sz w:val="24"/>
        </w:rPr>
      </w:pPr>
      <w:r>
        <w:rPr>
          <w:rFonts w:ascii="Times New Roman" w:hAnsi="Times New Roman" w:eastAsia="Noto Sans SC" w:cs="Times New Roman"/>
          <w:color w:val="000000"/>
          <w:sz w:val="24"/>
        </w:rPr>
        <w:br w:type="page"/>
      </w:r>
    </w:p>
    <w:p w14:paraId="63844CDD">
      <w:pPr>
        <w:jc w:val="left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Supplementary Tables</w:t>
      </w:r>
    </w:p>
    <w:p w14:paraId="56412D30">
      <w:pPr>
        <w:jc w:val="left"/>
        <w:rPr>
          <w:rFonts w:ascii="Times New Roman" w:hAnsi="Times New Roman" w:eastAsia="Times New Roman" w:cs="Times New Roman"/>
          <w:b/>
          <w:bCs/>
          <w:sz w:val="18"/>
          <w:szCs w:val="18"/>
        </w:rPr>
      </w:pPr>
    </w:p>
    <w:p w14:paraId="289CA77F">
      <w:pPr>
        <w:spacing w:before="156" w:beforeLines="50" w:after="156" w:afterLines="50"/>
        <w:jc w:val="left"/>
        <w:rPr>
          <w:rFonts w:ascii="Times New Roman" w:hAnsi="Times New Roman" w:eastAsia="Noto Sans SC" w:cs="Times New Roman"/>
          <w:color w:val="000000"/>
          <w:sz w:val="18"/>
          <w:szCs w:val="18"/>
        </w:rPr>
      </w:pPr>
      <w:r>
        <w:rPr>
          <w:rFonts w:hint="eastAsia" w:ascii="Times New Roman" w:hAnsi="Times New Roman" w:eastAsia="Times New Roman" w:cs="Times New Roman"/>
          <w:b/>
          <w:bCs/>
          <w:sz w:val="18"/>
          <w:szCs w:val="18"/>
        </w:rPr>
        <w:t xml:space="preserve">Supplementary Table 1 | </w:t>
      </w:r>
      <w:r>
        <w:rPr>
          <w:rFonts w:ascii="Times New Roman" w:hAnsi="Times New Roman" w:eastAsia="Noto Sans SC" w:cs="Times New Roman"/>
          <w:color w:val="000000"/>
          <w:sz w:val="18"/>
          <w:szCs w:val="18"/>
        </w:rPr>
        <w:t xml:space="preserve">Comparison of different biosensors for </w:t>
      </w:r>
      <w:r>
        <w:rPr>
          <w:rFonts w:ascii="Times New Roman" w:hAnsi="Times New Roman" w:eastAsia="Georgia" w:cs="Times New Roman"/>
          <w:color w:val="1F1F1F"/>
          <w:sz w:val="18"/>
          <w:szCs w:val="18"/>
        </w:rPr>
        <w:t>EpCAM</w:t>
      </w:r>
      <w:r>
        <w:rPr>
          <w:rFonts w:ascii="Times New Roman" w:hAnsi="Times New Roman" w:eastAsia="Noto Sans SC" w:cs="Times New Roman"/>
          <w:color w:val="000000"/>
          <w:sz w:val="18"/>
          <w:szCs w:val="18"/>
        </w:rPr>
        <w:t xml:space="preserve"> detection</w:t>
      </w:r>
    </w:p>
    <w:tbl>
      <w:tblPr>
        <w:tblStyle w:val="8"/>
        <w:tblpPr w:leftFromText="180" w:rightFromText="180" w:vertAnchor="text" w:horzAnchor="page" w:tblpX="1938" w:tblpY="125"/>
        <w:tblOverlap w:val="never"/>
        <w:tblW w:w="5280" w:type="pct"/>
        <w:tblInd w:w="0" w:type="dxa"/>
        <w:tblBorders>
          <w:top w:val="none" w:color="auto" w:sz="12" w:space="0"/>
          <w:left w:val="none" w:color="auto" w:sz="0" w:space="0"/>
          <w:bottom w:val="non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2283"/>
        <w:gridCol w:w="2167"/>
        <w:gridCol w:w="1501"/>
        <w:gridCol w:w="1148"/>
      </w:tblGrid>
      <w:tr w14:paraId="2ECEB6F5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105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19434BBD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Analytical methods</w:t>
            </w:r>
          </w:p>
        </w:tc>
        <w:tc>
          <w:tcPr>
            <w:tcW w:w="1268" w:type="pct"/>
            <w:tcBorders>
              <w:top w:val="single" w:color="auto" w:sz="12" w:space="0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20618E70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Nanomaterials</w:t>
            </w:r>
          </w:p>
        </w:tc>
        <w:tc>
          <w:tcPr>
            <w:tcW w:w="1203" w:type="pct"/>
            <w:tcBorders>
              <w:top w:val="single" w:color="auto" w:sz="12" w:space="0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117DA2EF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Linear range</w:t>
            </w:r>
          </w:p>
        </w:tc>
        <w:tc>
          <w:tcPr>
            <w:tcW w:w="833" w:type="pct"/>
            <w:tcBorders>
              <w:top w:val="single" w:color="auto" w:sz="12" w:space="0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1F56112B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Detection limit</w:t>
            </w:r>
          </w:p>
        </w:tc>
        <w:tc>
          <w:tcPr>
            <w:tcW w:w="638" w:type="pct"/>
            <w:tcBorders>
              <w:top w:val="single" w:color="auto" w:sz="12" w:space="0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1F25D848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References</w:t>
            </w:r>
          </w:p>
        </w:tc>
      </w:tr>
      <w:tr w14:paraId="6149564C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1055" w:type="pct"/>
            <w:tcBorders>
              <w:top w:val="single" w:color="auto" w:sz="12" w:space="0"/>
              <w:left w:val="nil"/>
              <w:bottom w:val="nil"/>
              <w:right w:val="nil"/>
              <w:insideV w:val="nil"/>
              <w:tl2br w:val="nil"/>
              <w:tr2bl w:val="nil"/>
            </w:tcBorders>
          </w:tcPr>
          <w:p w14:paraId="7A171738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DPV</w:t>
            </w:r>
          </w:p>
        </w:tc>
        <w:tc>
          <w:tcPr>
            <w:tcW w:w="1268" w:type="pct"/>
            <w:tcBorders>
              <w:top w:val="single" w:color="auto" w:sz="12" w:space="0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77474948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MoS2@rGO</w:t>
            </w:r>
          </w:p>
        </w:tc>
        <w:tc>
          <w:tcPr>
            <w:tcW w:w="1203" w:type="pct"/>
            <w:tcBorders>
              <w:top w:val="single" w:color="auto" w:sz="12" w:space="0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4427B0F2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1 pg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-20 ng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833" w:type="pct"/>
            <w:tcBorders>
              <w:top w:val="single" w:color="auto" w:sz="12" w:space="0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741381AD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44.22 fg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638" w:type="pct"/>
            <w:tcBorders>
              <w:top w:val="single" w:color="auto" w:sz="12" w:space="0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2BFAB073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</w:tr>
      <w:tr w14:paraId="7E71DFEB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</w:tcPr>
          <w:p w14:paraId="4F83CE64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SERS</w:t>
            </w:r>
          </w:p>
        </w:tc>
        <w:tc>
          <w:tcPr>
            <w:tcW w:w="126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057EB474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MATT-Au</w:t>
            </w:r>
          </w:p>
        </w:tc>
        <w:tc>
          <w:tcPr>
            <w:tcW w:w="120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7394F644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1.24 - 75.48 pg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83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068F877C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530 fg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63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7292E0FA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</w:tr>
      <w:tr w14:paraId="5B38E944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</w:tcPr>
          <w:p w14:paraId="0CC81294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ASV</w:t>
            </w:r>
          </w:p>
        </w:tc>
        <w:tc>
          <w:tcPr>
            <w:tcW w:w="126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3090863D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GRs–QDs</w:t>
            </w:r>
          </w:p>
          <w:p w14:paraId="294743AB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7303ABE2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100 fg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- 7.5 µg/mL</w:t>
            </w:r>
          </w:p>
        </w:tc>
        <w:tc>
          <w:tcPr>
            <w:tcW w:w="83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65FA4672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100 fg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  <w:p w14:paraId="48DE09CA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</w:p>
        </w:tc>
        <w:tc>
          <w:tcPr>
            <w:tcW w:w="63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20A82664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  <w:p w14:paraId="65BE125B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14:paraId="43D15276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</w:tcPr>
          <w:p w14:paraId="5F62558B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SWV</w:t>
            </w:r>
          </w:p>
        </w:tc>
        <w:tc>
          <w:tcPr>
            <w:tcW w:w="126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314FEF22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CuS@PEDOT:PSS</w:t>
            </w:r>
          </w:p>
          <w:p w14:paraId="20C8D877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39F1428B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10 fg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- 1000 ng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83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59A916DA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10 fg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  <w:p w14:paraId="6F64CF76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</w:p>
        </w:tc>
        <w:tc>
          <w:tcPr>
            <w:tcW w:w="63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3B4FA3FA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46</w:t>
            </w:r>
          </w:p>
        </w:tc>
      </w:tr>
      <w:tr w14:paraId="097DF6A6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</w:tcPr>
          <w:p w14:paraId="290AC8CA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SWV</w:t>
            </w:r>
          </w:p>
        </w:tc>
        <w:tc>
          <w:tcPr>
            <w:tcW w:w="126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388B07AF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QZIF-67@Au@MB</w:t>
            </w:r>
          </w:p>
          <w:p w14:paraId="59B3FAE3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246B38C5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5 pg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– 100ng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83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7A68C0AA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3 pg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  <w:p w14:paraId="35DDAA2F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</w:p>
        </w:tc>
        <w:tc>
          <w:tcPr>
            <w:tcW w:w="63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434BA151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47</w:t>
            </w:r>
          </w:p>
          <w:p w14:paraId="44DF579C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14:paraId="77B2F52F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</w:tcPr>
          <w:p w14:paraId="645B0C38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EIS</w:t>
            </w:r>
          </w:p>
        </w:tc>
        <w:tc>
          <w:tcPr>
            <w:tcW w:w="126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2EE17FAA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MBene</w:t>
            </w:r>
          </w:p>
        </w:tc>
        <w:tc>
          <w:tcPr>
            <w:tcW w:w="120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32D66CDC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10 fg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-100pg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83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54337C45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8.86 fg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63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7122EA26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This work</w:t>
            </w:r>
          </w:p>
        </w:tc>
      </w:tr>
      <w:tr w14:paraId="4F5E228F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</w:tcPr>
          <w:p w14:paraId="4C7E044B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Colorimetry</w:t>
            </w:r>
          </w:p>
        </w:tc>
        <w:tc>
          <w:tcPr>
            <w:tcW w:w="126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40FAC079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MSN</w:t>
            </w:r>
          </w:p>
        </w:tc>
        <w:tc>
          <w:tcPr>
            <w:tcW w:w="120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0CF936DD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– 4×10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cells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83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347C8BF2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10 cells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63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1C9B5A9C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48</w:t>
            </w:r>
          </w:p>
        </w:tc>
      </w:tr>
      <w:tr w14:paraId="4DF937FD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tblHeader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</w:tcPr>
          <w:p w14:paraId="127FCC70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SWV</w:t>
            </w:r>
          </w:p>
        </w:tc>
        <w:tc>
          <w:tcPr>
            <w:tcW w:w="126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6D72811F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GO</w:t>
            </w:r>
          </w:p>
        </w:tc>
        <w:tc>
          <w:tcPr>
            <w:tcW w:w="120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612FA4CB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- 10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7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cells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83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03FE0D41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10 cells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63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4A956441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49</w:t>
            </w:r>
          </w:p>
        </w:tc>
      </w:tr>
      <w:tr w14:paraId="3F35E151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</w:tcPr>
          <w:p w14:paraId="4DC81593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EIS</w:t>
            </w:r>
          </w:p>
        </w:tc>
        <w:tc>
          <w:tcPr>
            <w:tcW w:w="126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65404C52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PAMAM</w:t>
            </w:r>
          </w:p>
          <w:p w14:paraId="56CCC16C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29A0D160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- 10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cells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  <w:p w14:paraId="6A7A7E52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</w:p>
        </w:tc>
        <w:tc>
          <w:tcPr>
            <w:tcW w:w="83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106DF0EE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2.1x10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cells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63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01ED623C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  <w:p w14:paraId="5D51C1A5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14:paraId="7069CB8D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tblHeader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</w:tcPr>
          <w:p w14:paraId="5660599D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EIS</w:t>
            </w:r>
          </w:p>
        </w:tc>
        <w:tc>
          <w:tcPr>
            <w:tcW w:w="126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313D7856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/</w:t>
            </w:r>
          </w:p>
        </w:tc>
        <w:tc>
          <w:tcPr>
            <w:tcW w:w="120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4E092256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30 - 10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cells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83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55E9A8DE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10 cells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63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75E9D6BC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</w:tr>
      <w:tr w14:paraId="02CC0F81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</w:tcPr>
          <w:p w14:paraId="53C6DCC6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PEC bio</w:t>
            </w:r>
          </w:p>
        </w:tc>
        <w:tc>
          <w:tcPr>
            <w:tcW w:w="126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666F8048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fldChar w:fldCharType="begin"/>
            </w:r>
            <w:r>
              <w:instrText xml:space="preserve"> HYPERLINK "https://www.sciencedirect.com/topics/chemistry/magnetic-nanoparticle" \o "Learn more about Magnetic nanoparticles from ScienceDirect's AI-generated Topic Pages"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Magnetic nanoparticles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fldChar w:fldCharType="end"/>
            </w:r>
          </w:p>
        </w:tc>
        <w:tc>
          <w:tcPr>
            <w:tcW w:w="120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07754CD2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- 10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cells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83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2755E8E7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9 cells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63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7B364378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</w:tr>
      <w:tr w14:paraId="17EDD39D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1055" w:type="pct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</w:tcPr>
          <w:p w14:paraId="069D72D1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ICP-MS</w:t>
            </w:r>
          </w:p>
        </w:tc>
        <w:tc>
          <w:tcPr>
            <w:tcW w:w="126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603F1505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fldChar w:fldCharType="begin"/>
            </w:r>
            <w:r>
              <w:instrText xml:space="preserve"> HYPERLINK "https://www.sciencedirect.com/topics/chemistry/magnetic-nanoparticle" \o "Learn more about Magnetic nanoparticles from ScienceDirect's AI-generated Topic Pages"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Magnetic beads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fldChar w:fldCharType="end"/>
            </w:r>
          </w:p>
          <w:p w14:paraId="6A2D9646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5A09E4F2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2×10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- 4×10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cells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833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70EA028A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50 cells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  <w:p w14:paraId="5F505D25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</w:pPr>
          </w:p>
        </w:tc>
        <w:tc>
          <w:tcPr>
            <w:tcW w:w="638" w:type="pct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7169405A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  <w:p w14:paraId="02098CEF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14:paraId="7A9774FF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1055" w:type="pct"/>
            <w:tcBorders>
              <w:top w:val="nil"/>
              <w:left w:val="nil"/>
              <w:bottom w:val="single" w:color="auto" w:sz="12" w:space="0"/>
              <w:right w:val="nil"/>
              <w:insideV w:val="nil"/>
              <w:tl2br w:val="nil"/>
              <w:tr2bl w:val="nil"/>
            </w:tcBorders>
          </w:tcPr>
          <w:p w14:paraId="7264E2F5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EIS</w:t>
            </w:r>
          </w:p>
        </w:tc>
        <w:tc>
          <w:tcPr>
            <w:tcW w:w="1268" w:type="pct"/>
            <w:tcBorders>
              <w:top w:val="nil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2CA0EA11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MBene</w:t>
            </w:r>
          </w:p>
        </w:tc>
        <w:tc>
          <w:tcPr>
            <w:tcW w:w="1203" w:type="pct"/>
            <w:tcBorders>
              <w:top w:val="nil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5DA4A19D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- 10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 xml:space="preserve"> celsl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833" w:type="pct"/>
            <w:tcBorders>
              <w:top w:val="nil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35CF92E7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7 cells mL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-1</w:t>
            </w:r>
          </w:p>
        </w:tc>
        <w:tc>
          <w:tcPr>
            <w:tcW w:w="638" w:type="pct"/>
            <w:tcBorders>
              <w:top w:val="nil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6C9831DC">
            <w:pPr>
              <w:widowControl/>
              <w:wordWrap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bidi="ar"/>
              </w:rPr>
              <w:t>This work</w:t>
            </w:r>
          </w:p>
        </w:tc>
      </w:tr>
    </w:tbl>
    <w:p w14:paraId="30325F1E">
      <w:pPr>
        <w:widowControl/>
        <w:spacing w:before="62" w:beforeLines="20"/>
        <w:jc w:val="left"/>
        <w:rPr>
          <w:rFonts w:ascii="Times New Roman" w:hAnsi="Times New Roman" w:eastAsia="宋体" w:cs="Times New Roman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DPV, differential pulse voltammetry; MoS2@rGO, molybdenum disulfide grafted reduced graphene oxide; </w:t>
      </w:r>
      <w:r>
        <w:fldChar w:fldCharType="begin"/>
      </w:r>
      <w:r>
        <w:instrText xml:space="preserve"> HYPERLINK "https://www.sciencedirect.com/topics/materials-science/surface-enhanced-raman-spectroscopy" \o "Learn more about SERS from ScienceDirect's AI-generated Topic Pages" </w:instrText>
      </w:r>
      <w:r>
        <w:fldChar w:fldCharType="separate"/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SERS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fldChar w:fldCharType="end"/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, surface enhanced </w:t>
      </w:r>
      <w:r>
        <w:fldChar w:fldCharType="begin"/>
      </w:r>
      <w:r>
        <w:instrText xml:space="preserve"> HYPERLINK "https://www.sciencedirect.com/topics/physics-and-astronomy/raman-spectroscopy" \o "Learn more about Raman Spectroscopy from ScienceDirect's AI-generated Topic Pages" </w:instrText>
      </w:r>
      <w:r>
        <w:fldChar w:fldCharType="separate"/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raman spectroscopy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fldChar w:fldCharType="end"/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; MATT, 4-methoxybenzyl mercaptan; ASV, </w:t>
      </w:r>
      <w:r>
        <w:fldChar w:fldCharType="begin"/>
      </w:r>
      <w:r>
        <w:instrText xml:space="preserve"> HYPERLINK "https://www.sciencedirect.com/topics/physics-and-astronomy/anodic-stripping" \o "Learn more about Anodic Stripping from ScienceDirect's AI-generated Topic Pages" </w:instrText>
      </w:r>
      <w:r>
        <w:fldChar w:fldCharType="separate"/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anodic stripping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fldChar w:fldCharType="end"/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 voltammetry; GRs -QDs, graphene/quantum dot; SWV, square wave voltammetry; MB, methylene blue, EIS, electrochemical impedance spectroscopy; MSN, mesoporous silica nanoparticles; GO, Graphene oxide; PAMAM, polyamidoaminedendrimer; PEC, photoelectrochemical biosensor; ICP-MS, inductively coupled plasma mass spectrometry </w:t>
      </w:r>
    </w:p>
    <w:p w14:paraId="2513ED01">
      <w:pPr>
        <w:spacing w:line="360" w:lineRule="auto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br w:type="page"/>
      </w: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Supplementary Table 2 | </w:t>
      </w:r>
      <w:r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Clinical characteristics of the study population (N = 44).</w:t>
      </w:r>
    </w:p>
    <w:tbl>
      <w:tblPr>
        <w:tblStyle w:val="7"/>
        <w:tblpPr w:leftFromText="180" w:rightFromText="180" w:vertAnchor="text" w:horzAnchor="page" w:tblpX="1923" w:tblpY="355"/>
        <w:tblOverlap w:val="never"/>
        <w:tblW w:w="8919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8"/>
        <w:gridCol w:w="2237"/>
        <w:gridCol w:w="2372"/>
        <w:gridCol w:w="1132"/>
      </w:tblGrid>
      <w:tr w14:paraId="19EF44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3178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DF42B7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Characteristics</w:t>
            </w:r>
          </w:p>
        </w:tc>
        <w:tc>
          <w:tcPr>
            <w:tcW w:w="223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E82A3DA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Malignant cases</w:t>
            </w:r>
          </w:p>
          <w:p w14:paraId="55EFCA8A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(N = 22)</w:t>
            </w:r>
          </w:p>
        </w:tc>
        <w:tc>
          <w:tcPr>
            <w:tcW w:w="237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CDDB72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Non-malignant controls</w:t>
            </w:r>
          </w:p>
          <w:p w14:paraId="782D4820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(N = 22)</w:t>
            </w:r>
          </w:p>
        </w:tc>
        <w:tc>
          <w:tcPr>
            <w:tcW w:w="113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7D7F20A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P value</w:t>
            </w:r>
          </w:p>
        </w:tc>
      </w:tr>
      <w:tr w14:paraId="48DA63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tcBorders>
              <w:top w:val="single" w:color="auto" w:sz="12" w:space="0"/>
            </w:tcBorders>
            <w:noWrap/>
          </w:tcPr>
          <w:p w14:paraId="07157714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Age (Mean ± SD)</w:t>
            </w:r>
          </w:p>
        </w:tc>
        <w:tc>
          <w:tcPr>
            <w:tcW w:w="2237" w:type="dxa"/>
            <w:tcBorders>
              <w:top w:val="single" w:color="auto" w:sz="12" w:space="0"/>
            </w:tcBorders>
            <w:vAlign w:val="center"/>
          </w:tcPr>
          <w:p w14:paraId="0E995AA9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55 ± 12</w:t>
            </w:r>
          </w:p>
        </w:tc>
        <w:tc>
          <w:tcPr>
            <w:tcW w:w="2372" w:type="dxa"/>
            <w:tcBorders>
              <w:top w:val="single" w:color="auto" w:sz="12" w:space="0"/>
            </w:tcBorders>
            <w:vAlign w:val="center"/>
          </w:tcPr>
          <w:p w14:paraId="43ACFD0F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57 ± 8</w:t>
            </w:r>
          </w:p>
        </w:tc>
        <w:tc>
          <w:tcPr>
            <w:tcW w:w="1132" w:type="dxa"/>
            <w:tcBorders>
              <w:top w:val="single" w:color="auto" w:sz="12" w:space="0"/>
            </w:tcBorders>
            <w:noWrap/>
            <w:vAlign w:val="bottom"/>
          </w:tcPr>
          <w:p w14:paraId="21FA98EE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0.4941</w:t>
            </w:r>
          </w:p>
        </w:tc>
      </w:tr>
      <w:tr w14:paraId="4B8D5B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178" w:type="dxa"/>
            <w:noWrap/>
          </w:tcPr>
          <w:p w14:paraId="02DA4C31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Clinical diagnosis</w:t>
            </w:r>
          </w:p>
        </w:tc>
        <w:tc>
          <w:tcPr>
            <w:tcW w:w="2237" w:type="dxa"/>
            <w:vAlign w:val="center"/>
          </w:tcPr>
          <w:p w14:paraId="5B38982D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372" w:type="dxa"/>
            <w:vAlign w:val="center"/>
          </w:tcPr>
          <w:p w14:paraId="744B78A6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2" w:type="dxa"/>
            <w:noWrap/>
            <w:vAlign w:val="bottom"/>
          </w:tcPr>
          <w:p w14:paraId="43F45AF3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7AEF2C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</w:tcPr>
          <w:p w14:paraId="798F7FC5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Uterine myoma</w:t>
            </w:r>
          </w:p>
        </w:tc>
        <w:tc>
          <w:tcPr>
            <w:tcW w:w="2237" w:type="dxa"/>
            <w:vAlign w:val="center"/>
          </w:tcPr>
          <w:p w14:paraId="40802957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2372" w:type="dxa"/>
            <w:vAlign w:val="center"/>
          </w:tcPr>
          <w:p w14:paraId="3C69F1A4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11/22 (50.00%)</w:t>
            </w:r>
          </w:p>
        </w:tc>
        <w:tc>
          <w:tcPr>
            <w:tcW w:w="1132" w:type="dxa"/>
            <w:noWrap/>
            <w:vAlign w:val="bottom"/>
          </w:tcPr>
          <w:p w14:paraId="341BBBB0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1EA848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</w:tcPr>
          <w:p w14:paraId="5E4EA7D0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宋体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Adenomyosis</w:t>
            </w:r>
          </w:p>
        </w:tc>
        <w:tc>
          <w:tcPr>
            <w:tcW w:w="2237" w:type="dxa"/>
            <w:vAlign w:val="center"/>
          </w:tcPr>
          <w:p w14:paraId="46D61FD3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2372" w:type="dxa"/>
            <w:vAlign w:val="center"/>
          </w:tcPr>
          <w:p w14:paraId="5AF769C3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2/22 (9.09%)</w:t>
            </w:r>
          </w:p>
        </w:tc>
        <w:tc>
          <w:tcPr>
            <w:tcW w:w="1132" w:type="dxa"/>
            <w:noWrap/>
            <w:vAlign w:val="bottom"/>
          </w:tcPr>
          <w:p w14:paraId="44793293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39B8B0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</w:tcPr>
          <w:p w14:paraId="65207093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Uterine prolapse</w:t>
            </w:r>
          </w:p>
        </w:tc>
        <w:tc>
          <w:tcPr>
            <w:tcW w:w="2237" w:type="dxa"/>
            <w:vAlign w:val="center"/>
          </w:tcPr>
          <w:p w14:paraId="5D8AFB07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2372" w:type="dxa"/>
            <w:vAlign w:val="center"/>
          </w:tcPr>
          <w:p w14:paraId="0584768E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3/22 (13.64%)</w:t>
            </w:r>
          </w:p>
        </w:tc>
        <w:tc>
          <w:tcPr>
            <w:tcW w:w="1132" w:type="dxa"/>
            <w:noWrap/>
            <w:vAlign w:val="bottom"/>
          </w:tcPr>
          <w:p w14:paraId="35C1CB86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0A89E3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6DC22CE6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Ovarian cysts</w:t>
            </w:r>
          </w:p>
        </w:tc>
        <w:tc>
          <w:tcPr>
            <w:tcW w:w="2237" w:type="dxa"/>
            <w:vAlign w:val="center"/>
          </w:tcPr>
          <w:p w14:paraId="4753E20E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2372" w:type="dxa"/>
            <w:vAlign w:val="center"/>
          </w:tcPr>
          <w:p w14:paraId="62C45DCE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6/22 (27.27%)</w:t>
            </w:r>
          </w:p>
        </w:tc>
        <w:tc>
          <w:tcPr>
            <w:tcW w:w="1132" w:type="dxa"/>
            <w:noWrap/>
            <w:vAlign w:val="bottom"/>
          </w:tcPr>
          <w:p w14:paraId="08921917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5BF5B1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702B1DD8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Endometrial cancer</w:t>
            </w:r>
          </w:p>
        </w:tc>
        <w:tc>
          <w:tcPr>
            <w:tcW w:w="2237" w:type="dxa"/>
            <w:vAlign w:val="center"/>
          </w:tcPr>
          <w:p w14:paraId="677002B9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20/22 (90.91%)</w:t>
            </w:r>
          </w:p>
        </w:tc>
        <w:tc>
          <w:tcPr>
            <w:tcW w:w="2372" w:type="dxa"/>
            <w:vAlign w:val="center"/>
          </w:tcPr>
          <w:p w14:paraId="5BBF45DF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2" w:type="dxa"/>
            <w:noWrap/>
            <w:vAlign w:val="bottom"/>
          </w:tcPr>
          <w:p w14:paraId="48E85ED5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8ADBF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52C90AA7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Endometrial atypical hyperplasia</w:t>
            </w:r>
          </w:p>
        </w:tc>
        <w:tc>
          <w:tcPr>
            <w:tcW w:w="2237" w:type="dxa"/>
            <w:vAlign w:val="center"/>
          </w:tcPr>
          <w:p w14:paraId="6A1DD48D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2/22 (9.09%)</w:t>
            </w:r>
          </w:p>
        </w:tc>
        <w:tc>
          <w:tcPr>
            <w:tcW w:w="2372" w:type="dxa"/>
            <w:vAlign w:val="center"/>
          </w:tcPr>
          <w:p w14:paraId="28D94B7A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2" w:type="dxa"/>
            <w:noWrap/>
            <w:vAlign w:val="bottom"/>
          </w:tcPr>
          <w:p w14:paraId="6977C461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12633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6A913BD3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FIGO stage (2023)</w:t>
            </w:r>
          </w:p>
        </w:tc>
        <w:tc>
          <w:tcPr>
            <w:tcW w:w="2237" w:type="dxa"/>
            <w:vAlign w:val="center"/>
          </w:tcPr>
          <w:p w14:paraId="4D27CD1A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372" w:type="dxa"/>
            <w:vAlign w:val="center"/>
          </w:tcPr>
          <w:p w14:paraId="22C67AF1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2" w:type="dxa"/>
            <w:noWrap/>
            <w:vAlign w:val="bottom"/>
          </w:tcPr>
          <w:p w14:paraId="42FA746F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7711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3A425669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Ⅰ</w:t>
            </w:r>
          </w:p>
        </w:tc>
        <w:tc>
          <w:tcPr>
            <w:tcW w:w="2237" w:type="dxa"/>
            <w:vAlign w:val="center"/>
          </w:tcPr>
          <w:p w14:paraId="04A456FC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15/22 (68.18%)</w:t>
            </w:r>
          </w:p>
        </w:tc>
        <w:tc>
          <w:tcPr>
            <w:tcW w:w="2372" w:type="dxa"/>
            <w:vAlign w:val="center"/>
          </w:tcPr>
          <w:p w14:paraId="18D18561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2" w:type="dxa"/>
            <w:noWrap/>
            <w:vAlign w:val="bottom"/>
          </w:tcPr>
          <w:p w14:paraId="2ABED6A6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70888C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5A514D16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Ⅱ</w:t>
            </w:r>
          </w:p>
        </w:tc>
        <w:tc>
          <w:tcPr>
            <w:tcW w:w="2237" w:type="dxa"/>
            <w:vAlign w:val="center"/>
          </w:tcPr>
          <w:p w14:paraId="52F8EEEE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2/22 (9.09%)</w:t>
            </w:r>
          </w:p>
        </w:tc>
        <w:tc>
          <w:tcPr>
            <w:tcW w:w="2372" w:type="dxa"/>
            <w:vAlign w:val="center"/>
          </w:tcPr>
          <w:p w14:paraId="77335A0B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2" w:type="dxa"/>
            <w:noWrap/>
            <w:vAlign w:val="bottom"/>
          </w:tcPr>
          <w:p w14:paraId="43A60F78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D9EBC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728D8265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Ⅲ</w:t>
            </w:r>
          </w:p>
        </w:tc>
        <w:tc>
          <w:tcPr>
            <w:tcW w:w="2237" w:type="dxa"/>
            <w:vAlign w:val="center"/>
          </w:tcPr>
          <w:p w14:paraId="2BF916E4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3/22 (13.64%)</w:t>
            </w:r>
          </w:p>
        </w:tc>
        <w:tc>
          <w:tcPr>
            <w:tcW w:w="2372" w:type="dxa"/>
            <w:vAlign w:val="center"/>
          </w:tcPr>
          <w:p w14:paraId="02E29E94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2" w:type="dxa"/>
            <w:vAlign w:val="bottom"/>
          </w:tcPr>
          <w:p w14:paraId="41D99CE4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7DBDA4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34CF093D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Not Applicable</w:t>
            </w:r>
          </w:p>
        </w:tc>
        <w:tc>
          <w:tcPr>
            <w:tcW w:w="2237" w:type="dxa"/>
            <w:vAlign w:val="center"/>
          </w:tcPr>
          <w:p w14:paraId="20DCA59D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2/22 (9.09%)</w:t>
            </w:r>
          </w:p>
        </w:tc>
        <w:tc>
          <w:tcPr>
            <w:tcW w:w="2372" w:type="dxa"/>
            <w:vAlign w:val="center"/>
          </w:tcPr>
          <w:p w14:paraId="279A2B33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2" w:type="dxa"/>
            <w:vAlign w:val="bottom"/>
          </w:tcPr>
          <w:p w14:paraId="52ACCF55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5286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69980F05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Histological grade</w:t>
            </w:r>
          </w:p>
        </w:tc>
        <w:tc>
          <w:tcPr>
            <w:tcW w:w="2237" w:type="dxa"/>
            <w:vAlign w:val="center"/>
          </w:tcPr>
          <w:p w14:paraId="07DFC415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372" w:type="dxa"/>
            <w:vAlign w:val="center"/>
          </w:tcPr>
          <w:p w14:paraId="75041BD7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2" w:type="dxa"/>
            <w:noWrap/>
            <w:vAlign w:val="bottom"/>
          </w:tcPr>
          <w:p w14:paraId="25D55910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C6D0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58B84A53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1</w:t>
            </w:r>
          </w:p>
        </w:tc>
        <w:tc>
          <w:tcPr>
            <w:tcW w:w="2237" w:type="dxa"/>
            <w:vAlign w:val="center"/>
          </w:tcPr>
          <w:p w14:paraId="2166AB94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6/22 (27.27%)</w:t>
            </w:r>
          </w:p>
        </w:tc>
        <w:tc>
          <w:tcPr>
            <w:tcW w:w="2372" w:type="dxa"/>
            <w:vAlign w:val="center"/>
          </w:tcPr>
          <w:p w14:paraId="63B198E8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2" w:type="dxa"/>
            <w:noWrap/>
            <w:vAlign w:val="bottom"/>
          </w:tcPr>
          <w:p w14:paraId="45C28F72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40F0EB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793EA182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2</w:t>
            </w:r>
          </w:p>
        </w:tc>
        <w:tc>
          <w:tcPr>
            <w:tcW w:w="2237" w:type="dxa"/>
            <w:vAlign w:val="center"/>
          </w:tcPr>
          <w:p w14:paraId="2BBA2BC1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10/22 (45.45%)</w:t>
            </w:r>
          </w:p>
        </w:tc>
        <w:tc>
          <w:tcPr>
            <w:tcW w:w="2372" w:type="dxa"/>
            <w:vAlign w:val="center"/>
          </w:tcPr>
          <w:p w14:paraId="51B8A5E8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2" w:type="dxa"/>
            <w:vAlign w:val="bottom"/>
          </w:tcPr>
          <w:p w14:paraId="1B0C3100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25A1C3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52FB9F89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3</w:t>
            </w:r>
          </w:p>
        </w:tc>
        <w:tc>
          <w:tcPr>
            <w:tcW w:w="2237" w:type="dxa"/>
            <w:vAlign w:val="center"/>
          </w:tcPr>
          <w:p w14:paraId="753C2FD9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3/22 (13.64%)</w:t>
            </w:r>
          </w:p>
        </w:tc>
        <w:tc>
          <w:tcPr>
            <w:tcW w:w="2372" w:type="dxa"/>
            <w:vAlign w:val="center"/>
          </w:tcPr>
          <w:p w14:paraId="764D8337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2" w:type="dxa"/>
            <w:noWrap/>
            <w:vAlign w:val="bottom"/>
          </w:tcPr>
          <w:p w14:paraId="3BF2E235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7B14C6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19DAE6B9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Unknow</w:t>
            </w:r>
          </w:p>
        </w:tc>
        <w:tc>
          <w:tcPr>
            <w:tcW w:w="2237" w:type="dxa"/>
            <w:vAlign w:val="center"/>
          </w:tcPr>
          <w:p w14:paraId="1341E192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3/22 (13.64%)</w:t>
            </w:r>
          </w:p>
        </w:tc>
        <w:tc>
          <w:tcPr>
            <w:tcW w:w="2372" w:type="dxa"/>
            <w:vAlign w:val="center"/>
          </w:tcPr>
          <w:p w14:paraId="14D58E6D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2" w:type="dxa"/>
            <w:noWrap/>
            <w:vAlign w:val="bottom"/>
          </w:tcPr>
          <w:p w14:paraId="71B75ADC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68870F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54FAE7FC">
            <w:pPr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Depth of myometrial invasion</w:t>
            </w:r>
          </w:p>
        </w:tc>
        <w:tc>
          <w:tcPr>
            <w:tcW w:w="2237" w:type="dxa"/>
            <w:vAlign w:val="center"/>
          </w:tcPr>
          <w:p w14:paraId="694C9109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372" w:type="dxa"/>
            <w:vAlign w:val="center"/>
          </w:tcPr>
          <w:p w14:paraId="17397CFA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2" w:type="dxa"/>
            <w:noWrap/>
            <w:vAlign w:val="bottom"/>
          </w:tcPr>
          <w:p w14:paraId="4F923089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2343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7ED11A64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&lt; 50%</w:t>
            </w:r>
          </w:p>
        </w:tc>
        <w:tc>
          <w:tcPr>
            <w:tcW w:w="2237" w:type="dxa"/>
            <w:vAlign w:val="center"/>
          </w:tcPr>
          <w:p w14:paraId="58AC83C5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7/22 (31.82%)</w:t>
            </w:r>
          </w:p>
        </w:tc>
        <w:tc>
          <w:tcPr>
            <w:tcW w:w="2372" w:type="dxa"/>
            <w:vAlign w:val="center"/>
          </w:tcPr>
          <w:p w14:paraId="769A2E2C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2" w:type="dxa"/>
            <w:noWrap/>
            <w:vAlign w:val="center"/>
          </w:tcPr>
          <w:p w14:paraId="001391EB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 w14:paraId="297D62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2AFB14F1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≥ 50%</w:t>
            </w:r>
          </w:p>
        </w:tc>
        <w:tc>
          <w:tcPr>
            <w:tcW w:w="2237" w:type="dxa"/>
            <w:vAlign w:val="center"/>
          </w:tcPr>
          <w:p w14:paraId="302A5224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9/22 (40.91%)</w:t>
            </w:r>
          </w:p>
        </w:tc>
        <w:tc>
          <w:tcPr>
            <w:tcW w:w="2372" w:type="dxa"/>
            <w:vAlign w:val="center"/>
          </w:tcPr>
          <w:p w14:paraId="035E7E32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2" w:type="dxa"/>
            <w:noWrap/>
            <w:vAlign w:val="center"/>
          </w:tcPr>
          <w:p w14:paraId="333986D3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 w14:paraId="0B5BB3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7F8047A5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Not Applicable</w:t>
            </w:r>
          </w:p>
        </w:tc>
        <w:tc>
          <w:tcPr>
            <w:tcW w:w="2237" w:type="dxa"/>
            <w:vAlign w:val="center"/>
          </w:tcPr>
          <w:p w14:paraId="283BA62F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6/22 (27.27%)</w:t>
            </w:r>
          </w:p>
        </w:tc>
        <w:tc>
          <w:tcPr>
            <w:tcW w:w="2372" w:type="dxa"/>
            <w:vAlign w:val="center"/>
          </w:tcPr>
          <w:p w14:paraId="07F1DDCE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2" w:type="dxa"/>
            <w:noWrap/>
            <w:vAlign w:val="center"/>
          </w:tcPr>
          <w:p w14:paraId="511EBB92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 w14:paraId="62054A7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7EBA68EB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Distant metastasis</w:t>
            </w:r>
          </w:p>
        </w:tc>
        <w:tc>
          <w:tcPr>
            <w:tcW w:w="2237" w:type="dxa"/>
            <w:vAlign w:val="center"/>
          </w:tcPr>
          <w:p w14:paraId="630F418C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372" w:type="dxa"/>
            <w:vAlign w:val="center"/>
          </w:tcPr>
          <w:p w14:paraId="188143D5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32" w:type="dxa"/>
            <w:noWrap/>
            <w:vAlign w:val="center"/>
          </w:tcPr>
          <w:p w14:paraId="73CE14F2">
            <w:pPr>
              <w:snapToGrid w:val="0"/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18A2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1832F0F4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Yes</w:t>
            </w:r>
          </w:p>
        </w:tc>
        <w:tc>
          <w:tcPr>
            <w:tcW w:w="2237" w:type="dxa"/>
            <w:vAlign w:val="center"/>
          </w:tcPr>
          <w:p w14:paraId="249CC679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3/22 (13.64%)</w:t>
            </w:r>
          </w:p>
        </w:tc>
        <w:tc>
          <w:tcPr>
            <w:tcW w:w="2372" w:type="dxa"/>
            <w:vAlign w:val="center"/>
          </w:tcPr>
          <w:p w14:paraId="68897E51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2" w:type="dxa"/>
            <w:noWrap/>
            <w:vAlign w:val="center"/>
          </w:tcPr>
          <w:p w14:paraId="1DC1EA1C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 w14:paraId="2F7F7C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3178" w:type="dxa"/>
            <w:noWrap/>
            <w:vAlign w:val="center"/>
          </w:tcPr>
          <w:p w14:paraId="25913C11">
            <w:pPr>
              <w:widowControl/>
              <w:spacing w:before="62" w:beforeLines="20" w:line="288" w:lineRule="auto"/>
              <w:ind w:firstLine="503" w:firstLineChars="28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shd w:val="clear" w:color="auto" w:fill="FFFFFF"/>
                <w:lang w:bidi="ar"/>
              </w:rPr>
              <w:t>No</w:t>
            </w:r>
          </w:p>
        </w:tc>
        <w:tc>
          <w:tcPr>
            <w:tcW w:w="2237" w:type="dxa"/>
            <w:vAlign w:val="center"/>
          </w:tcPr>
          <w:p w14:paraId="4F6A3988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19/22 (86.36%)</w:t>
            </w:r>
          </w:p>
        </w:tc>
        <w:tc>
          <w:tcPr>
            <w:tcW w:w="2372" w:type="dxa"/>
            <w:vAlign w:val="center"/>
          </w:tcPr>
          <w:p w14:paraId="1BB9B6AB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132" w:type="dxa"/>
            <w:noWrap/>
            <w:vAlign w:val="center"/>
          </w:tcPr>
          <w:p w14:paraId="406F6D9D">
            <w:pPr>
              <w:widowControl/>
              <w:spacing w:before="62" w:beforeLines="20" w:line="288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</w:tbl>
    <w:p w14:paraId="3266478A">
      <w:pPr>
        <w:spacing w:line="360" w:lineRule="auto"/>
        <w:rPr>
          <w:rFonts w:ascii="Times New Roman" w:hAnsi="Times New Roman" w:cs="Times New Roman"/>
          <w:bCs/>
          <w:shd w:val="clear" w:color="auto" w:fill="FFFFFF"/>
        </w:rPr>
      </w:pPr>
    </w:p>
    <w:p w14:paraId="139FA8AD">
      <w:pPr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br w:type="page"/>
      </w:r>
    </w:p>
    <w:p w14:paraId="10B26C73">
      <w:pPr>
        <w:spacing w:line="360" w:lineRule="auto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sz w:val="18"/>
          <w:szCs w:val="18"/>
        </w:rPr>
        <w:t xml:space="preserve">Supplementary Table 3 | </w:t>
      </w:r>
      <w:r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Performance comparison of different supervised machine learning models for classification of clinical endometrial cytological samples based on electrochemical response signals. </w:t>
      </w:r>
    </w:p>
    <w:tbl>
      <w:tblPr>
        <w:tblStyle w:val="8"/>
        <w:tblpPr w:leftFromText="180" w:rightFromText="180" w:vertAnchor="text" w:horzAnchor="page" w:tblpX="1938" w:tblpY="125"/>
        <w:tblOverlap w:val="never"/>
        <w:tblW w:w="5222" w:type="pct"/>
        <w:tblInd w:w="0" w:type="dxa"/>
        <w:tblBorders>
          <w:top w:val="none" w:color="auto" w:sz="12" w:space="0"/>
          <w:left w:val="none" w:color="auto" w:sz="0" w:space="0"/>
          <w:bottom w:val="non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718"/>
        <w:gridCol w:w="2216"/>
        <w:gridCol w:w="1923"/>
        <w:gridCol w:w="2247"/>
      </w:tblGrid>
      <w:tr w14:paraId="5CCF8B07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79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54269950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single" w:color="auto" w:sz="12" w:space="0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6D7B7736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KNN</w:t>
            </w:r>
          </w:p>
        </w:tc>
        <w:tc>
          <w:tcPr>
            <w:tcW w:w="2216" w:type="dxa"/>
            <w:tcBorders>
              <w:top w:val="single" w:color="auto" w:sz="12" w:space="0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083CC3ED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SVM-RBF</w:t>
            </w:r>
          </w:p>
        </w:tc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0CB8899F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LogReg</w:t>
            </w:r>
          </w:p>
        </w:tc>
        <w:tc>
          <w:tcPr>
            <w:tcW w:w="2247" w:type="dxa"/>
            <w:tcBorders>
              <w:top w:val="single" w:color="auto" w:sz="12" w:space="0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4EEC0960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DecisionTree</w:t>
            </w:r>
          </w:p>
        </w:tc>
      </w:tr>
      <w:tr w14:paraId="5ACAF6BD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797" w:type="dxa"/>
            <w:tcBorders>
              <w:top w:val="single" w:color="auto" w:sz="12" w:space="0"/>
              <w:left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0C50987B">
            <w:pPr>
              <w:pStyle w:val="2"/>
              <w:widowControl/>
              <w:wordWrap/>
              <w:spacing w:line="360" w:lineRule="exact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Se</w:t>
            </w:r>
          </w:p>
        </w:tc>
        <w:tc>
          <w:tcPr>
            <w:tcW w:w="1718" w:type="dxa"/>
            <w:tcBorders>
              <w:top w:val="single" w:color="auto" w:sz="12" w:space="0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160F1F9D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90.91%</w:t>
            </w:r>
          </w:p>
        </w:tc>
        <w:tc>
          <w:tcPr>
            <w:tcW w:w="2216" w:type="dxa"/>
            <w:tcBorders>
              <w:top w:val="single" w:color="auto" w:sz="12" w:space="0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31FF4819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86.36%</w:t>
            </w:r>
          </w:p>
        </w:tc>
        <w:tc>
          <w:tcPr>
            <w:tcW w:w="1923" w:type="dxa"/>
            <w:tcBorders>
              <w:top w:val="single" w:color="auto" w:sz="12" w:space="0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2AB320C6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86.36%</w:t>
            </w:r>
          </w:p>
        </w:tc>
        <w:tc>
          <w:tcPr>
            <w:tcW w:w="2247" w:type="dxa"/>
            <w:tcBorders>
              <w:top w:val="single" w:color="auto" w:sz="12" w:space="0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0C1C5A77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81.82%</w:t>
            </w:r>
          </w:p>
        </w:tc>
      </w:tr>
      <w:tr w14:paraId="26FDE4FF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1E59F8DD">
            <w:pPr>
              <w:pStyle w:val="2"/>
              <w:widowControl/>
              <w:wordWrap/>
              <w:spacing w:line="360" w:lineRule="exact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Sp</w:t>
            </w:r>
          </w:p>
        </w:tc>
        <w:tc>
          <w:tcPr>
            <w:tcW w:w="1718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7DF88595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68.18%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2F9EC12A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86.36%</w:t>
            </w:r>
          </w:p>
        </w:tc>
        <w:tc>
          <w:tcPr>
            <w:tcW w:w="1923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3E0388E0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86.36%</w:t>
            </w:r>
          </w:p>
        </w:tc>
        <w:tc>
          <w:tcPr>
            <w:tcW w:w="2247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1E6DB265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77.27%</w:t>
            </w:r>
          </w:p>
        </w:tc>
      </w:tr>
      <w:tr w14:paraId="22AAC729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30790477">
            <w:pPr>
              <w:pStyle w:val="2"/>
              <w:widowControl/>
              <w:wordWrap/>
              <w:spacing w:line="360" w:lineRule="exact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FNR</w:t>
            </w:r>
          </w:p>
        </w:tc>
        <w:tc>
          <w:tcPr>
            <w:tcW w:w="1718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789EDD19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9.09%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3B94617C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13.64%</w:t>
            </w:r>
          </w:p>
        </w:tc>
        <w:tc>
          <w:tcPr>
            <w:tcW w:w="1923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3779086F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13.64%</w:t>
            </w:r>
          </w:p>
        </w:tc>
        <w:tc>
          <w:tcPr>
            <w:tcW w:w="2247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5E36A098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18.18%</w:t>
            </w:r>
          </w:p>
        </w:tc>
      </w:tr>
      <w:tr w14:paraId="4C6B47B8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0FF099EF">
            <w:pPr>
              <w:pStyle w:val="2"/>
              <w:widowControl/>
              <w:wordWrap/>
              <w:spacing w:line="360" w:lineRule="exact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FPR</w:t>
            </w:r>
          </w:p>
        </w:tc>
        <w:tc>
          <w:tcPr>
            <w:tcW w:w="1718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63461819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31.82%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60184DE8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13.64%</w:t>
            </w:r>
          </w:p>
        </w:tc>
        <w:tc>
          <w:tcPr>
            <w:tcW w:w="1923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7CF7AECC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13.64%</w:t>
            </w:r>
          </w:p>
        </w:tc>
        <w:tc>
          <w:tcPr>
            <w:tcW w:w="2247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0AD8B0DE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22.73%</w:t>
            </w:r>
          </w:p>
        </w:tc>
      </w:tr>
      <w:tr w14:paraId="6633BEAE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2CA2A1D6">
            <w:pPr>
              <w:pStyle w:val="2"/>
              <w:widowControl/>
              <w:wordWrap/>
              <w:spacing w:line="360" w:lineRule="exact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PV+</w:t>
            </w:r>
          </w:p>
        </w:tc>
        <w:tc>
          <w:tcPr>
            <w:tcW w:w="1718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75D2BD0C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74.07%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6D3706DD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86.36%</w:t>
            </w:r>
          </w:p>
        </w:tc>
        <w:tc>
          <w:tcPr>
            <w:tcW w:w="1923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4EA3901B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86.36%</w:t>
            </w:r>
          </w:p>
        </w:tc>
        <w:tc>
          <w:tcPr>
            <w:tcW w:w="2247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1278FA07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78.26%</w:t>
            </w:r>
          </w:p>
        </w:tc>
      </w:tr>
      <w:tr w14:paraId="690C5734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37159682">
            <w:pPr>
              <w:pStyle w:val="2"/>
              <w:widowControl/>
              <w:wordWrap/>
              <w:spacing w:line="360" w:lineRule="exact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PV-</w:t>
            </w:r>
          </w:p>
        </w:tc>
        <w:tc>
          <w:tcPr>
            <w:tcW w:w="1718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4DE9C012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88.23%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2436567D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86.36%</w:t>
            </w:r>
          </w:p>
        </w:tc>
        <w:tc>
          <w:tcPr>
            <w:tcW w:w="1923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4F5863D5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86.36%</w:t>
            </w:r>
          </w:p>
        </w:tc>
        <w:tc>
          <w:tcPr>
            <w:tcW w:w="2247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038591A1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80.95%</w:t>
            </w:r>
          </w:p>
        </w:tc>
      </w:tr>
      <w:tr w14:paraId="5ACAE4A9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6A507551">
            <w:pPr>
              <w:pStyle w:val="2"/>
              <w:widowControl/>
              <w:wordWrap/>
              <w:spacing w:line="360" w:lineRule="exact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LR+</w:t>
            </w:r>
          </w:p>
        </w:tc>
        <w:tc>
          <w:tcPr>
            <w:tcW w:w="1718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1AEFE98D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0E696CD4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6.33</w:t>
            </w:r>
          </w:p>
        </w:tc>
        <w:tc>
          <w:tcPr>
            <w:tcW w:w="1923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1E31C961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6.33</w:t>
            </w:r>
          </w:p>
        </w:tc>
        <w:tc>
          <w:tcPr>
            <w:tcW w:w="2247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6141EC33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3.6</w:t>
            </w:r>
          </w:p>
        </w:tc>
      </w:tr>
      <w:tr w14:paraId="55432CBA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tblHeader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1EA115ED">
            <w:pPr>
              <w:pStyle w:val="2"/>
              <w:widowControl/>
              <w:wordWrap/>
              <w:spacing w:line="360" w:lineRule="exact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LR-</w:t>
            </w:r>
          </w:p>
        </w:tc>
        <w:tc>
          <w:tcPr>
            <w:tcW w:w="1718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151BB38C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1CB35DE3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923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68529FDE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2247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33B2418F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0.24</w:t>
            </w:r>
          </w:p>
        </w:tc>
      </w:tr>
      <w:tr w14:paraId="2AB34A45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22E76A31">
            <w:pPr>
              <w:pStyle w:val="2"/>
              <w:widowControl/>
              <w:wordWrap/>
              <w:spacing w:line="360" w:lineRule="exact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Ac</w:t>
            </w:r>
          </w:p>
        </w:tc>
        <w:tc>
          <w:tcPr>
            <w:tcW w:w="1718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79728D20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79.55%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0F1E64CE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86.36%</w:t>
            </w:r>
          </w:p>
        </w:tc>
        <w:tc>
          <w:tcPr>
            <w:tcW w:w="1923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3512AE43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86.36%</w:t>
            </w:r>
          </w:p>
        </w:tc>
        <w:tc>
          <w:tcPr>
            <w:tcW w:w="2247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0D245535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79.55%</w:t>
            </w:r>
          </w:p>
        </w:tc>
      </w:tr>
      <w:tr w14:paraId="6BA503A8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tblHeader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62C9C423">
            <w:pPr>
              <w:pStyle w:val="2"/>
              <w:widowControl/>
              <w:wordWrap/>
              <w:spacing w:line="360" w:lineRule="exact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  <w:t>YI</w:t>
            </w:r>
          </w:p>
        </w:tc>
        <w:tc>
          <w:tcPr>
            <w:tcW w:w="1718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555603DA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2216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1849B3F6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923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6597D644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2247" w:type="dxa"/>
            <w:tcBorders>
              <w:top w:val="nil"/>
              <w:bottom w:val="nil"/>
              <w:right w:val="nil"/>
              <w:insideV w:val="nil"/>
              <w:tl2br w:val="nil"/>
              <w:tr2bl w:val="nil"/>
            </w:tcBorders>
            <w:vAlign w:val="center"/>
          </w:tcPr>
          <w:p w14:paraId="65D38A70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0.59</w:t>
            </w:r>
          </w:p>
        </w:tc>
      </w:tr>
      <w:tr w14:paraId="1877ED83">
        <w:tblPrEx>
          <w:tblBorders>
            <w:top w:val="none" w:color="auto" w:sz="12" w:space="0"/>
            <w:left w:val="none" w:color="auto" w:sz="0" w:space="0"/>
            <w:bottom w:val="non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tblHeader/>
        </w:trPr>
        <w:tc>
          <w:tcPr>
            <w:tcW w:w="797" w:type="dxa"/>
            <w:tcBorders>
              <w:top w:val="nil"/>
              <w:left w:val="nil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7252B97A">
            <w:pPr>
              <w:pStyle w:val="2"/>
              <w:widowControl/>
              <w:wordWrap/>
              <w:spacing w:line="360" w:lineRule="exact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AUC</w:t>
            </w:r>
          </w:p>
        </w:tc>
        <w:tc>
          <w:tcPr>
            <w:tcW w:w="1718" w:type="dxa"/>
            <w:tcBorders>
              <w:top w:val="nil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69860E47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0.866</w:t>
            </w:r>
          </w:p>
        </w:tc>
        <w:tc>
          <w:tcPr>
            <w:tcW w:w="2216" w:type="dxa"/>
            <w:tcBorders>
              <w:top w:val="nil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1A0BA4E7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0.860</w:t>
            </w:r>
          </w:p>
        </w:tc>
        <w:tc>
          <w:tcPr>
            <w:tcW w:w="1923" w:type="dxa"/>
            <w:tcBorders>
              <w:top w:val="nil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3FEB7B43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2247" w:type="dxa"/>
            <w:tcBorders>
              <w:top w:val="nil"/>
              <w:bottom w:val="single" w:color="auto" w:sz="12" w:space="0"/>
              <w:right w:val="nil"/>
              <w:insideV w:val="nil"/>
              <w:tl2br w:val="nil"/>
              <w:tr2bl w:val="nil"/>
            </w:tcBorders>
            <w:vAlign w:val="center"/>
          </w:tcPr>
          <w:p w14:paraId="0200192F">
            <w:pPr>
              <w:pStyle w:val="2"/>
              <w:widowControl/>
              <w:wordWrap/>
              <w:spacing w:line="360" w:lineRule="exact"/>
              <w:jc w:val="center"/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18"/>
                <w:szCs w:val="18"/>
              </w:rPr>
              <w:t>0.810</w:t>
            </w:r>
          </w:p>
        </w:tc>
      </w:tr>
    </w:tbl>
    <w:p w14:paraId="40E6690F">
      <w:pPr>
        <w:widowControl/>
        <w:spacing w:before="62" w:beforeLines="20" w:line="288" w:lineRule="auto"/>
        <w:jc w:val="left"/>
        <w:rPr>
          <w:rFonts w:ascii="Times New Roman" w:hAnsi="Times New Roman" w:eastAsia="宋体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KNN, k-nearest neighbors; SVM-RBF, support vector machine with radial basis function kernel; LogReg, logistic regression; S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de-DE" w:bidi="ar"/>
        </w:rPr>
        <w:t>e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, se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de-DE" w:bidi="ar"/>
        </w:rPr>
        <w:t>nsitivity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de-DE" w:bidi="ar"/>
        </w:rPr>
        <w:t>Sp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, s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de-DE" w:bidi="ar"/>
        </w:rPr>
        <w:t>pecificity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de-DE" w:bidi="ar"/>
        </w:rPr>
        <w:t>F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N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de-DE" w:bidi="ar"/>
        </w:rPr>
        <w:t>R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, f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de-DE" w:bidi="ar"/>
        </w:rPr>
        <w:t>alse negative rate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de-DE" w:bidi="ar"/>
        </w:rPr>
        <w:t>FPR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, f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de-DE" w:bidi="ar"/>
        </w:rPr>
        <w:t>alse positive rate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de-DE" w:bidi="ar"/>
        </w:rPr>
        <w:t>PV+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, p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de-DE" w:bidi="ar"/>
        </w:rPr>
        <w:t>ositive predictive value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de-DE" w:bidi="ar"/>
        </w:rPr>
        <w:t>PV-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, n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de-DE" w:bidi="ar"/>
        </w:rPr>
        <w:t>egative predictive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de-DE" w:bidi="ar"/>
        </w:rPr>
        <w:t>value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;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de-DE" w:bidi="ar"/>
        </w:rPr>
        <w:t>LR+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, p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val="de-DE" w:bidi="ar"/>
        </w:rPr>
        <w:t>ositive likelihood ratio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; LR-, negative likelihood ratio; Ac, accuracy; YI, Youden index; AUC, area under the curve.</w:t>
      </w:r>
    </w:p>
    <w:p w14:paraId="0868CBA1">
      <w:pPr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br w:type="page"/>
      </w:r>
    </w:p>
    <w:p w14:paraId="22CFD3DF">
      <w:pPr>
        <w:spacing w:line="360" w:lineRule="auto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  <w:r>
        <w:rPr>
          <w:rFonts w:hint="eastAsia" w:ascii="Times New Roman" w:hAnsi="Times New Roman" w:eastAsia="Times New Roman" w:cs="Times New Roman"/>
          <w:b/>
          <w:bCs/>
          <w:sz w:val="18"/>
          <w:szCs w:val="18"/>
        </w:rPr>
        <w:t>Supplementary Table 4 |</w:t>
      </w:r>
      <w:r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 List of primer sequences</w:t>
      </w:r>
      <w:r>
        <w:rPr>
          <w:rFonts w:hint="eastAsia" w:ascii="Times New Roman" w:hAnsi="Times New Roman" w:cs="Times New Roman"/>
          <w:bCs/>
          <w:sz w:val="18"/>
          <w:szCs w:val="18"/>
          <w:shd w:val="clear" w:color="auto" w:fill="FFFFFF"/>
        </w:rPr>
        <w:t>.</w:t>
      </w:r>
    </w:p>
    <w:tbl>
      <w:tblPr>
        <w:tblStyle w:val="4"/>
        <w:tblW w:w="8384" w:type="dxa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817"/>
        <w:gridCol w:w="3933"/>
        <w:gridCol w:w="1434"/>
      </w:tblGrid>
      <w:tr w14:paraId="7F1CB4B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200" w:type="dxa"/>
            <w:tcBorders>
              <w:top w:val="single" w:color="auto" w:sz="12" w:space="0"/>
              <w:bottom w:val="single" w:color="auto" w:sz="12" w:space="0"/>
            </w:tcBorders>
          </w:tcPr>
          <w:p w14:paraId="6A6DE5B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Primer</w:t>
            </w:r>
          </w:p>
        </w:tc>
        <w:tc>
          <w:tcPr>
            <w:tcW w:w="1817" w:type="dxa"/>
            <w:tcBorders>
              <w:top w:val="single" w:color="auto" w:sz="12" w:space="0"/>
              <w:bottom w:val="single" w:color="auto" w:sz="12" w:space="0"/>
            </w:tcBorders>
          </w:tcPr>
          <w:p w14:paraId="060C1344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Strand</w:t>
            </w:r>
          </w:p>
        </w:tc>
        <w:tc>
          <w:tcPr>
            <w:tcW w:w="3933" w:type="dxa"/>
            <w:tcBorders>
              <w:top w:val="single" w:color="auto" w:sz="12" w:space="0"/>
              <w:bottom w:val="single" w:color="auto" w:sz="12" w:space="0"/>
            </w:tcBorders>
          </w:tcPr>
          <w:p w14:paraId="672E8DBC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Sequence (5’ to 3’)</w:t>
            </w:r>
          </w:p>
        </w:tc>
        <w:tc>
          <w:tcPr>
            <w:tcW w:w="1434" w:type="dxa"/>
            <w:tcBorders>
              <w:top w:val="single" w:color="auto" w:sz="12" w:space="0"/>
              <w:bottom w:val="single" w:color="auto" w:sz="12" w:space="0"/>
            </w:tcBorders>
          </w:tcPr>
          <w:p w14:paraId="3CB2D647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Method</w:t>
            </w:r>
          </w:p>
        </w:tc>
      </w:tr>
      <w:tr w14:paraId="5F6BC0B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200" w:type="dxa"/>
            <w:tcBorders>
              <w:top w:val="single" w:color="auto" w:sz="12" w:space="0"/>
            </w:tcBorders>
          </w:tcPr>
          <w:p w14:paraId="5FEBED08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EpCAM</w:t>
            </w:r>
          </w:p>
        </w:tc>
        <w:tc>
          <w:tcPr>
            <w:tcW w:w="1817" w:type="dxa"/>
            <w:tcBorders>
              <w:top w:val="single" w:color="auto" w:sz="12" w:space="0"/>
            </w:tcBorders>
          </w:tcPr>
          <w:p w14:paraId="25F2D06F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Forward</w:t>
            </w:r>
          </w:p>
        </w:tc>
        <w:tc>
          <w:tcPr>
            <w:tcW w:w="3933" w:type="dxa"/>
            <w:tcBorders>
              <w:top w:val="single" w:color="auto" w:sz="12" w:space="0"/>
            </w:tcBorders>
          </w:tcPr>
          <w:p w14:paraId="08FD85AB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AAT CGT CAA TGC CAG TGT ACT T</w:t>
            </w:r>
          </w:p>
        </w:tc>
        <w:tc>
          <w:tcPr>
            <w:tcW w:w="1434" w:type="dxa"/>
            <w:tcBorders>
              <w:top w:val="single" w:color="auto" w:sz="12" w:space="0"/>
            </w:tcBorders>
          </w:tcPr>
          <w:p w14:paraId="0C591E28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qRT-PCR</w:t>
            </w:r>
          </w:p>
        </w:tc>
      </w:tr>
      <w:tr w14:paraId="7FF030C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200" w:type="dxa"/>
          </w:tcPr>
          <w:p w14:paraId="41A20A1A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EpCAM</w:t>
            </w:r>
          </w:p>
        </w:tc>
        <w:tc>
          <w:tcPr>
            <w:tcW w:w="1817" w:type="dxa"/>
          </w:tcPr>
          <w:p w14:paraId="59FA07B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Reverse</w:t>
            </w:r>
          </w:p>
        </w:tc>
        <w:tc>
          <w:tcPr>
            <w:tcW w:w="3933" w:type="dxa"/>
          </w:tcPr>
          <w:p w14:paraId="65008FB3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TCT CAT CGC AGT CAG GAT CAT AA</w:t>
            </w:r>
          </w:p>
        </w:tc>
        <w:tc>
          <w:tcPr>
            <w:tcW w:w="1434" w:type="dxa"/>
          </w:tcPr>
          <w:p w14:paraId="14C6BBA0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qRT-PCR</w:t>
            </w:r>
          </w:p>
        </w:tc>
      </w:tr>
      <w:tr w14:paraId="69E8685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200" w:type="dxa"/>
          </w:tcPr>
          <w:p w14:paraId="2B4D0DD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α-Tublin</w:t>
            </w:r>
          </w:p>
        </w:tc>
        <w:tc>
          <w:tcPr>
            <w:tcW w:w="1817" w:type="dxa"/>
          </w:tcPr>
          <w:p w14:paraId="44B991B2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Forward</w:t>
            </w:r>
          </w:p>
        </w:tc>
        <w:tc>
          <w:tcPr>
            <w:tcW w:w="3933" w:type="dxa"/>
          </w:tcPr>
          <w:p w14:paraId="33B5536E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ATG GAG CCC TGA ATG TTG AC</w:t>
            </w:r>
          </w:p>
        </w:tc>
        <w:tc>
          <w:tcPr>
            <w:tcW w:w="1434" w:type="dxa"/>
          </w:tcPr>
          <w:p w14:paraId="081346C0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qRT-PCR</w:t>
            </w:r>
          </w:p>
        </w:tc>
      </w:tr>
      <w:tr w14:paraId="42778FA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200" w:type="dxa"/>
            <w:tcBorders>
              <w:bottom w:val="single" w:color="auto" w:sz="12" w:space="0"/>
            </w:tcBorders>
          </w:tcPr>
          <w:p w14:paraId="2E488D06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α-Tublin</w:t>
            </w:r>
          </w:p>
        </w:tc>
        <w:tc>
          <w:tcPr>
            <w:tcW w:w="1817" w:type="dxa"/>
            <w:tcBorders>
              <w:bottom w:val="single" w:color="auto" w:sz="12" w:space="0"/>
            </w:tcBorders>
          </w:tcPr>
          <w:p w14:paraId="51EFBDA4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Reverse</w:t>
            </w:r>
          </w:p>
        </w:tc>
        <w:tc>
          <w:tcPr>
            <w:tcW w:w="3933" w:type="dxa"/>
            <w:tcBorders>
              <w:bottom w:val="single" w:color="auto" w:sz="12" w:space="0"/>
            </w:tcBorders>
          </w:tcPr>
          <w:p w14:paraId="6379016B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CTC AAA GCA AGC ATT GGT GA</w:t>
            </w:r>
          </w:p>
        </w:tc>
        <w:tc>
          <w:tcPr>
            <w:tcW w:w="1434" w:type="dxa"/>
            <w:tcBorders>
              <w:bottom w:val="single" w:color="auto" w:sz="12" w:space="0"/>
            </w:tcBorders>
          </w:tcPr>
          <w:p w14:paraId="47046F8B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zh-TW" w:bidi="ar"/>
              </w:rPr>
              <w:t>qRT-PCR</w:t>
            </w:r>
          </w:p>
        </w:tc>
      </w:tr>
    </w:tbl>
    <w:p w14:paraId="2A8A1F2E"/>
    <w:p w14:paraId="544F6FD1">
      <w:pPr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br w:type="page"/>
      </w:r>
    </w:p>
    <w:p w14:paraId="1BD295E1">
      <w:pPr>
        <w:spacing w:after="40"/>
        <w:jc w:val="left"/>
        <w:rPr>
          <w:rFonts w:ascii="Times New Roman" w:hAnsi="Times New Roman" w:eastAsia="Times New Roman" w:cs="Times New Roman"/>
          <w:sz w:val="24"/>
        </w:rPr>
      </w:pPr>
      <w:r>
        <w:rPr>
          <w:rFonts w:hint="eastAsia" w:ascii="Times New Roman" w:hAnsi="Times New Roman" w:eastAsia="宋体" w:cs="Times New Roman"/>
          <w:b/>
          <w:color w:val="000000"/>
          <w:sz w:val="24"/>
        </w:rPr>
        <w:t>Supplementary References</w:t>
      </w:r>
    </w:p>
    <w:p w14:paraId="7B9A2176">
      <w:pPr>
        <w:pStyle w:val="1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</w:t>
      </w:r>
      <w:r>
        <w:tab/>
      </w:r>
      <w:r>
        <w:rPr>
          <w:rFonts w:ascii="Times New Roman" w:hAnsi="Times New Roman" w:cs="Times New Roman"/>
          <w:szCs w:val="20"/>
        </w:rPr>
        <w:t xml:space="preserve">Jalil, O., Pandey, C. M. &amp; Kumar, D. Highly sensitive electrochemical detection of cancer biomarker based on anti-EpCAM conjugated molybdenum disulfide grafted reduced graphene oxide nanohybrid. </w:t>
      </w:r>
      <w:r>
        <w:rPr>
          <w:rFonts w:ascii="Times New Roman" w:hAnsi="Times New Roman" w:cs="Times New Roman"/>
          <w:i/>
          <w:szCs w:val="20"/>
        </w:rPr>
        <w:t>Bioelectrochemistry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b/>
          <w:szCs w:val="20"/>
        </w:rPr>
        <w:t>138</w:t>
      </w:r>
      <w:r>
        <w:rPr>
          <w:rFonts w:ascii="Times New Roman" w:hAnsi="Times New Roman" w:cs="Times New Roman"/>
          <w:szCs w:val="20"/>
        </w:rPr>
        <w:t xml:space="preserve">, 107733, doi:10.1016/j.bioelechem.2020.107733 </w:t>
      </w:r>
      <w:r>
        <w:rPr>
          <w:rFonts w:ascii="Times New Roman" w:hAnsi="Times New Roman" w:cs="Times New Roman"/>
        </w:rPr>
        <w:t>(2021).</w:t>
      </w:r>
    </w:p>
    <w:p w14:paraId="5948A73F">
      <w:pPr>
        <w:pStyle w:val="1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Guo, X. et al. Tetrahedron Probes for Ultrasensitive In Situ Detection of Telomerase and Surface Glycoprotein Activity in Living Cells. Anal Chem 92, 2310-2315, doi:10.1021/acs.analchem.9b05180 (2020).</w:t>
      </w:r>
    </w:p>
    <w:p w14:paraId="12142011">
      <w:pPr>
        <w:pStyle w:val="1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Shiddiky, M. J. A., Rauf, S., Kithva, P. H. &amp; Trau, M. Graphene/quantum dot bionanoconjugates as signal amplifiers in stripping voltammetric detection of EpCAM biomarkers. Biosens Bioelectron 35, 251-257, doi:10.1016/j.bios.2012.02.057 (2012).</w:t>
      </w:r>
    </w:p>
    <w:p w14:paraId="2D63998A">
      <w:pPr>
        <w:pStyle w:val="1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Sweety, Paneru, S. &amp; Kumar, D. CuS modified PEDOT:PSS grafted paper-based electrochemical immunosensor for EpCAM biomarker detection. Mater Chem Phys 313, 128687, doi:10.1016/j.matchemphys.2023.128687 (2024).</w:t>
      </w:r>
    </w:p>
    <w:p w14:paraId="459A835C">
      <w:pPr>
        <w:pStyle w:val="1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Ma, Y. et al. Aptamer-functionalized quasi-ZIF-67@methylene blue hybrid nanoprobes for the electrochemical aptasensing of epithelial cancer biomarkers. Chem Eng J 483, 149362, doi:10.1016/j.cej.2024.149362 (2024).</w:t>
      </w:r>
    </w:p>
    <w:p w14:paraId="706F552C">
      <w:pPr>
        <w:pStyle w:val="1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Wang, P. L. et al. Highly selective detection of breast cancer cells mediated by multi-aptamer and dye-loaded mesoporous silica nanoparticles. Microchimica Acta 191, 577, doi:10.1007/s00604-024-06664-y (2024).</w:t>
      </w:r>
    </w:p>
    <w:p w14:paraId="47BB1D3F">
      <w:pPr>
        <w:pStyle w:val="1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Wu, Y. J., Wang, Y., He, R. X., Li, Y. &amp; Ben, Y. L. A dual-signal-amplified electrochemical biosensor for sensitive and accurate detection of cancer cells. RSC Adv 15, 32546-32552, doi:10.1039/d5ra00364d (2025).</w:t>
      </w:r>
    </w:p>
    <w:p w14:paraId="056C4944">
      <w:pPr>
        <w:pStyle w:val="1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Xu, J. G., Wang, X. X., Yan, C. &amp; Chen, W. A Polyamidoamine Dendrimer-Based Electrochemical Immunosensor for Label-Free Determination of Epithelial Cell Adhesion Molecule- Expressing Cancer Cells. Sensors 19, 1879, doi:10.3390/s19081879 (2019).</w:t>
      </w:r>
    </w:p>
    <w:p w14:paraId="7D75DE86">
      <w:pPr>
        <w:pStyle w:val="1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Shen, H. W. et al. A novel label-free and reusable electrochemical cytosensor for highly sensitive detection and specific collection of CTCs. Biosens Bioelectron 81, 495-502, doi:10.1016/j.bios.2016.03.048 (2016).</w:t>
      </w:r>
    </w:p>
    <w:p w14:paraId="16B3002A">
      <w:pPr>
        <w:pStyle w:val="1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Luo, J. R. et al. Highly sensitive photoelectrochemical sensing platform based on PM6:Y6 p-n heterojunction for detection of MCF-7 cells. Sensor Actuat B-chem 363, 131814, doi:10.1016/j.snb.2022.131814 (2022).</w:t>
      </w:r>
    </w:p>
    <w:p w14:paraId="3450A924">
      <w:pPr>
        <w:pStyle w:val="1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Li, X. T. et al. Simultaneous detection of MCF-7 and HepG2 cells in blood by ICP-MS with gold nanoparticles and quantum dots as elemental tags. Biosens Bioelectron 90, 343-348, doi:10.1016/j.bios.2016.11.030 (2017).</w:t>
      </w:r>
    </w:p>
    <w:p w14:paraId="6D243F54">
      <w:pPr>
        <w:pStyle w:val="10"/>
        <w:ind w:left="720" w:hanging="720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Noto Sans SC">
    <w:panose1 w:val="020B0500000000000000"/>
    <w:charset w:val="86"/>
    <w:family w:val="swiss"/>
    <w:pitch w:val="default"/>
    <w:sig w:usb0="20000083" w:usb1="2ADF3C10" w:usb2="00000016" w:usb3="00000000" w:csb0="60060107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1E1B91"/>
    <w:rsid w:val="001C1644"/>
    <w:rsid w:val="00387B77"/>
    <w:rsid w:val="02845918"/>
    <w:rsid w:val="02CF4E51"/>
    <w:rsid w:val="02E56D2B"/>
    <w:rsid w:val="04446205"/>
    <w:rsid w:val="04F27A0F"/>
    <w:rsid w:val="05467DF9"/>
    <w:rsid w:val="06C57084"/>
    <w:rsid w:val="06DE602E"/>
    <w:rsid w:val="086343CF"/>
    <w:rsid w:val="08732C15"/>
    <w:rsid w:val="0AEE6ECB"/>
    <w:rsid w:val="0AF2453F"/>
    <w:rsid w:val="0C065918"/>
    <w:rsid w:val="0DC352A9"/>
    <w:rsid w:val="0DF437F1"/>
    <w:rsid w:val="0EC458BE"/>
    <w:rsid w:val="101F18D4"/>
    <w:rsid w:val="10572E1C"/>
    <w:rsid w:val="10857989"/>
    <w:rsid w:val="113F1021"/>
    <w:rsid w:val="13E41CD0"/>
    <w:rsid w:val="15DA5A1A"/>
    <w:rsid w:val="164248D0"/>
    <w:rsid w:val="18245CDA"/>
    <w:rsid w:val="18F03E0E"/>
    <w:rsid w:val="199A6DDF"/>
    <w:rsid w:val="1B2426EB"/>
    <w:rsid w:val="1B831363"/>
    <w:rsid w:val="1BE42089"/>
    <w:rsid w:val="1CCC2F7C"/>
    <w:rsid w:val="1DE87919"/>
    <w:rsid w:val="1EED2537"/>
    <w:rsid w:val="20924B74"/>
    <w:rsid w:val="213F4A7A"/>
    <w:rsid w:val="21436FF2"/>
    <w:rsid w:val="215B1425"/>
    <w:rsid w:val="23D02A3F"/>
    <w:rsid w:val="24697EBB"/>
    <w:rsid w:val="252F3F10"/>
    <w:rsid w:val="257A588A"/>
    <w:rsid w:val="25BE25C8"/>
    <w:rsid w:val="262B7C40"/>
    <w:rsid w:val="271678E1"/>
    <w:rsid w:val="279072CF"/>
    <w:rsid w:val="283802FC"/>
    <w:rsid w:val="289077C3"/>
    <w:rsid w:val="2BF6473B"/>
    <w:rsid w:val="2D830CA9"/>
    <w:rsid w:val="2D92328E"/>
    <w:rsid w:val="2DC723A7"/>
    <w:rsid w:val="2E051CB2"/>
    <w:rsid w:val="2ED26038"/>
    <w:rsid w:val="2F283955"/>
    <w:rsid w:val="2F975829"/>
    <w:rsid w:val="30F61D87"/>
    <w:rsid w:val="32FC7776"/>
    <w:rsid w:val="34233F8B"/>
    <w:rsid w:val="34256C0A"/>
    <w:rsid w:val="345D203E"/>
    <w:rsid w:val="34732F0D"/>
    <w:rsid w:val="348D77C6"/>
    <w:rsid w:val="34E12D3E"/>
    <w:rsid w:val="3530650D"/>
    <w:rsid w:val="358B3DD5"/>
    <w:rsid w:val="36B5678E"/>
    <w:rsid w:val="37320174"/>
    <w:rsid w:val="37A20A5A"/>
    <w:rsid w:val="38391289"/>
    <w:rsid w:val="383A3DEF"/>
    <w:rsid w:val="391E1B91"/>
    <w:rsid w:val="3B9525A7"/>
    <w:rsid w:val="3CD15832"/>
    <w:rsid w:val="3E21391C"/>
    <w:rsid w:val="3E3C527C"/>
    <w:rsid w:val="3EC83ADA"/>
    <w:rsid w:val="3F81552A"/>
    <w:rsid w:val="3F8974D9"/>
    <w:rsid w:val="3FA65048"/>
    <w:rsid w:val="3FA95343"/>
    <w:rsid w:val="4270339B"/>
    <w:rsid w:val="458C1A14"/>
    <w:rsid w:val="46192116"/>
    <w:rsid w:val="46785E9B"/>
    <w:rsid w:val="468A41D1"/>
    <w:rsid w:val="47B928ED"/>
    <w:rsid w:val="47F22E4F"/>
    <w:rsid w:val="480149E2"/>
    <w:rsid w:val="486C49B0"/>
    <w:rsid w:val="49E57D3B"/>
    <w:rsid w:val="4B6E6C91"/>
    <w:rsid w:val="4C6E64CA"/>
    <w:rsid w:val="4C7B3413"/>
    <w:rsid w:val="4C8134F1"/>
    <w:rsid w:val="4D270537"/>
    <w:rsid w:val="4D3923D8"/>
    <w:rsid w:val="4D41163C"/>
    <w:rsid w:val="4D573E80"/>
    <w:rsid w:val="4E543F46"/>
    <w:rsid w:val="4F9C334A"/>
    <w:rsid w:val="4FC25B9F"/>
    <w:rsid w:val="504601DC"/>
    <w:rsid w:val="50680152"/>
    <w:rsid w:val="510A239D"/>
    <w:rsid w:val="51A727CC"/>
    <w:rsid w:val="52963172"/>
    <w:rsid w:val="53061E17"/>
    <w:rsid w:val="53623FBA"/>
    <w:rsid w:val="536E3CD2"/>
    <w:rsid w:val="538706E2"/>
    <w:rsid w:val="546649A9"/>
    <w:rsid w:val="55A20422"/>
    <w:rsid w:val="55DF7355"/>
    <w:rsid w:val="574C257C"/>
    <w:rsid w:val="576E7D90"/>
    <w:rsid w:val="57EA774C"/>
    <w:rsid w:val="58095D77"/>
    <w:rsid w:val="58801DB1"/>
    <w:rsid w:val="5AC36847"/>
    <w:rsid w:val="5B304F6D"/>
    <w:rsid w:val="5BC16969"/>
    <w:rsid w:val="5D7E1A33"/>
    <w:rsid w:val="5E8E6FD6"/>
    <w:rsid w:val="5F8E0A77"/>
    <w:rsid w:val="60515692"/>
    <w:rsid w:val="635D5B7B"/>
    <w:rsid w:val="637F6B3D"/>
    <w:rsid w:val="64151D68"/>
    <w:rsid w:val="686E02E9"/>
    <w:rsid w:val="69F55C53"/>
    <w:rsid w:val="6A16195B"/>
    <w:rsid w:val="6A582B8E"/>
    <w:rsid w:val="6B0F5729"/>
    <w:rsid w:val="6C5E0930"/>
    <w:rsid w:val="6C7E5016"/>
    <w:rsid w:val="6D6A352B"/>
    <w:rsid w:val="6EBA5BC5"/>
    <w:rsid w:val="6F896F5A"/>
    <w:rsid w:val="7064228D"/>
    <w:rsid w:val="70F8513A"/>
    <w:rsid w:val="71A53B79"/>
    <w:rsid w:val="71B460C4"/>
    <w:rsid w:val="72513DDF"/>
    <w:rsid w:val="727662A7"/>
    <w:rsid w:val="72E95708"/>
    <w:rsid w:val="7302638A"/>
    <w:rsid w:val="7424389C"/>
    <w:rsid w:val="771A40FE"/>
    <w:rsid w:val="79137753"/>
    <w:rsid w:val="793B3DA7"/>
    <w:rsid w:val="7B6C3E3F"/>
    <w:rsid w:val="7BF25A07"/>
    <w:rsid w:val="7EEF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59"/>
    <w:rPr>
      <w:sz w:val="22"/>
      <w:szCs w:val="22"/>
      <w:lang w:eastAsia="zh-TW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table" w:customStyle="1" w:styleId="7">
    <w:name w:val="网格型12"/>
    <w:basedOn w:val="3"/>
    <w:qFormat/>
    <w:uiPriority w:val="39"/>
    <w:rPr>
      <w:rFonts w:ascii="等线" w:hAnsi="等线" w:eastAsia="等线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三线表"/>
    <w:basedOn w:val="3"/>
    <w:autoRedefine/>
    <w:qFormat/>
    <w:uiPriority w:val="99"/>
    <w:pPr>
      <w:jc w:val="center"/>
    </w:p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8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9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paragraph" w:customStyle="1" w:styleId="10">
    <w:name w:val="EndNote Bibliography"/>
    <w:basedOn w:val="1"/>
    <w:qFormat/>
    <w:uiPriority w:val="0"/>
    <w:rPr>
      <w:rFonts w:ascii="Calibri" w:hAnsi="Calibri" w:cs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1071</Words>
  <Characters>6323</Characters>
  <Lines>66</Lines>
  <Paragraphs>18</Paragraphs>
  <TotalTime>29</TotalTime>
  <ScaleCrop>false</ScaleCrop>
  <LinksUpToDate>false</LinksUpToDate>
  <CharactersWithSpaces>7127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2025-12-16T03:04:00Z</dcterms:created>
  <dc:creator>李敏</dc:creator>
  <cp:lastModifiedBy>李阳阳</cp:lastModifiedBy>
  <dcterms:modified xsi:type="dcterms:W3CDTF">2026-05-29T06:59:00Z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9C784EB92A924D3BAD0330514334797A_11</vt:lpwstr>
  </property>
  <property fmtid="{D5CDD505-2E9C-101B-9397-08002B2CF9AE}" pid="4" name="KSOTemplateDocerSaveRecord">
    <vt:lpwstr>eyJoZGlkIjoiZWEzYWU4MWJkNzZkZTU4ZmQ1NDk1NDMyZTRlYzNlZDEiLCJ1c2VySWQiOiIzOTU4MjYwNjcifQ==</vt:lpwstr>
  </property>
</Properties>
</file>