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Additional file 1. Supplementary Figures S1-S2</w:t>
      </w:r>
    </w:p>
    <w:p>
      <w:r>
        <w:t>Supplementary material for: Association between a comprehensive governance strategy and the burden of urban non-traumatic multiple casualty incidents in China: a 14-year retrospective interrupted time-series study in Liuzhou, 2012-2025.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261850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upplementary_Figure_S1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1850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line="240" w:lineRule="auto"/>
        <w:jc w:val="center"/>
      </w:pPr>
      <w:r>
        <w:rPr>
          <w:i/>
          <w:sz w:val="20"/>
        </w:rPr>
        <w:t>Supplementary Figure S1. Annual trends in CO and non-CO events, with the January 2018 policy start marked.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314221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upplementary_Figure_S2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4221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line="240" w:lineRule="auto"/>
        <w:jc w:val="center"/>
      </w:pPr>
      <w:r>
        <w:rPr>
          <w:i/>
          <w:sz w:val="20"/>
        </w:rPr>
        <w:t>Supplementary Figure S2. Year-by-month heat map of monthly total event counts.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  <w:lnNumType w:countBy="1" w:restart="continuou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t xml:space="preserve">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480" w:lineRule="auto" w:after="12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 w:line="480" w:lineRule="auto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 w:line="480" w:lineRule="auto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 w:line="480" w:lineRule="auto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480" w:lineRule="auto" w:before="24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