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46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100"/>
        <w:gridCol w:w="1500"/>
        <w:gridCol w:w="1260"/>
      </w:tblGrid>
      <w:tr w:rsidR="007639EA" w:rsidTr="00A27EB2">
        <w:trPr>
          <w:tblHeader/>
        </w:trPr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Analysis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Statistic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Value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p-value</w:t>
            </w:r>
          </w:p>
        </w:tc>
      </w:tr>
      <w:tr w:rsidR="007639EA" w:rsidTr="00A27EB2">
        <w:tc>
          <w:tcPr>
            <w:tcW w:w="7460" w:type="dxa"/>
            <w:gridSpan w:val="4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7639EA" w:rsidRDefault="007639EA" w:rsidP="00A27EB2">
            <w:r>
              <w:rPr>
                <w:b/>
                <w:bCs/>
                <w:color w:val="1A2E5A"/>
                <w:sz w:val="20"/>
                <w:szCs w:val="20"/>
              </w:rPr>
              <w:t>VALIDITY (FULL COHORT)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Lesion Size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Pearson r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+0.74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Hepple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III–IV (crude)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OR (95% CI)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1.56 (1.10–2.73)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0.008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Hepple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III–IV (adjusted, Model A†)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OR (95% CI)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1.54 (1.07–2.81)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0.027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AOFAS (full cohort)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Spearman ρ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−0.70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>CDS &gt;6 → large lesion classification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AUROC (95% CI)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0.86 (0.77–0.94)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>Optimal cutoff (</w:t>
            </w:r>
            <w:proofErr w:type="spellStart"/>
            <w:r>
              <w:rPr>
                <w:b/>
                <w:bCs/>
                <w:sz w:val="19"/>
                <w:szCs w:val="19"/>
              </w:rPr>
              <w:t>Youden's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J)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Sensitivity / Specificity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81% / 84%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7639EA" w:rsidTr="00A27EB2">
        <w:tc>
          <w:tcPr>
            <w:tcW w:w="7460" w:type="dxa"/>
            <w:gridSpan w:val="4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7639EA" w:rsidRDefault="007639EA" w:rsidP="00A27EB2">
            <w:r>
              <w:rPr>
                <w:b/>
                <w:bCs/>
                <w:color w:val="1A2E5A"/>
                <w:sz w:val="20"/>
                <w:szCs w:val="20"/>
              </w:rPr>
              <w:t>LOCATION-STRATIFIED VALIDITY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Lesion Size – Central (n=23)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Pearson r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+0.85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Lesion Size – Lateral (n=36)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Pearson r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+0.72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Lesion Size – Medial (n=21)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Pearson r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+0.35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0.118*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AOFAS – Medial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Spearman ρ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−0.61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0.003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AOFAS – Central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Spearman ρ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−0.64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0.001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 xml:space="preserve">CDS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AOFAS – Lateral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Spearman ρ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−0.57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>CDS distribution across locations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proofErr w:type="spellStart"/>
            <w:r>
              <w:rPr>
                <w:sz w:val="19"/>
                <w:szCs w:val="19"/>
              </w:rPr>
              <w:t>Kruskal</w:t>
            </w:r>
            <w:proofErr w:type="spellEnd"/>
            <w:r>
              <w:rPr>
                <w:sz w:val="19"/>
                <w:szCs w:val="19"/>
              </w:rPr>
              <w:t>-Wallis H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44.23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7639EA" w:rsidTr="00A27EB2">
        <w:tc>
          <w:tcPr>
            <w:tcW w:w="7460" w:type="dxa"/>
            <w:gridSpan w:val="4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7639EA" w:rsidRDefault="007639EA" w:rsidP="00A27EB2">
            <w:r>
              <w:rPr>
                <w:b/>
                <w:bCs/>
                <w:color w:val="1A2E5A"/>
                <w:sz w:val="20"/>
                <w:szCs w:val="20"/>
              </w:rPr>
              <w:t>RELIABILITY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roofErr w:type="spellStart"/>
            <w:r>
              <w:rPr>
                <w:b/>
                <w:bCs/>
                <w:sz w:val="19"/>
                <w:szCs w:val="19"/>
              </w:rPr>
              <w:t>Interobserver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ICC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Two-way mixed, absolute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0.91 (0.86–0.94)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roofErr w:type="spellStart"/>
            <w:r>
              <w:rPr>
                <w:b/>
                <w:bCs/>
                <w:sz w:val="19"/>
                <w:szCs w:val="19"/>
              </w:rPr>
              <w:t>Intraobserver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ICC (Rater 1)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Two-way mixed, absolute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0.93 (0.89–0.96)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roofErr w:type="spellStart"/>
            <w:r>
              <w:rPr>
                <w:b/>
                <w:bCs/>
                <w:sz w:val="19"/>
                <w:szCs w:val="19"/>
              </w:rPr>
              <w:t>Intraobserver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ICC (Rater 2)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Two-way mixed, absolute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0.92 (0.88–0.95)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7639EA" w:rsidTr="00A27EB2">
        <w:tc>
          <w:tcPr>
            <w:tcW w:w="26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r>
              <w:rPr>
                <w:b/>
                <w:bCs/>
                <w:sz w:val="19"/>
                <w:szCs w:val="19"/>
              </w:rPr>
              <w:t>Component agreement (κ, mean ± SD)</w:t>
            </w:r>
          </w:p>
        </w:tc>
        <w:tc>
          <w:tcPr>
            <w:tcW w:w="21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Cohen's κ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0.87 ± 0.04</w:t>
            </w:r>
          </w:p>
        </w:tc>
        <w:tc>
          <w:tcPr>
            <w:tcW w:w="12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7639EA" w:rsidRDefault="007639EA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</w:tbl>
    <w:p w:rsidR="00F56948" w:rsidRDefault="00F56948" w:rsidP="007639EA"/>
    <w:p w:rsidR="007639EA" w:rsidRDefault="007639EA" w:rsidP="007639EA">
      <w:pPr>
        <w:spacing w:before="160" w:after="200"/>
      </w:pPr>
      <w:r>
        <w:rPr>
          <w:color w:val="444444"/>
          <w:sz w:val="20"/>
          <w:szCs w:val="20"/>
        </w:rPr>
        <w:t xml:space="preserve">Table 4. Summary of CDS validity and reliability statistics, including location-stratified associations. ICC = </w:t>
      </w:r>
      <w:proofErr w:type="spellStart"/>
      <w:r>
        <w:rPr>
          <w:color w:val="444444"/>
          <w:sz w:val="20"/>
          <w:szCs w:val="20"/>
        </w:rPr>
        <w:t>intraclass</w:t>
      </w:r>
      <w:proofErr w:type="spellEnd"/>
      <w:r>
        <w:rPr>
          <w:color w:val="444444"/>
          <w:sz w:val="20"/>
          <w:szCs w:val="20"/>
        </w:rPr>
        <w:t xml:space="preserve"> correlation coefficient. *Medial CDS-lesion size correlation not statistically significant (see text for discussion). †Model A for </w:t>
      </w:r>
      <w:proofErr w:type="spellStart"/>
      <w:r>
        <w:rPr>
          <w:color w:val="444444"/>
          <w:sz w:val="20"/>
          <w:szCs w:val="20"/>
        </w:rPr>
        <w:t>Hepple</w:t>
      </w:r>
      <w:proofErr w:type="spellEnd"/>
      <w:r>
        <w:rPr>
          <w:color w:val="444444"/>
          <w:sz w:val="20"/>
          <w:szCs w:val="20"/>
        </w:rPr>
        <w:t xml:space="preserve"> staging uses standard (non-Firth) binary logistic regression adjusted for BMI; this outcome does not exhibit quasi-complete separation (unlike the large-lesion outcome in Table 3). These </w:t>
      </w:r>
      <w:proofErr w:type="spellStart"/>
      <w:r>
        <w:rPr>
          <w:color w:val="444444"/>
          <w:sz w:val="20"/>
          <w:szCs w:val="20"/>
        </w:rPr>
        <w:t>Hepple</w:t>
      </w:r>
      <w:proofErr w:type="spellEnd"/>
      <w:r>
        <w:rPr>
          <w:color w:val="444444"/>
          <w:sz w:val="20"/>
          <w:szCs w:val="20"/>
        </w:rPr>
        <w:t xml:space="preserve"> OR estimates are distinct from, and should not be compared directly with, the Firth-</w:t>
      </w:r>
      <w:proofErr w:type="spellStart"/>
      <w:r>
        <w:rPr>
          <w:color w:val="444444"/>
          <w:sz w:val="20"/>
          <w:szCs w:val="20"/>
        </w:rPr>
        <w:t>penalised</w:t>
      </w:r>
      <w:proofErr w:type="spellEnd"/>
      <w:r>
        <w:rPr>
          <w:color w:val="444444"/>
          <w:sz w:val="20"/>
          <w:szCs w:val="20"/>
        </w:rPr>
        <w:t xml:space="preserve"> ORs in Table 3.</w:t>
      </w:r>
    </w:p>
    <w:p w:rsidR="007639EA" w:rsidRPr="007639EA" w:rsidRDefault="007639EA" w:rsidP="007639EA">
      <w:bookmarkStart w:id="0" w:name="_GoBack"/>
      <w:bookmarkEnd w:id="0"/>
    </w:p>
    <w:sectPr w:rsidR="007639EA" w:rsidRPr="007639EA" w:rsidSect="007639E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0A"/>
    <w:rsid w:val="00386024"/>
    <w:rsid w:val="007639EA"/>
    <w:rsid w:val="0094690A"/>
    <w:rsid w:val="00F532A7"/>
    <w:rsid w:val="00F5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AAE51C-9C52-4D2B-863F-85284D69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024"/>
    <w:pPr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2026-05-08T22:03:00Z</dcterms:created>
  <dcterms:modified xsi:type="dcterms:W3CDTF">2026-05-26T02:51:00Z</dcterms:modified>
</cp:coreProperties>
</file>