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900"/>
        <w:gridCol w:w="1900"/>
        <w:gridCol w:w="1900"/>
        <w:gridCol w:w="1560"/>
      </w:tblGrid>
      <w:tr w:rsidR="00934058" w:rsidTr="00A27EB2">
        <w:trPr>
          <w:tblHeader/>
        </w:trPr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Variable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All Patients (n=80)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Small/Moderate (≤2 cm², n=56)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Large (&gt;2 cm², n=24)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p-value</w:t>
            </w:r>
          </w:p>
        </w:tc>
      </w:tr>
      <w:tr w:rsidR="00934058" w:rsidTr="00A27EB2">
        <w:tc>
          <w:tcPr>
            <w:tcW w:w="9460" w:type="dxa"/>
            <w:gridSpan w:val="5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934058" w:rsidRDefault="00934058" w:rsidP="00A27EB2">
            <w:r>
              <w:rPr>
                <w:b/>
                <w:bCs/>
                <w:color w:val="1A2E5A"/>
                <w:sz w:val="20"/>
                <w:szCs w:val="20"/>
              </w:rPr>
              <w:t>BASELINE CHARACTERISTICS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Age (years),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38.5 ± 12.4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37.9 ± 12.1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40.1 ± 13.2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0.42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Male sex,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52 (65%)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36 (64.3%)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16 (66.7%)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0.83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BMI (kg/m²),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27.8 ± 3.6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27.1 ± 3.3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29.4 ± 4.0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0.01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Symptom duration (months),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14.2 ± 6.8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13.6 ± 6.4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15.7 ± 7.5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0.21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Right ankle,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44 (55%)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30 (53.6%)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14 (58.3%)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0.69</w:t>
            </w:r>
          </w:p>
        </w:tc>
      </w:tr>
      <w:tr w:rsidR="00934058" w:rsidTr="00A27EB2">
        <w:tc>
          <w:tcPr>
            <w:tcW w:w="9460" w:type="dxa"/>
            <w:gridSpan w:val="5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934058" w:rsidRDefault="00934058" w:rsidP="00A27EB2">
            <w:r>
              <w:rPr>
                <w:b/>
                <w:bCs/>
                <w:color w:val="1A2E5A"/>
                <w:sz w:val="20"/>
                <w:szCs w:val="20"/>
              </w:rPr>
              <w:t>COMORBIDITIES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Diabetes mellitus,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14 (17.5%)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8 (14.3%)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6 (25.0%)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0.23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Hypertension,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18 (22.5%)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12 (21.4%)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6 (25.0%)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0.72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Current smoker,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16 (20.0%)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11 (19.6%)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5 (20.8%)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0.90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Compromised ABI (&lt;0.90),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6 (7.5%)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 (5.4%)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 (12.5%)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0.35</w:t>
            </w:r>
          </w:p>
        </w:tc>
      </w:tr>
      <w:tr w:rsidR="00934058" w:rsidTr="00A27EB2">
        <w:tc>
          <w:tcPr>
            <w:tcW w:w="9460" w:type="dxa"/>
            <w:gridSpan w:val="5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934058" w:rsidRDefault="00934058" w:rsidP="00A27EB2">
            <w:r>
              <w:rPr>
                <w:b/>
                <w:bCs/>
                <w:color w:val="1A2E5A"/>
                <w:sz w:val="20"/>
                <w:szCs w:val="20"/>
              </w:rPr>
              <w:t>LESION CHARACTERISTICS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Mean lesion size (cm²),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1.8 ± 0.7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1.4 ± 0.4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2.8 ± 0.5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roofErr w:type="spellStart"/>
            <w:r>
              <w:rPr>
                <w:b/>
                <w:bCs/>
                <w:sz w:val="19"/>
                <w:szCs w:val="19"/>
              </w:rPr>
              <w:t>Hepple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stage III–IV,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41 (51.3%)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22 (39.3%)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19 (79.2%)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Mean CDS Total,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4.7 ± 2.1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3.9 ± 1.8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6.7 ± 1.6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Mean AOFAS score, mean ± SD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72.3 ± 9.8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76.8 ± 8.4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61.4 ± 7.9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934058" w:rsidTr="00A27EB2">
        <w:tc>
          <w:tcPr>
            <w:tcW w:w="9460" w:type="dxa"/>
            <w:gridSpan w:val="5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934058" w:rsidRDefault="00934058" w:rsidP="00A27EB2">
            <w:r>
              <w:rPr>
                <w:b/>
                <w:bCs/>
                <w:color w:val="1A2E5A"/>
                <w:sz w:val="20"/>
                <w:szCs w:val="20"/>
              </w:rPr>
              <w:t>LESION LOCATION (RAIKIN GRID)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Medial zones (1, 4, 7),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21 (26.3%)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7 (12.5%)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14 (58.3%)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Central zones (2, 5, 8),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23 (28.7%)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15 (26.8%)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8 (33.3%)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0.54</w:t>
            </w:r>
          </w:p>
        </w:tc>
      </w:tr>
      <w:tr w:rsidR="00934058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r>
              <w:rPr>
                <w:b/>
                <w:bCs/>
                <w:sz w:val="19"/>
                <w:szCs w:val="19"/>
              </w:rPr>
              <w:t>Lateral zones (3, 6, 9), n (%)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36 (45.0%)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34 (60.7%)</w:t>
            </w:r>
          </w:p>
        </w:tc>
        <w:tc>
          <w:tcPr>
            <w:tcW w:w="19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2 (8.3%)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934058" w:rsidRDefault="00934058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</w:tr>
    </w:tbl>
    <w:p w:rsidR="00F56948" w:rsidRDefault="00F56948" w:rsidP="00934058"/>
    <w:p w:rsidR="00934058" w:rsidRDefault="00934058" w:rsidP="00934058">
      <w:pPr>
        <w:spacing w:before="160" w:after="200"/>
      </w:pPr>
      <w:r>
        <w:rPr>
          <w:color w:val="444444"/>
          <w:sz w:val="20"/>
          <w:szCs w:val="20"/>
        </w:rPr>
        <w:t xml:space="preserve">Table 2. Patient demographics and lesion characteristics stratified by lesion size category, with location subgroup distribution. ABI = Ankle-Brachial Index; AOFAS = American </w:t>
      </w:r>
      <w:proofErr w:type="spellStart"/>
      <w:r>
        <w:rPr>
          <w:color w:val="444444"/>
          <w:sz w:val="20"/>
          <w:szCs w:val="20"/>
        </w:rPr>
        <w:t>Orthopaedic</w:t>
      </w:r>
      <w:proofErr w:type="spellEnd"/>
      <w:r>
        <w:rPr>
          <w:color w:val="444444"/>
          <w:sz w:val="20"/>
          <w:szCs w:val="20"/>
        </w:rPr>
        <w:t xml:space="preserve"> Foot and Ankle Society score. </w:t>
      </w:r>
      <w:proofErr w:type="gramStart"/>
      <w:r>
        <w:rPr>
          <w:color w:val="444444"/>
          <w:sz w:val="20"/>
          <w:szCs w:val="20"/>
        </w:rPr>
        <w:t>p-values</w:t>
      </w:r>
      <w:proofErr w:type="gramEnd"/>
      <w:r>
        <w:rPr>
          <w:color w:val="444444"/>
          <w:sz w:val="20"/>
          <w:szCs w:val="20"/>
        </w:rPr>
        <w:t xml:space="preserve"> for continuous variables by Mann-Whitney U; categorical variables by chi-square or Fisher's exact test.</w:t>
      </w:r>
    </w:p>
    <w:p w:rsidR="00934058" w:rsidRPr="00934058" w:rsidRDefault="00934058" w:rsidP="00934058">
      <w:bookmarkStart w:id="0" w:name="_GoBack"/>
      <w:bookmarkEnd w:id="0"/>
    </w:p>
    <w:sectPr w:rsidR="00934058" w:rsidRPr="00934058" w:rsidSect="0093405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3B"/>
    <w:rsid w:val="00934058"/>
    <w:rsid w:val="00947E83"/>
    <w:rsid w:val="00A86FFB"/>
    <w:rsid w:val="00F56948"/>
    <w:rsid w:val="00FA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5169A4-D5E9-4E74-B8C6-755E66FA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6FFB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2026-05-08T22:02:00Z</dcterms:created>
  <dcterms:modified xsi:type="dcterms:W3CDTF">2026-05-26T02:47:00Z</dcterms:modified>
</cp:coreProperties>
</file>