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800"/>
        <w:gridCol w:w="1800"/>
        <w:gridCol w:w="2400"/>
      </w:tblGrid>
      <w:tr w:rsidR="00C27225" w:rsidTr="00A27EB2">
        <w:trPr>
          <w:tblHeader/>
        </w:trPr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Parameter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Medial (Zones 1,4,7; n=21)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Central (Zones 2,5,8; n=23)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Lateral (Zones 3,6,9; n=36)</w:t>
            </w:r>
          </w:p>
        </w:tc>
      </w:tr>
      <w:tr w:rsidR="00C27225" w:rsidTr="00A27EB2">
        <w:tc>
          <w:tcPr>
            <w:tcW w:w="840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C27225" w:rsidRDefault="00C27225" w:rsidP="00A27EB2">
            <w:r>
              <w:rPr>
                <w:b/>
                <w:bCs/>
                <w:color w:val="1A2E5A"/>
                <w:sz w:val="20"/>
                <w:szCs w:val="20"/>
              </w:rPr>
              <w:t>LESION CHARACTERISTICS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Lesion size (cm²), mean ± SD †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2.06 ± 0.28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1.91 ± 0.43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1.50 ± 0.38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Large lesion (&gt;2 cm²), n (%) †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14 (66.7%)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8 (34.8%)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2 (5.6%)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roofErr w:type="spellStart"/>
            <w:r>
              <w:rPr>
                <w:b/>
                <w:bCs/>
                <w:sz w:val="19"/>
                <w:szCs w:val="19"/>
              </w:rPr>
              <w:t>Hepple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III–IV, n (%)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12 (57.1%)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8 (34.8%)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13 (36.1%)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AOFAS score, mean ± SD †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66.4 ± 7.9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70.1 ± 9.5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77.1 ± 7.7</w:t>
            </w:r>
          </w:p>
        </w:tc>
      </w:tr>
      <w:tr w:rsidR="00C27225" w:rsidTr="00A27EB2">
        <w:tc>
          <w:tcPr>
            <w:tcW w:w="840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C27225" w:rsidRDefault="00C27225" w:rsidP="00A27EB2">
            <w:r>
              <w:rPr>
                <w:b/>
                <w:bCs/>
                <w:color w:val="1A2E5A"/>
                <w:sz w:val="20"/>
                <w:szCs w:val="20"/>
              </w:rPr>
              <w:t>CDS &amp; COMPONENT SCORES (mean)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CDS Total, mean ± SD †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5.4 ± 0.7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4.8 ± 1.6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3.0 ± 1.2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LDTA score (0–2)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1.00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0.83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0.67 (p=0.203)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HAD score (0–2)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0.90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1.17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0.81 (p=0.232)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MAD score (0–2)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1.29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1.04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0.56 (p=0.003)*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roofErr w:type="spellStart"/>
            <w:r>
              <w:rPr>
                <w:b/>
                <w:bCs/>
                <w:sz w:val="19"/>
                <w:szCs w:val="19"/>
              </w:rPr>
              <w:t>Meary's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Angle score (0–2)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1.33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1.00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0.53 (p&lt;0.001)*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Calcaneal Pitch score (0–2)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0.86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0.78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0.42 (p=0.042)*</w:t>
            </w:r>
          </w:p>
        </w:tc>
      </w:tr>
      <w:tr w:rsidR="00C27225" w:rsidTr="00A27EB2">
        <w:tc>
          <w:tcPr>
            <w:tcW w:w="840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C27225" w:rsidRDefault="00C27225" w:rsidP="00A27EB2">
            <w:r>
              <w:rPr>
                <w:b/>
                <w:bCs/>
                <w:color w:val="1A2E5A"/>
                <w:sz w:val="20"/>
                <w:szCs w:val="20"/>
              </w:rPr>
              <w:t>CDS VALIDITY WITHIN LOCATION SUBGROUP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lesion size (Pearson r)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r=0.35 (p=0.118)*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r=0.85 (p&lt;0.001)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r=0.72 (p&lt;0.001)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AOFAS (Spearman ρ)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ρ=−0.61 (p=0.003)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ρ=−0.64 (p=0.001)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ρ=−0.57 (p&lt;0.001)</w:t>
            </w:r>
          </w:p>
        </w:tc>
      </w:tr>
      <w:tr w:rsidR="00C27225" w:rsidTr="00A27EB2">
        <w:tc>
          <w:tcPr>
            <w:tcW w:w="840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C27225" w:rsidRDefault="00C27225" w:rsidP="00A27EB2">
            <w:r>
              <w:rPr>
                <w:b/>
                <w:bCs/>
                <w:color w:val="1A2E5A"/>
                <w:sz w:val="20"/>
                <w:szCs w:val="20"/>
              </w:rPr>
              <w:t>PRIOR ANKLE INJURY PATTERN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Ankle sprain, n (%)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10 (47.6%)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8 (34.8%)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12 (33.3%)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Prior fracture, n (%)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2 (9.5%)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4 (17.4%)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5 (13.9%)</w:t>
            </w:r>
          </w:p>
        </w:tc>
      </w:tr>
      <w:tr w:rsidR="00C27225" w:rsidTr="00A27EB2"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r>
              <w:rPr>
                <w:b/>
                <w:bCs/>
                <w:sz w:val="19"/>
                <w:szCs w:val="19"/>
              </w:rPr>
              <w:t>Ligament reconstruction, n (%)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 (0%)</w:t>
            </w:r>
          </w:p>
        </w:tc>
        <w:tc>
          <w:tcPr>
            <w:tcW w:w="1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0 (0%)</w:t>
            </w:r>
          </w:p>
        </w:tc>
        <w:tc>
          <w:tcPr>
            <w:tcW w:w="2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C27225" w:rsidRDefault="00C27225" w:rsidP="00A27EB2">
            <w:pPr>
              <w:jc w:val="center"/>
            </w:pPr>
            <w:r>
              <w:rPr>
                <w:sz w:val="19"/>
                <w:szCs w:val="19"/>
              </w:rPr>
              <w:t>3 (8.3%)</w:t>
            </w:r>
          </w:p>
        </w:tc>
      </w:tr>
      <w:tr w:rsidR="00C27225" w:rsidTr="00A27EB2">
        <w:tc>
          <w:tcPr>
            <w:tcW w:w="840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8E7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C27225" w:rsidRDefault="00C27225" w:rsidP="00A27EB2">
            <w:r>
              <w:rPr>
                <w:i/>
                <w:iCs/>
                <w:sz w:val="18"/>
                <w:szCs w:val="18"/>
              </w:rPr>
              <w:t xml:space="preserve">† </w:t>
            </w:r>
            <w:proofErr w:type="spellStart"/>
            <w:r>
              <w:rPr>
                <w:i/>
                <w:iCs/>
                <w:sz w:val="18"/>
                <w:szCs w:val="18"/>
              </w:rPr>
              <w:t>Kruskal</w:t>
            </w:r>
            <w:proofErr w:type="spellEnd"/>
            <w:r>
              <w:rPr>
                <w:i/>
                <w:iCs/>
                <w:sz w:val="18"/>
                <w:szCs w:val="18"/>
              </w:rPr>
              <w:t>-Wallis p&lt;0.001 across three location groups. * Significantly different from medial group (post-hoc Mann-Whitney). For medial lesions, the CDS-lesion size correlation was not statistically significant (r=0.35, p=0.118), suggesting the CDS primarily reflects the mechanical environment rather than being independently associated with incremental size variation within the medial zone, where the already-high large-lesion rate (66.7%) may limit range. CDS-AOFAS association was preserved across all locations (p≤0.003).</w:t>
            </w:r>
          </w:p>
        </w:tc>
      </w:tr>
    </w:tbl>
    <w:p w:rsidR="00B0211E" w:rsidRDefault="00B0211E"/>
    <w:p w:rsidR="00C27225" w:rsidRDefault="00C27225" w:rsidP="00C27225">
      <w:pPr>
        <w:spacing w:before="160" w:after="200"/>
      </w:pPr>
      <w:r>
        <w:rPr>
          <w:color w:val="444444"/>
          <w:sz w:val="20"/>
          <w:szCs w:val="20"/>
        </w:rPr>
        <w:t xml:space="preserve">Table 6. Location-stratified analysis by </w:t>
      </w:r>
      <w:proofErr w:type="spellStart"/>
      <w:r>
        <w:rPr>
          <w:color w:val="444444"/>
          <w:sz w:val="20"/>
          <w:szCs w:val="20"/>
        </w:rPr>
        <w:t>Raikin</w:t>
      </w:r>
      <w:proofErr w:type="spellEnd"/>
      <w:r>
        <w:rPr>
          <w:color w:val="444444"/>
          <w:sz w:val="20"/>
          <w:szCs w:val="20"/>
        </w:rPr>
        <w:t xml:space="preserve"> zone classification. Medial zones = 1, 4, 7; central zones = 2, 5, 8; lateral zones = 3, 6, 9. </w:t>
      </w:r>
      <w:proofErr w:type="spellStart"/>
      <w:r>
        <w:rPr>
          <w:color w:val="444444"/>
          <w:sz w:val="20"/>
          <w:szCs w:val="20"/>
        </w:rPr>
        <w:t>Kruskal</w:t>
      </w:r>
      <w:proofErr w:type="spellEnd"/>
      <w:r>
        <w:rPr>
          <w:color w:val="444444"/>
          <w:sz w:val="20"/>
          <w:szCs w:val="20"/>
        </w:rPr>
        <w:t xml:space="preserve">-Wallis p&lt;0.001 for CDS and lesion size across location groups. CDS component analysis reveals differential patterns consistent with location-specific </w:t>
      </w:r>
      <w:proofErr w:type="spellStart"/>
      <w:r>
        <w:rPr>
          <w:color w:val="444444"/>
          <w:sz w:val="20"/>
          <w:szCs w:val="20"/>
        </w:rPr>
        <w:t>pathomechanics</w:t>
      </w:r>
      <w:proofErr w:type="spellEnd"/>
      <w:r>
        <w:rPr>
          <w:color w:val="444444"/>
          <w:sz w:val="20"/>
          <w:szCs w:val="20"/>
        </w:rPr>
        <w:t xml:space="preserve">. * = significant difference </w:t>
      </w:r>
      <w:proofErr w:type="spellStart"/>
      <w:r>
        <w:rPr>
          <w:color w:val="444444"/>
          <w:sz w:val="20"/>
          <w:szCs w:val="20"/>
        </w:rPr>
        <w:t>vs</w:t>
      </w:r>
      <w:proofErr w:type="spellEnd"/>
      <w:r>
        <w:rPr>
          <w:color w:val="444444"/>
          <w:sz w:val="20"/>
          <w:szCs w:val="20"/>
        </w:rPr>
        <w:t xml:space="preserve"> lateral subgroup on post-hoc Mann-Whitney.</w:t>
      </w:r>
    </w:p>
    <w:p w:rsidR="00C27225" w:rsidRDefault="00C27225">
      <w:bookmarkStart w:id="0" w:name="_GoBack"/>
      <w:bookmarkEnd w:id="0"/>
    </w:p>
    <w:sectPr w:rsidR="00C27225" w:rsidSect="00C2722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B2"/>
    <w:rsid w:val="004A67B2"/>
    <w:rsid w:val="00B0211E"/>
    <w:rsid w:val="00C2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225876-E13C-4F2E-858F-F17D62DA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25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2026-05-26T02:52:00Z</dcterms:created>
  <dcterms:modified xsi:type="dcterms:W3CDTF">2026-05-26T02:53:00Z</dcterms:modified>
</cp:coreProperties>
</file>