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500"/>
        <w:gridCol w:w="1700"/>
        <w:gridCol w:w="1700"/>
        <w:gridCol w:w="1400"/>
        <w:gridCol w:w="800"/>
      </w:tblGrid>
      <w:tr w:rsidR="00671E14" w:rsidTr="00A27EB2">
        <w:trPr>
          <w:tblHeader/>
        </w:trPr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Variable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Crude OR (95% CI)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Model A Firth OR (95% CI) CDS + BMI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Model B Firth OR (95% CI) CDS + BMI + Location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p-value (Model B)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VIF</w:t>
            </w:r>
          </w:p>
        </w:tc>
      </w:tr>
      <w:tr w:rsidR="00671E14" w:rsidTr="00A27EB2">
        <w:tc>
          <w:tcPr>
            <w:tcW w:w="9300" w:type="dxa"/>
            <w:gridSpan w:val="6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671E14" w:rsidRDefault="00671E14" w:rsidP="00A27EB2">
            <w:r>
              <w:rPr>
                <w:b/>
                <w:bCs/>
                <w:color w:val="1A2E5A"/>
                <w:sz w:val="20"/>
                <w:szCs w:val="20"/>
              </w:rPr>
              <w:t>PRIMARY EXPOSURE VARIABLE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r>
              <w:rPr>
                <w:b/>
                <w:bCs/>
                <w:sz w:val="19"/>
                <w:szCs w:val="19"/>
              </w:rPr>
              <w:t>CDS Total (per 1-point increase)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Not reportable§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3.04 (1.71–5.40)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2.76 (1.52–5.00)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&lt;0.001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1.3</w:t>
            </w:r>
          </w:p>
        </w:tc>
      </w:tr>
      <w:tr w:rsidR="00671E14" w:rsidTr="00A27EB2">
        <w:tc>
          <w:tcPr>
            <w:tcW w:w="9300" w:type="dxa"/>
            <w:gridSpan w:val="6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671E14" w:rsidRDefault="00671E14" w:rsidP="00A27EB2">
            <w:r>
              <w:rPr>
                <w:b/>
                <w:bCs/>
                <w:color w:val="1A2E5A"/>
                <w:sz w:val="20"/>
                <w:szCs w:val="20"/>
              </w:rPr>
              <w:t>CONFOUNDERS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r>
              <w:rPr>
                <w:b/>
                <w:bCs/>
                <w:sz w:val="19"/>
                <w:szCs w:val="19"/>
              </w:rPr>
              <w:t>BMI (per 1 kg/m² increase)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1.18 (1.04–1.34)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1.15 (1.01–1.31)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1.09 (0.82–1.45)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0.55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1.2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r>
              <w:rPr>
                <w:b/>
                <w:bCs/>
                <w:sz w:val="19"/>
                <w:szCs w:val="19"/>
              </w:rPr>
              <w:t>Medial lesion location (</w:t>
            </w:r>
            <w:proofErr w:type="spellStart"/>
            <w:r>
              <w:rPr>
                <w:b/>
                <w:bCs/>
                <w:sz w:val="19"/>
                <w:szCs w:val="19"/>
              </w:rPr>
              <w:t>vs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central/lateral)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2.40 (0.63–9.17)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0.20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1.1</w:t>
            </w:r>
          </w:p>
        </w:tc>
      </w:tr>
      <w:tr w:rsidR="00671E14" w:rsidTr="00A27EB2">
        <w:tc>
          <w:tcPr>
            <w:tcW w:w="9300" w:type="dxa"/>
            <w:gridSpan w:val="6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D5E1EF"/>
            <w:tcMar>
              <w:top w:w="80" w:type="dxa"/>
              <w:left w:w="110" w:type="dxa"/>
              <w:bottom w:w="80" w:type="dxa"/>
              <w:right w:w="110" w:type="dxa"/>
            </w:tcMar>
          </w:tcPr>
          <w:p w:rsidR="00671E14" w:rsidRDefault="00671E14" w:rsidP="00A27EB2">
            <w:r>
              <w:rPr>
                <w:b/>
                <w:bCs/>
                <w:color w:val="1A2E5A"/>
                <w:sz w:val="20"/>
                <w:szCs w:val="20"/>
              </w:rPr>
              <w:t>MODEL FIT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roofErr w:type="spellStart"/>
            <w:r>
              <w:rPr>
                <w:b/>
                <w:bCs/>
                <w:sz w:val="19"/>
                <w:szCs w:val="19"/>
              </w:rPr>
              <w:t>Nagelkerke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R²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0.31 (crude)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0.34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0.36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roofErr w:type="spellStart"/>
            <w:r>
              <w:rPr>
                <w:b/>
                <w:bCs/>
                <w:sz w:val="19"/>
                <w:szCs w:val="19"/>
              </w:rPr>
              <w:t>Hosmer-Lemeshow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p-value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0.41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0.49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0.51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r>
              <w:rPr>
                <w:b/>
                <w:bCs/>
                <w:sz w:val="19"/>
                <w:szCs w:val="19"/>
              </w:rPr>
              <w:t>AUROC (95% CI)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0.86 (0.77–0.94)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0.87 (0.79–0.95)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0.87 (0.79–0.95)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  <w:tr w:rsidR="00671E14" w:rsidTr="00A27EB2"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r>
              <w:rPr>
                <w:b/>
                <w:bCs/>
                <w:sz w:val="19"/>
                <w:szCs w:val="19"/>
              </w:rPr>
              <w:t>EPV (events/variables)</w:t>
            </w:r>
          </w:p>
        </w:tc>
        <w:tc>
          <w:tcPr>
            <w:tcW w:w="15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12.0 (24/2)</w:t>
            </w:r>
          </w:p>
        </w:tc>
        <w:tc>
          <w:tcPr>
            <w:tcW w:w="17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8.0 (24/3)†</w:t>
            </w:r>
          </w:p>
        </w:tc>
        <w:tc>
          <w:tcPr>
            <w:tcW w:w="14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8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671E14" w:rsidRDefault="00671E14" w:rsidP="00A27EB2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</w:tr>
    </w:tbl>
    <w:p w:rsidR="00F56948" w:rsidRDefault="00F56948" w:rsidP="00671E14"/>
    <w:p w:rsidR="00671E14" w:rsidRDefault="00671E14" w:rsidP="00671E14">
      <w:pPr>
        <w:spacing w:before="160" w:after="200"/>
      </w:pPr>
      <w:r>
        <w:rPr>
          <w:color w:val="444444"/>
          <w:sz w:val="20"/>
          <w:szCs w:val="20"/>
        </w:rPr>
        <w:t xml:space="preserve">Table 3. Multivariable logistic regression models for association with large OLT (&gt;2 cm²). Model A: CDS + BMI (2 variables, EPV=12.0). Model B: CDS + BMI + medial location binary covariate (3 variables, EPV=8.0‡). § Crude OR not reportable: quasi-complete separation was observed in the large-lesion outcome (CDS ≤3 → 0% large lesions across 26 patients; CDS ≥7 → 100% large lesions across 6 patients). Firth </w:t>
      </w:r>
      <w:proofErr w:type="spellStart"/>
      <w:r>
        <w:rPr>
          <w:color w:val="444444"/>
          <w:sz w:val="20"/>
          <w:szCs w:val="20"/>
        </w:rPr>
        <w:t>penalised</w:t>
      </w:r>
      <w:proofErr w:type="spellEnd"/>
      <w:r>
        <w:rPr>
          <w:color w:val="444444"/>
          <w:sz w:val="20"/>
          <w:szCs w:val="20"/>
        </w:rPr>
        <w:t xml:space="preserve"> maximum-likelihood logistic regression was therefore applied to all large-lesion models; </w:t>
      </w:r>
      <w:proofErr w:type="spellStart"/>
      <w:r>
        <w:rPr>
          <w:color w:val="444444"/>
          <w:sz w:val="20"/>
          <w:szCs w:val="20"/>
        </w:rPr>
        <w:t>unpenalised</w:t>
      </w:r>
      <w:proofErr w:type="spellEnd"/>
      <w:r>
        <w:rPr>
          <w:color w:val="444444"/>
          <w:sz w:val="20"/>
          <w:szCs w:val="20"/>
        </w:rPr>
        <w:t xml:space="preserve"> maximum-likelihood estimates would produce infinite coefficients and are omitted. ‡ EPV slightly below the conventional threshold of 10; Model B estimates interpreted as exploratory. OR = odds ratio; VIF = variance inflation factor.</w:t>
      </w:r>
    </w:p>
    <w:p w:rsidR="00671E14" w:rsidRPr="00671E14" w:rsidRDefault="00671E14" w:rsidP="00671E14">
      <w:bookmarkStart w:id="0" w:name="_GoBack"/>
      <w:bookmarkEnd w:id="0"/>
    </w:p>
    <w:sectPr w:rsidR="00671E14" w:rsidRPr="00671E14" w:rsidSect="00671E14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55"/>
    <w:rsid w:val="000A3D45"/>
    <w:rsid w:val="0062626D"/>
    <w:rsid w:val="00671E14"/>
    <w:rsid w:val="00853B55"/>
    <w:rsid w:val="00F5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9F0A11-4923-46FF-9AF7-C2064A30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26D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2026-05-08T22:03:00Z</dcterms:created>
  <dcterms:modified xsi:type="dcterms:W3CDTF">2026-05-26T02:48:00Z</dcterms:modified>
</cp:coreProperties>
</file>