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1400"/>
        <w:gridCol w:w="2000"/>
        <w:gridCol w:w="1800"/>
        <w:gridCol w:w="2240"/>
      </w:tblGrid>
      <w:tr w:rsidR="000F3514" w:rsidTr="00A27EB2">
        <w:trPr>
          <w:tblHeader/>
        </w:trPr>
        <w:tc>
          <w:tcPr>
            <w:tcW w:w="9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CDS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Risk Category</w:t>
            </w:r>
          </w:p>
        </w:tc>
        <w:tc>
          <w:tcPr>
            <w:tcW w:w="20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Typical Lesion Profile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Predominant Location</w:t>
            </w:r>
          </w:p>
        </w:tc>
        <w:tc>
          <w:tcPr>
            <w:tcW w:w="224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Proposed Surgical Consideration (provisional†)</w:t>
            </w:r>
          </w:p>
        </w:tc>
      </w:tr>
      <w:tr w:rsidR="000F3514" w:rsidTr="00A27EB2">
        <w:tc>
          <w:tcPr>
            <w:tcW w:w="9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r>
              <w:rPr>
                <w:b/>
                <w:bCs/>
                <w:sz w:val="19"/>
                <w:szCs w:val="19"/>
              </w:rPr>
              <w:t>0–3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>Low</w:t>
            </w:r>
          </w:p>
        </w:tc>
        <w:tc>
          <w:tcPr>
            <w:tcW w:w="20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 xml:space="preserve">Size &lt;1.5 cm²; </w:t>
            </w:r>
            <w:proofErr w:type="spellStart"/>
            <w:r>
              <w:rPr>
                <w:sz w:val="19"/>
                <w:szCs w:val="19"/>
              </w:rPr>
              <w:t>Hepple</w:t>
            </w:r>
            <w:proofErr w:type="spellEnd"/>
            <w:r>
              <w:rPr>
                <w:sz w:val="19"/>
                <w:szCs w:val="19"/>
              </w:rPr>
              <w:t xml:space="preserve"> I–II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>Predominantly lateral (58.3% of low-CDS cases)</w:t>
            </w:r>
          </w:p>
        </w:tc>
        <w:tc>
          <w:tcPr>
            <w:tcW w:w="224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 xml:space="preserve">May be compatible with isolated cartilage repair (e.g., </w:t>
            </w:r>
            <w:proofErr w:type="spellStart"/>
            <w:r>
              <w:rPr>
                <w:sz w:val="19"/>
                <w:szCs w:val="19"/>
              </w:rPr>
              <w:t>microfracture</w:t>
            </w:r>
            <w:proofErr w:type="spellEnd"/>
            <w:r>
              <w:rPr>
                <w:sz w:val="19"/>
                <w:szCs w:val="19"/>
              </w:rPr>
              <w:t xml:space="preserve"> or OATS), consistent with current evidence-based principles [11,12]</w:t>
            </w:r>
          </w:p>
        </w:tc>
      </w:tr>
      <w:tr w:rsidR="000F3514" w:rsidTr="00A27EB2">
        <w:tc>
          <w:tcPr>
            <w:tcW w:w="9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r>
              <w:rPr>
                <w:b/>
                <w:bCs/>
                <w:sz w:val="19"/>
                <w:szCs w:val="19"/>
              </w:rPr>
              <w:t>4–6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>Intermediate</w:t>
            </w:r>
          </w:p>
        </w:tc>
        <w:tc>
          <w:tcPr>
            <w:tcW w:w="20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 xml:space="preserve">Size 1.5–2.5 cm²; </w:t>
            </w:r>
            <w:proofErr w:type="spellStart"/>
            <w:r>
              <w:rPr>
                <w:sz w:val="19"/>
                <w:szCs w:val="19"/>
              </w:rPr>
              <w:t>Hepple</w:t>
            </w:r>
            <w:proofErr w:type="spellEnd"/>
            <w:r>
              <w:rPr>
                <w:sz w:val="19"/>
                <w:szCs w:val="19"/>
              </w:rPr>
              <w:t xml:space="preserve"> II–III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>Mixed; medial and central over-represented</w:t>
            </w:r>
          </w:p>
        </w:tc>
        <w:tc>
          <w:tcPr>
            <w:tcW w:w="224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 xml:space="preserve">Cartilage repair with selective evaluation for concurrent </w:t>
            </w:r>
            <w:proofErr w:type="spellStart"/>
            <w:r>
              <w:rPr>
                <w:sz w:val="19"/>
                <w:szCs w:val="19"/>
              </w:rPr>
              <w:t>hindfoot</w:t>
            </w:r>
            <w:proofErr w:type="spellEnd"/>
            <w:r>
              <w:rPr>
                <w:sz w:val="19"/>
                <w:szCs w:val="19"/>
              </w:rPr>
              <w:t xml:space="preserve"> realignment; decision based on intraoperative assessment and validated alignment thresholds [4,13]</w:t>
            </w:r>
          </w:p>
        </w:tc>
      </w:tr>
      <w:tr w:rsidR="000F3514" w:rsidTr="00A27EB2">
        <w:tc>
          <w:tcPr>
            <w:tcW w:w="9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r>
              <w:rPr>
                <w:b/>
                <w:bCs/>
                <w:sz w:val="19"/>
                <w:szCs w:val="19"/>
              </w:rPr>
              <w:t>7–10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>High</w:t>
            </w:r>
          </w:p>
        </w:tc>
        <w:tc>
          <w:tcPr>
            <w:tcW w:w="20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 xml:space="preserve">Size &gt;2.5 cm²; </w:t>
            </w:r>
            <w:proofErr w:type="spellStart"/>
            <w:r>
              <w:rPr>
                <w:sz w:val="19"/>
                <w:szCs w:val="19"/>
              </w:rPr>
              <w:t>Hepple</w:t>
            </w:r>
            <w:proofErr w:type="spellEnd"/>
            <w:r>
              <w:rPr>
                <w:sz w:val="19"/>
                <w:szCs w:val="19"/>
              </w:rPr>
              <w:t xml:space="preserve"> III–V; 100% large in this cohort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>Medial or central (no high-CDS lesions observed in lateral zones)</w:t>
            </w:r>
          </w:p>
        </w:tc>
        <w:tc>
          <w:tcPr>
            <w:tcW w:w="224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0F3514" w:rsidRDefault="000F3514" w:rsidP="00A27EB2">
            <w:pPr>
              <w:jc w:val="center"/>
            </w:pPr>
            <w:r>
              <w:rPr>
                <w:sz w:val="19"/>
                <w:szCs w:val="19"/>
              </w:rPr>
              <w:t>Concurrent realignment procedure may warrant consideration alongside cartilage repair; prospective outcome validation of this pathway is required before adoption [4,11]</w:t>
            </w:r>
          </w:p>
        </w:tc>
      </w:tr>
      <w:tr w:rsidR="000F3514" w:rsidTr="00A27EB2">
        <w:tc>
          <w:tcPr>
            <w:tcW w:w="8400" w:type="dxa"/>
            <w:gridSpan w:val="5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8E7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0F3514" w:rsidRDefault="000F3514" w:rsidP="00A27EB2">
            <w:r>
              <w:rPr>
                <w:i/>
                <w:iCs/>
                <w:sz w:val="18"/>
                <w:szCs w:val="18"/>
              </w:rPr>
              <w:t xml:space="preserve">† These are association-derived, hypothesis-generating considerations only. They are not prescriptive clinical guidelines. Prospective outcome validation is required before adoption as a decision standard. All surgical decisions should be </w:t>
            </w:r>
            <w:proofErr w:type="spellStart"/>
            <w:r>
              <w:rPr>
                <w:i/>
                <w:iCs/>
                <w:sz w:val="18"/>
                <w:szCs w:val="18"/>
              </w:rPr>
              <w:t>individualised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to the full clinical picture. OATS = </w:t>
            </w:r>
            <w:proofErr w:type="spellStart"/>
            <w:r>
              <w:rPr>
                <w:i/>
                <w:iCs/>
                <w:sz w:val="18"/>
                <w:szCs w:val="18"/>
              </w:rPr>
              <w:t>osteochondral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autograft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transfer system.</w:t>
            </w:r>
          </w:p>
        </w:tc>
      </w:tr>
    </w:tbl>
    <w:p w:rsidR="00F56948" w:rsidRDefault="00F56948" w:rsidP="000F3514"/>
    <w:p w:rsidR="000F3514" w:rsidRPr="000F3514" w:rsidRDefault="000F3514" w:rsidP="000F3514">
      <w:r>
        <w:rPr>
          <w:color w:val="444444"/>
          <w:sz w:val="20"/>
          <w:szCs w:val="20"/>
        </w:rPr>
        <w:t xml:space="preserve">Table 5. CDS risk categories and location-informed proposed surgical framework. † Provisional, association-derived recommendations only. Prospective outcome validation is required before these can be adopted as clinical decision standards. All surgical decisions should be </w:t>
      </w:r>
      <w:proofErr w:type="spellStart"/>
      <w:r>
        <w:rPr>
          <w:color w:val="444444"/>
          <w:sz w:val="20"/>
          <w:szCs w:val="20"/>
        </w:rPr>
        <w:t>individualised</w:t>
      </w:r>
      <w:proofErr w:type="spellEnd"/>
      <w:r>
        <w:rPr>
          <w:color w:val="444444"/>
          <w:sz w:val="20"/>
          <w:szCs w:val="20"/>
        </w:rPr>
        <w:t xml:space="preserve">. OATS = </w:t>
      </w:r>
      <w:proofErr w:type="spellStart"/>
      <w:r>
        <w:rPr>
          <w:color w:val="444444"/>
          <w:sz w:val="20"/>
          <w:szCs w:val="20"/>
        </w:rPr>
        <w:t>osteochondral</w:t>
      </w:r>
      <w:proofErr w:type="spellEnd"/>
      <w:r>
        <w:rPr>
          <w:color w:val="444444"/>
          <w:sz w:val="20"/>
          <w:szCs w:val="20"/>
        </w:rPr>
        <w:t xml:space="preserve"> </w:t>
      </w:r>
      <w:proofErr w:type="spellStart"/>
      <w:r>
        <w:rPr>
          <w:color w:val="444444"/>
          <w:sz w:val="20"/>
          <w:szCs w:val="20"/>
        </w:rPr>
        <w:t>autograft</w:t>
      </w:r>
      <w:proofErr w:type="spellEnd"/>
      <w:r>
        <w:rPr>
          <w:color w:val="444444"/>
          <w:sz w:val="20"/>
          <w:szCs w:val="20"/>
        </w:rPr>
        <w:t xml:space="preserve"> transfer system</w:t>
      </w:r>
      <w:bookmarkStart w:id="0" w:name="_GoBack"/>
      <w:bookmarkEnd w:id="0"/>
    </w:p>
    <w:sectPr w:rsidR="000F3514" w:rsidRPr="000F3514" w:rsidSect="000F351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40"/>
    <w:rsid w:val="000657F1"/>
    <w:rsid w:val="000F3514"/>
    <w:rsid w:val="00674ABC"/>
    <w:rsid w:val="00761140"/>
    <w:rsid w:val="00F5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B19D19E-0A7F-4A5B-A405-1DE3FBC5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ABC"/>
    <w:pPr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2026-05-08T22:09:00Z</dcterms:created>
  <dcterms:modified xsi:type="dcterms:W3CDTF">2026-05-26T02:52:00Z</dcterms:modified>
</cp:coreProperties>
</file>