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C421" w14:textId="77777777" w:rsidR="004C0FFD" w:rsidRDefault="001A569D">
      <w:pPr>
        <w:spacing w:beforeLines="50" w:before="156"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Materials</w:t>
      </w:r>
    </w:p>
    <w:p w14:paraId="387EDE2F" w14:textId="77777777" w:rsidR="004C0FFD" w:rsidRDefault="001A569D">
      <w:pPr>
        <w:spacing w:beforeLines="50" w:before="156"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Tab.</w:t>
      </w:r>
      <w:r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1 Baseline characteristics and demographic data of study participants</w:t>
      </w:r>
    </w:p>
    <w:tbl>
      <w:tblPr>
        <w:tblStyle w:val="a9"/>
        <w:tblW w:w="84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4"/>
        <w:gridCol w:w="2284"/>
        <w:gridCol w:w="2495"/>
        <w:gridCol w:w="1187"/>
      </w:tblGrid>
      <w:tr w:rsidR="004C0FFD" w14:paraId="298B2348" w14:textId="77777777">
        <w:trPr>
          <w:trHeight w:hRule="exact" w:val="340"/>
          <w:jc w:val="center"/>
        </w:trPr>
        <w:tc>
          <w:tcPr>
            <w:tcW w:w="2433" w:type="dxa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61E93C0" w14:textId="77777777" w:rsidR="004C0FFD" w:rsidRDefault="001A569D">
            <w:pPr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Variable</w:t>
            </w:r>
          </w:p>
        </w:tc>
        <w:tc>
          <w:tcPr>
            <w:tcW w:w="228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E17356C" w14:textId="77777777" w:rsidR="004C0FFD" w:rsidRDefault="001A569D">
            <w:pPr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Placebo</w:t>
            </w:r>
          </w:p>
        </w:tc>
        <w:tc>
          <w:tcPr>
            <w:tcW w:w="2494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B692FB3" w14:textId="77777777" w:rsidR="004C0FFD" w:rsidRDefault="001A569D">
            <w:pPr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pAkk11</w:t>
            </w:r>
          </w:p>
        </w:tc>
        <w:tc>
          <w:tcPr>
            <w:tcW w:w="1186" w:type="dxa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D57BA18" w14:textId="77777777" w:rsidR="004C0FFD" w:rsidRDefault="001A569D">
            <w:pPr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-value</w:t>
            </w:r>
          </w:p>
        </w:tc>
      </w:tr>
      <w:tr w:rsidR="004C0FFD" w14:paraId="4D02308D" w14:textId="77777777">
        <w:trPr>
          <w:trHeight w:hRule="exact" w:val="340"/>
          <w:jc w:val="center"/>
        </w:trPr>
        <w:tc>
          <w:tcPr>
            <w:tcW w:w="2433" w:type="dxa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9D53EAC" w14:textId="77777777" w:rsidR="004C0FFD" w:rsidRDefault="004C0FFD">
            <w:pPr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2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4D22B31" w14:textId="77777777" w:rsidR="004C0FFD" w:rsidRDefault="001A569D">
            <w:pPr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(n=30, mean ± STD)</w:t>
            </w:r>
          </w:p>
        </w:tc>
        <w:tc>
          <w:tcPr>
            <w:tcW w:w="24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DCFE76A" w14:textId="77777777" w:rsidR="004C0FFD" w:rsidRDefault="001A569D">
            <w:pPr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(n=31, mean ± STD)</w:t>
            </w:r>
          </w:p>
        </w:tc>
        <w:tc>
          <w:tcPr>
            <w:tcW w:w="1186" w:type="dxa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BEDCDEF" w14:textId="77777777" w:rsidR="004C0FFD" w:rsidRDefault="004C0FFD">
            <w:pPr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</w:tr>
      <w:tr w:rsidR="004C0FFD" w14:paraId="46C8C54C" w14:textId="77777777">
        <w:trPr>
          <w:trHeight w:hRule="exact" w:val="340"/>
          <w:jc w:val="center"/>
        </w:trPr>
        <w:tc>
          <w:tcPr>
            <w:tcW w:w="24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80D6C2F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Age (years)</w:t>
            </w:r>
          </w:p>
        </w:tc>
        <w:tc>
          <w:tcPr>
            <w:tcW w:w="22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5FC348B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29.97 ± 9.73</w:t>
            </w:r>
          </w:p>
        </w:tc>
        <w:tc>
          <w:tcPr>
            <w:tcW w:w="24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778A0CD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32.52 ± 12.15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9BD85F5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0.370</w:t>
            </w:r>
          </w:p>
        </w:tc>
      </w:tr>
      <w:tr w:rsidR="004C0FFD" w14:paraId="03CE16A0" w14:textId="77777777">
        <w:trPr>
          <w:trHeight w:hRule="exact" w:val="340"/>
          <w:jc w:val="center"/>
        </w:trPr>
        <w:tc>
          <w:tcPr>
            <w:tcW w:w="2433" w:type="dxa"/>
            <w:tcBorders>
              <w:top w:val="single" w:sz="12" w:space="0" w:color="FFFFFF"/>
              <w:left w:val="nil"/>
              <w:bottom w:val="nil"/>
              <w:right w:val="nil"/>
            </w:tcBorders>
            <w:vAlign w:val="center"/>
          </w:tcPr>
          <w:p w14:paraId="1F45BE6B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Sex (no. of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subject (%))</w:t>
            </w:r>
          </w:p>
        </w:tc>
        <w:tc>
          <w:tcPr>
            <w:tcW w:w="2283" w:type="dxa"/>
            <w:tcBorders>
              <w:top w:val="single" w:sz="12" w:space="0" w:color="FFFFFF"/>
              <w:left w:val="nil"/>
              <w:bottom w:val="nil"/>
              <w:right w:val="nil"/>
            </w:tcBorders>
            <w:vAlign w:val="center"/>
          </w:tcPr>
          <w:p w14:paraId="51A6BF20" w14:textId="77777777" w:rsidR="004C0FFD" w:rsidRDefault="004C0FF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94" w:type="dxa"/>
            <w:tcBorders>
              <w:top w:val="single" w:sz="12" w:space="0" w:color="FFFFFF"/>
              <w:left w:val="nil"/>
              <w:bottom w:val="nil"/>
              <w:right w:val="nil"/>
            </w:tcBorders>
            <w:vAlign w:val="center"/>
          </w:tcPr>
          <w:p w14:paraId="04FF0792" w14:textId="77777777" w:rsidR="004C0FFD" w:rsidRDefault="004C0FF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86" w:type="dxa"/>
            <w:tcBorders>
              <w:top w:val="single" w:sz="12" w:space="0" w:color="FFFFFF"/>
              <w:left w:val="nil"/>
              <w:bottom w:val="nil"/>
              <w:right w:val="nil"/>
            </w:tcBorders>
            <w:vAlign w:val="center"/>
          </w:tcPr>
          <w:p w14:paraId="46D21074" w14:textId="77777777" w:rsidR="004C0FFD" w:rsidRDefault="004C0FF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4C0FFD" w14:paraId="3C423CD5" w14:textId="77777777">
        <w:trPr>
          <w:trHeight w:hRule="exact" w:val="340"/>
          <w:jc w:val="center"/>
        </w:trPr>
        <w:tc>
          <w:tcPr>
            <w:tcW w:w="2433" w:type="dxa"/>
            <w:tcBorders>
              <w:top w:val="single" w:sz="12" w:space="0" w:color="FFFFFF"/>
              <w:left w:val="nil"/>
              <w:bottom w:val="nil"/>
              <w:right w:val="nil"/>
            </w:tcBorders>
            <w:vAlign w:val="center"/>
          </w:tcPr>
          <w:p w14:paraId="14469B7F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2283" w:type="dxa"/>
            <w:tcBorders>
              <w:top w:val="single" w:sz="12" w:space="0" w:color="FFFFFF"/>
              <w:left w:val="nil"/>
              <w:bottom w:val="nil"/>
              <w:right w:val="nil"/>
            </w:tcBorders>
            <w:vAlign w:val="center"/>
          </w:tcPr>
          <w:p w14:paraId="73C8006B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 (53.3%)</w:t>
            </w:r>
          </w:p>
        </w:tc>
        <w:tc>
          <w:tcPr>
            <w:tcW w:w="2494" w:type="dxa"/>
            <w:tcBorders>
              <w:top w:val="single" w:sz="12" w:space="0" w:color="FFFFFF"/>
              <w:left w:val="nil"/>
              <w:bottom w:val="nil"/>
              <w:right w:val="nil"/>
            </w:tcBorders>
            <w:vAlign w:val="center"/>
          </w:tcPr>
          <w:p w14:paraId="5AC50C4B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 (48.4%)</w:t>
            </w:r>
          </w:p>
        </w:tc>
        <w:tc>
          <w:tcPr>
            <w:tcW w:w="1186" w:type="dxa"/>
            <w:tcBorders>
              <w:top w:val="single" w:sz="12" w:space="0" w:color="FFFFFF"/>
              <w:left w:val="nil"/>
              <w:bottom w:val="nil"/>
              <w:right w:val="nil"/>
            </w:tcBorders>
            <w:vAlign w:val="center"/>
          </w:tcPr>
          <w:p w14:paraId="54758A29" w14:textId="77777777" w:rsidR="004C0FFD" w:rsidRDefault="004C0FF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4C0FFD" w14:paraId="403254F8" w14:textId="77777777">
        <w:trPr>
          <w:trHeight w:hRule="exact" w:val="340"/>
          <w:jc w:val="center"/>
        </w:trPr>
        <w:tc>
          <w:tcPr>
            <w:tcW w:w="2433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vAlign w:val="center"/>
          </w:tcPr>
          <w:p w14:paraId="54248D78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Female</w:t>
            </w:r>
          </w:p>
        </w:tc>
        <w:tc>
          <w:tcPr>
            <w:tcW w:w="2283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vAlign w:val="center"/>
          </w:tcPr>
          <w:p w14:paraId="1954297C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 (46.7%)</w:t>
            </w:r>
          </w:p>
        </w:tc>
        <w:tc>
          <w:tcPr>
            <w:tcW w:w="2494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vAlign w:val="center"/>
          </w:tcPr>
          <w:p w14:paraId="4CC83B4F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 (51.6%)</w:t>
            </w:r>
          </w:p>
        </w:tc>
        <w:tc>
          <w:tcPr>
            <w:tcW w:w="118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vAlign w:val="center"/>
          </w:tcPr>
          <w:p w14:paraId="3898278E" w14:textId="77777777" w:rsidR="004C0FFD" w:rsidRDefault="004C0FF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4C0FFD" w14:paraId="18AC8D54" w14:textId="77777777">
        <w:trPr>
          <w:trHeight w:hRule="exact" w:val="340"/>
          <w:jc w:val="center"/>
        </w:trPr>
        <w:tc>
          <w:tcPr>
            <w:tcW w:w="2433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E7E6E6"/>
            <w:vAlign w:val="center"/>
          </w:tcPr>
          <w:p w14:paraId="65F27486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Weight (kg)</w:t>
            </w:r>
          </w:p>
        </w:tc>
        <w:tc>
          <w:tcPr>
            <w:tcW w:w="2283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E7E6E6"/>
            <w:vAlign w:val="center"/>
          </w:tcPr>
          <w:p w14:paraId="216D2EFE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83.40 ± 11.65</w:t>
            </w:r>
          </w:p>
        </w:tc>
        <w:tc>
          <w:tcPr>
            <w:tcW w:w="2494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E7E6E6"/>
            <w:vAlign w:val="center"/>
          </w:tcPr>
          <w:p w14:paraId="74B098D7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80.69 ± 11.62</w:t>
            </w:r>
          </w:p>
        </w:tc>
        <w:tc>
          <w:tcPr>
            <w:tcW w:w="118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E7E6E6"/>
            <w:vAlign w:val="center"/>
          </w:tcPr>
          <w:p w14:paraId="35E476C1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0.366</w:t>
            </w:r>
          </w:p>
        </w:tc>
      </w:tr>
      <w:tr w:rsidR="004C0FFD" w14:paraId="78CC0026" w14:textId="77777777">
        <w:trPr>
          <w:trHeight w:hRule="exact" w:val="340"/>
          <w:jc w:val="center"/>
        </w:trPr>
        <w:tc>
          <w:tcPr>
            <w:tcW w:w="2433" w:type="dxa"/>
            <w:tcBorders>
              <w:top w:val="single" w:sz="12" w:space="0" w:color="FFFFFF"/>
              <w:bottom w:val="nil"/>
              <w:right w:val="nil"/>
            </w:tcBorders>
            <w:vAlign w:val="center"/>
          </w:tcPr>
          <w:p w14:paraId="2EB6805F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C</w:t>
            </w:r>
          </w:p>
        </w:tc>
        <w:tc>
          <w:tcPr>
            <w:tcW w:w="2283" w:type="dxa"/>
            <w:tcBorders>
              <w:top w:val="single" w:sz="12" w:space="0" w:color="FFFFFF"/>
              <w:left w:val="nil"/>
              <w:bottom w:val="nil"/>
              <w:right w:val="nil"/>
            </w:tcBorders>
            <w:vAlign w:val="center"/>
          </w:tcPr>
          <w:p w14:paraId="2A678079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1.69 ± 0.096</w:t>
            </w:r>
          </w:p>
        </w:tc>
        <w:tc>
          <w:tcPr>
            <w:tcW w:w="2494" w:type="dxa"/>
            <w:tcBorders>
              <w:top w:val="single" w:sz="12" w:space="0" w:color="FFFFFF"/>
              <w:left w:val="nil"/>
              <w:bottom w:val="nil"/>
              <w:right w:val="nil"/>
            </w:tcBorders>
            <w:vAlign w:val="center"/>
          </w:tcPr>
          <w:p w14:paraId="5FB87221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1.66 ± 0.092</w:t>
            </w:r>
          </w:p>
        </w:tc>
        <w:tc>
          <w:tcPr>
            <w:tcW w:w="1186" w:type="dxa"/>
            <w:tcBorders>
              <w:top w:val="single" w:sz="12" w:space="0" w:color="FFFFFF"/>
              <w:left w:val="nil"/>
              <w:bottom w:val="nil"/>
            </w:tcBorders>
            <w:vAlign w:val="center"/>
          </w:tcPr>
          <w:p w14:paraId="41FF4377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0.123</w:t>
            </w:r>
          </w:p>
        </w:tc>
      </w:tr>
      <w:tr w:rsidR="004C0FFD" w14:paraId="64AC7656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shd w:val="clear" w:color="auto" w:fill="E7E6E6"/>
            <w:vAlign w:val="center"/>
          </w:tcPr>
          <w:p w14:paraId="452E9C6D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BMI (kg/m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833EDB9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28.86 ± 2.69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B3389CD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29.16 ± 2.73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shd w:val="clear" w:color="auto" w:fill="E7E6E6"/>
            <w:vAlign w:val="center"/>
          </w:tcPr>
          <w:p w14:paraId="333A7522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0.671</w:t>
            </w:r>
          </w:p>
        </w:tc>
      </w:tr>
      <w:tr w:rsidR="004C0FFD" w14:paraId="52AF8F70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vAlign w:val="center"/>
          </w:tcPr>
          <w:p w14:paraId="4744AB0A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Fat mass (kg)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28AC1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24.7</w:t>
            </w:r>
            <w:bookmarkStart w:id="0" w:name="OLE_LINK6"/>
            <w:r>
              <w:rPr>
                <w:rFonts w:ascii="Times New Roman" w:hAnsi="Times New Roman" w:cs="Times New Roman"/>
                <w:kern w:val="0"/>
                <w:szCs w:val="21"/>
              </w:rPr>
              <w:t>5</w:t>
            </w:r>
            <w:bookmarkEnd w:id="0"/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± 5.82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1EC13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24.94 ± 6.10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vAlign w:val="center"/>
          </w:tcPr>
          <w:p w14:paraId="607A6633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0.904</w:t>
            </w:r>
          </w:p>
        </w:tc>
      </w:tr>
      <w:tr w:rsidR="004C0FFD" w14:paraId="333AA731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shd w:val="clear" w:color="auto" w:fill="E7E6E6"/>
            <w:vAlign w:val="center"/>
          </w:tcPr>
          <w:p w14:paraId="341E9E85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VFI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5B41E33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11.59 ± 2.06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9F741C0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11.99 ± 2.21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shd w:val="clear" w:color="auto" w:fill="E7E6E6"/>
            <w:vAlign w:val="center"/>
          </w:tcPr>
          <w:p w14:paraId="5DA23791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0.464</w:t>
            </w:r>
          </w:p>
        </w:tc>
      </w:tr>
      <w:tr w:rsidR="004C0FFD" w14:paraId="2830C289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vAlign w:val="center"/>
          </w:tcPr>
          <w:p w14:paraId="6C2CE3C1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BFP (%)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A64F8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30.07 ± 6.97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02954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31.76 ± 6.75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vAlign w:val="center"/>
          </w:tcPr>
          <w:p w14:paraId="43EE4DF0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0.339</w:t>
            </w:r>
          </w:p>
        </w:tc>
      </w:tr>
      <w:tr w:rsidR="004C0FFD" w14:paraId="24FA68BC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shd w:val="clear" w:color="auto" w:fill="E7E6E6"/>
            <w:vAlign w:val="center"/>
          </w:tcPr>
          <w:p w14:paraId="71A3CD25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Wrist (cm)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401FA4E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17.96 ± 1.46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4AEC5189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17.67 ± 1.14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shd w:val="clear" w:color="auto" w:fill="E7E6E6"/>
            <w:vAlign w:val="center"/>
          </w:tcPr>
          <w:p w14:paraId="6700CE62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0.390</w:t>
            </w:r>
          </w:p>
        </w:tc>
      </w:tr>
      <w:tr w:rsidR="004C0FFD" w14:paraId="1893B505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vAlign w:val="center"/>
          </w:tcPr>
          <w:p w14:paraId="3590B3B0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Waist (cm)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A340B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94.01 ± 8.14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B39F3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90.05 ± 16.67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vAlign w:val="center"/>
          </w:tcPr>
          <w:p w14:paraId="01AB02B6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0.246</w:t>
            </w:r>
          </w:p>
        </w:tc>
      </w:tr>
      <w:tr w:rsidR="004C0FFD" w14:paraId="01AE6817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shd w:val="clear" w:color="auto" w:fill="E7E6E6"/>
            <w:vAlign w:val="center"/>
          </w:tcPr>
          <w:p w14:paraId="75943D6F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Hip (cm)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305BA24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106.65 ± 6.84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DC2E9CC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105.00 ± 7.00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shd w:val="clear" w:color="auto" w:fill="E7E6E6"/>
            <w:vAlign w:val="center"/>
          </w:tcPr>
          <w:p w14:paraId="598FEE1B" w14:textId="614D5024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</w:t>
            </w:r>
            <w:r w:rsidR="007163DD">
              <w:rPr>
                <w:rFonts w:ascii="Times New Roman" w:hAnsi="Times New Roman" w:cs="Times New Roman" w:hint="eastAsia"/>
                <w:kern w:val="0"/>
                <w:szCs w:val="21"/>
              </w:rPr>
              <w:t>355</w:t>
            </w:r>
          </w:p>
        </w:tc>
      </w:tr>
      <w:tr w:rsidR="004C0FFD" w14:paraId="18A92B95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vAlign w:val="center"/>
          </w:tcPr>
          <w:p w14:paraId="1ADBEB83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Waist-hip ratio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6BA11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0.96 ± 0.05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CCE82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0.96 ± 0.05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vAlign w:val="center"/>
          </w:tcPr>
          <w:p w14:paraId="4E0B0AC6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0.969</w:t>
            </w:r>
          </w:p>
        </w:tc>
      </w:tr>
      <w:tr w:rsidR="004C0FFD" w14:paraId="18E6AD7D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shd w:val="clear" w:color="auto" w:fill="E7E6E6"/>
            <w:vAlign w:val="center"/>
          </w:tcPr>
          <w:p w14:paraId="2CF9BFA2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Glucose (mmol/L)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4396ECA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5.15 ± 0.72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A5BF30E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5.62 ± 1.08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shd w:val="clear" w:color="auto" w:fill="E7E6E6"/>
            <w:vAlign w:val="center"/>
          </w:tcPr>
          <w:p w14:paraId="2488385A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0.054</w:t>
            </w:r>
          </w:p>
        </w:tc>
      </w:tr>
      <w:tr w:rsidR="004C0FFD" w14:paraId="479E7D25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vAlign w:val="center"/>
          </w:tcPr>
          <w:p w14:paraId="649A5140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TC (mmol/L)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BF0F9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4.78 ± 0.80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84970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5.23 ± 1.86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vAlign w:val="center"/>
          </w:tcPr>
          <w:p w14:paraId="55B62461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0.218</w:t>
            </w:r>
          </w:p>
        </w:tc>
      </w:tr>
      <w:tr w:rsidR="004C0FFD" w14:paraId="76760DF0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shd w:val="clear" w:color="auto" w:fill="E7E6E6"/>
            <w:vAlign w:val="center"/>
          </w:tcPr>
          <w:p w14:paraId="2633E177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TG (mmol/L)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F5D50B9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1.61 ± 0.86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9EE8F6B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1.51 ± 0.69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shd w:val="clear" w:color="auto" w:fill="E7E6E6"/>
            <w:vAlign w:val="center"/>
          </w:tcPr>
          <w:p w14:paraId="4000B6EA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0.621</w:t>
            </w:r>
          </w:p>
        </w:tc>
      </w:tr>
      <w:tr w:rsidR="004C0FFD" w14:paraId="1561E7F2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vAlign w:val="center"/>
          </w:tcPr>
          <w:p w14:paraId="2A01B5B6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HDL-C (mmol/L)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4D4F8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1.50 ± 0.27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AFD5E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1.58 ± 0.25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vAlign w:val="center"/>
          </w:tcPr>
          <w:p w14:paraId="5326DFBB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0.270</w:t>
            </w:r>
          </w:p>
        </w:tc>
      </w:tr>
      <w:tr w:rsidR="004C0FFD" w14:paraId="77A856DA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shd w:val="clear" w:color="auto" w:fill="E7E6E6"/>
            <w:vAlign w:val="center"/>
          </w:tcPr>
          <w:p w14:paraId="680BEEAD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LDL-C (mmol/L)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CD052CB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2.22 ± 0.78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4F04F775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2.58 ± 0.83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shd w:val="clear" w:color="auto" w:fill="E7E6E6"/>
            <w:vAlign w:val="center"/>
          </w:tcPr>
          <w:p w14:paraId="0C9628CF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0.087</w:t>
            </w:r>
          </w:p>
        </w:tc>
      </w:tr>
      <w:tr w:rsidR="004C0FFD" w14:paraId="530ADDE0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vAlign w:val="center"/>
          </w:tcPr>
          <w:p w14:paraId="1018D83E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ALT (U/L)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C7D7E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35.23 ±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22.12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722BD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33.03 ± 24.84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vAlign w:val="center"/>
          </w:tcPr>
          <w:p w14:paraId="2D5C8FF1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0.716</w:t>
            </w:r>
          </w:p>
        </w:tc>
      </w:tr>
      <w:tr w:rsidR="004C0FFD" w14:paraId="3BDD9E14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shd w:val="clear" w:color="auto" w:fill="E7E6E6"/>
            <w:vAlign w:val="center"/>
          </w:tcPr>
          <w:p w14:paraId="62EEC598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AST (U/L)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D1F55A5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24.13 ± 8.95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6259DB1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25.42 ± 13.67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shd w:val="clear" w:color="auto" w:fill="E7E6E6"/>
            <w:vAlign w:val="center"/>
          </w:tcPr>
          <w:p w14:paraId="5C1F67CA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0.666</w:t>
            </w:r>
          </w:p>
        </w:tc>
      </w:tr>
      <w:tr w:rsidR="004C0FFD" w14:paraId="589009FB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vAlign w:val="center"/>
          </w:tcPr>
          <w:p w14:paraId="40063C1C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Total Bilirubin (µmol/L)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CC5A7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12.45 ± 4.83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77C73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12.38 ± 5.56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vAlign w:val="center"/>
          </w:tcPr>
          <w:p w14:paraId="3AEE0704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0.959</w:t>
            </w:r>
          </w:p>
        </w:tc>
      </w:tr>
      <w:tr w:rsidR="004C0FFD" w14:paraId="19B439D8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shd w:val="clear" w:color="auto" w:fill="E7E6E6"/>
            <w:vAlign w:val="center"/>
          </w:tcPr>
          <w:p w14:paraId="28DBC0BF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GGT (U/L)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17E1BB5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32.27 ± 26.42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DF9AAB3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32.81 ± 36.38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shd w:val="clear" w:color="auto" w:fill="E7E6E6"/>
            <w:vAlign w:val="center"/>
          </w:tcPr>
          <w:p w14:paraId="5E16547D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0.948</w:t>
            </w:r>
          </w:p>
        </w:tc>
      </w:tr>
      <w:tr w:rsidR="004C0FFD" w14:paraId="5AE8E580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vAlign w:val="center"/>
          </w:tcPr>
          <w:p w14:paraId="321BE5AB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Cr (µmol/L)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68E8F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66.23 ± 10.71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8020D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62.21 ± 10.08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vAlign w:val="center"/>
          </w:tcPr>
          <w:p w14:paraId="1DD3A18A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0.136</w:t>
            </w:r>
          </w:p>
        </w:tc>
      </w:tr>
      <w:tr w:rsidR="004C0FFD" w14:paraId="7934A6D1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shd w:val="clear" w:color="auto" w:fill="DDDDDD"/>
            <w:vAlign w:val="center"/>
          </w:tcPr>
          <w:p w14:paraId="33B94C72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BUN (mmol/L)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14:paraId="66B68F4C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5.79 ± 0.83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14:paraId="04A4474E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5.85 ±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0.99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shd w:val="clear" w:color="auto" w:fill="DDDDDD"/>
            <w:vAlign w:val="center"/>
          </w:tcPr>
          <w:p w14:paraId="2D503602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0.793</w:t>
            </w:r>
          </w:p>
        </w:tc>
      </w:tr>
      <w:tr w:rsidR="004C0FFD" w14:paraId="6A1E4359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bottom w:val="nil"/>
              <w:right w:val="nil"/>
            </w:tcBorders>
            <w:vAlign w:val="center"/>
          </w:tcPr>
          <w:p w14:paraId="73F093B0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UA (µmol/L)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EB933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380.15 ± 86.93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3D9E2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371.39 ± 98.94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  <w:vAlign w:val="center"/>
          </w:tcPr>
          <w:p w14:paraId="68FA6C6B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0.715</w:t>
            </w:r>
          </w:p>
        </w:tc>
      </w:tr>
      <w:tr w:rsidR="004C0FFD" w14:paraId="1AD5E440" w14:textId="77777777">
        <w:trPr>
          <w:trHeight w:hRule="exact" w:val="340"/>
          <w:jc w:val="center"/>
        </w:trPr>
        <w:tc>
          <w:tcPr>
            <w:tcW w:w="243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60A9E8D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WBC (10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/L)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0714C50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6.19 ± 1.03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589384F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6.38 ± 1.67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C41FEB9" w14:textId="77777777" w:rsidR="004C0FFD" w:rsidRDefault="001A569D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0.601</w:t>
            </w:r>
          </w:p>
        </w:tc>
      </w:tr>
    </w:tbl>
    <w:p w14:paraId="1AA22FBD" w14:textId="77777777" w:rsidR="004C0FFD" w:rsidRDefault="001A569D">
      <w:pPr>
        <w:spacing w:beforeLines="50" w:before="156"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BMI body-mass index, VFI visceral fat index, BFP body fat percentage; GGT gamma-glutamyl transferase, Cr creatinine; BUN blood urea nitrogen; UA </w:t>
      </w:r>
      <w:r>
        <w:rPr>
          <w:rFonts w:ascii="Times New Roman" w:hAnsi="Times New Roman" w:cs="Times New Roman"/>
          <w:szCs w:val="21"/>
        </w:rPr>
        <w:t>uric acid; WBC white blood cell count; Data are n (%), mean (SD) or median (interquartile range).</w:t>
      </w:r>
    </w:p>
    <w:p w14:paraId="5B0E19E2" w14:textId="77777777" w:rsidR="004C0FFD" w:rsidRDefault="001A569D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4703E418" w14:textId="77777777" w:rsidR="004C0FFD" w:rsidRDefault="001A569D">
      <w:pPr>
        <w:spacing w:beforeLines="50" w:before="156"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Fig. S1</w:t>
      </w:r>
    </w:p>
    <w:p w14:paraId="7B524342" w14:textId="77777777" w:rsidR="004C0FFD" w:rsidRDefault="001A569D">
      <w:pPr>
        <w:spacing w:beforeLines="50" w:before="156"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573A98A8" wp14:editId="7DFF44C9">
            <wp:extent cx="5274310" cy="6583045"/>
            <wp:effectExtent l="0" t="0" r="254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8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B3350" w14:textId="77777777" w:rsidR="004C0FFD" w:rsidRDefault="001A569D">
      <w:pPr>
        <w:spacing w:beforeLines="50" w:before="156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Fig. </w:t>
      </w:r>
      <w:r>
        <w:rPr>
          <w:rFonts w:ascii="Times New Roman" w:hAnsi="Times New Roman" w:cs="Times New Roman"/>
          <w:b/>
          <w:bCs/>
          <w:sz w:val="18"/>
          <w:szCs w:val="18"/>
        </w:rPr>
        <w:t>S1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Multivariate and differential analyses of metabolic profiles in placebo and pAkk11 groups at baseline (0_W) and after 12 weeks (12_W).</w:t>
      </w:r>
      <w:r>
        <w:rPr>
          <w:rFonts w:ascii="Times New Roman" w:hAnsi="Times New Roman" w:cs="Times New Roman" w:hint="eastAsia"/>
          <w:sz w:val="18"/>
          <w:szCs w:val="18"/>
        </w:rPr>
        <w:t xml:space="preserve"> (A) OPLS-DA score plots comparing the two groups: (a) Comparison between </w:t>
      </w:r>
      <w:r>
        <w:rPr>
          <w:rFonts w:ascii="Times New Roman" w:hAnsi="Times New Roman" w:cs="Times New Roman"/>
          <w:sz w:val="18"/>
          <w:szCs w:val="18"/>
        </w:rPr>
        <w:t>the placebo group (placebo_0) and the pAkk11 gr</w:t>
      </w:r>
      <w:r>
        <w:rPr>
          <w:rFonts w:ascii="Times New Roman" w:hAnsi="Times New Roman" w:cs="Times New Roman"/>
          <w:sz w:val="18"/>
          <w:szCs w:val="18"/>
        </w:rPr>
        <w:t>oup (pAkk11_0) at baseline; (b) Comparison between the placebo group (placebo_12) and the pAkk11 group (pAkk11_12) after the 12-week intervention; (B)| Volcano plots depicting differential comparisons: (a) Placebo group before versus after the intervention</w:t>
      </w:r>
      <w:r>
        <w:rPr>
          <w:rFonts w:ascii="Times New Roman" w:hAnsi="Times New Roman" w:cs="Times New Roman"/>
          <w:sz w:val="18"/>
          <w:szCs w:val="18"/>
        </w:rPr>
        <w:t xml:space="preserve"> (placebo_0 vs. placebo_12); (b) </w:t>
      </w:r>
      <w:r>
        <w:rPr>
          <w:rFonts w:ascii="Times New Roman" w:hAnsi="Times New Roman" w:cs="Times New Roman"/>
          <w:sz w:val="18"/>
          <w:szCs w:val="18"/>
        </w:rPr>
        <w:lastRenderedPageBreak/>
        <w:t>pAkk11 group before versus after the intervention (pAkk11_0 vs. pAkk11_12); (c) Between-group comparison after the 12-week intervention (placebo_12 vs. pAkk11_12); (C) Heatmap illustrating the abundance patterns of selected</w:t>
      </w:r>
      <w:r>
        <w:rPr>
          <w:rFonts w:ascii="Times New Roman" w:hAnsi="Times New Roman" w:cs="Times New Roman"/>
          <w:sz w:val="18"/>
          <w:szCs w:val="18"/>
        </w:rPr>
        <w:t xml:space="preserve"> metabolites across groups, with hierarchical clustering demonstrating distinct profile changes; (D) Relative abundance plots for specific metabolites including (Creatine, Malonate, Xanthine, Inosine, Palmitate, Oleate, Linoleate, Stearate, Pentadecanoate,</w:t>
      </w:r>
      <w:r>
        <w:rPr>
          <w:rFonts w:ascii="Times New Roman" w:hAnsi="Times New Roman" w:cs="Times New Roman"/>
          <w:sz w:val="18"/>
          <w:szCs w:val="18"/>
        </w:rPr>
        <w:t xml:space="preserve"> and Myristate); (E) KEGG enrichment analysis of serum metabolic pathways.</w:t>
      </w:r>
    </w:p>
    <w:p w14:paraId="631C531C" w14:textId="77777777" w:rsidR="004C0FFD" w:rsidRDefault="001A569D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50AD4B36" w14:textId="77777777" w:rsidR="004C0FFD" w:rsidRDefault="001A569D">
      <w:pPr>
        <w:spacing w:beforeLines="50" w:before="156"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>Fig. S2</w:t>
      </w:r>
    </w:p>
    <w:p w14:paraId="232B41FE" w14:textId="77777777" w:rsidR="004C0FFD" w:rsidRDefault="001A569D">
      <w:pPr>
        <w:spacing w:beforeLines="50" w:before="156"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44FED878" wp14:editId="7FC33A66">
            <wp:extent cx="5274310" cy="5120640"/>
            <wp:effectExtent l="0" t="0" r="254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35DBD" w14:textId="3651B9A6" w:rsidR="004C0FFD" w:rsidRPr="003D4864" w:rsidRDefault="001A569D" w:rsidP="003D4864">
      <w:pPr>
        <w:spacing w:beforeLines="50" w:before="156" w:line="360" w:lineRule="auto"/>
        <w:rPr>
          <w:rFonts w:ascii="Times New Roman" w:hAnsi="Times New Roman" w:cs="Times New Roman" w:hint="eastAsia"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Fig.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S2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Efficacy of pAkk11 on gut microbiota diversities and Metagenomic Analysis. </w:t>
      </w:r>
      <w:r>
        <w:rPr>
          <w:rFonts w:ascii="Times New Roman" w:hAnsi="Times New Roman" w:cs="Times New Roman" w:hint="eastAsia"/>
          <w:sz w:val="18"/>
          <w:szCs w:val="18"/>
        </w:rPr>
        <w:t>(A) Chao1 index and Shannon index of gut microbiota diversity; (B) Beta diversity of i</w:t>
      </w:r>
      <w:r>
        <w:rPr>
          <w:rFonts w:ascii="Times New Roman" w:hAnsi="Times New Roman" w:cs="Times New Roman" w:hint="eastAsia"/>
          <w:sz w:val="18"/>
          <w:szCs w:val="18"/>
        </w:rPr>
        <w:t xml:space="preserve">ntestinal microbiota assessed by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PcoA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and NMDS analyses based on Bray-Curtis distance; (C) G</w:t>
      </w:r>
      <w:r>
        <w:rPr>
          <w:rFonts w:ascii="Times New Roman" w:hAnsi="Times New Roman" w:cs="Times New Roman"/>
          <w:sz w:val="18"/>
          <w:szCs w:val="18"/>
        </w:rPr>
        <w:t>ut microbial composition at the phylum level; (D) Gut microbial composition at the genus level; (E) Relative abundance of gut microbial species; (F) KEGG functional</w:t>
      </w:r>
      <w:r>
        <w:rPr>
          <w:rFonts w:ascii="Times New Roman" w:hAnsi="Times New Roman" w:cs="Times New Roman"/>
          <w:sz w:val="18"/>
          <w:szCs w:val="18"/>
        </w:rPr>
        <w:t xml:space="preserve"> pathway enrichment analysis and Species-source stratified bar chart plot of arginine biosynthesis pathway; (map03010-Ribosome; map00290-Valine leucine and isoleucine biosynthesis; map00710-Carbon fixation in </w:t>
      </w:r>
      <w:proofErr w:type="spellStart"/>
      <w:r>
        <w:rPr>
          <w:rFonts w:ascii="Times New Roman" w:hAnsi="Times New Roman" w:cs="Times New Roman"/>
          <w:sz w:val="18"/>
          <w:szCs w:val="18"/>
        </w:rPr>
        <w:t>photosythetic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organisms; map00770-Pantotheate a</w:t>
      </w:r>
      <w:r>
        <w:rPr>
          <w:rFonts w:ascii="Times New Roman" w:hAnsi="Times New Roman" w:cs="Times New Roman"/>
          <w:sz w:val="18"/>
          <w:szCs w:val="18"/>
        </w:rPr>
        <w:t>nd CoA biosynthesis; map01230-Biosynthesis of amino acids; map00970-Aminoacyl-tRNA biosynthesis; map00250-Alanine, aspartate and glutamate metabolism; map00521-Streptomycin biosynthesis; map00471-D-Glutamine and D-glutamate metabolism; map03060-Proteinexpo</w:t>
      </w:r>
      <w:r>
        <w:rPr>
          <w:rFonts w:ascii="Times New Roman" w:hAnsi="Times New Roman" w:cs="Times New Roman"/>
          <w:sz w:val="18"/>
          <w:szCs w:val="18"/>
        </w:rPr>
        <w:t>rt; map00983-Drug metabolism-other enzymes; map00020-Citrate cycle; map00220-Arginine biosynthesis; map03070-Bacterial secretion system; map01210-2-Oxocarboxylic acid metabolism).</w:t>
      </w:r>
    </w:p>
    <w:sectPr w:rsidR="004C0FFD" w:rsidRPr="003D4864" w:rsidSect="00CB559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C2AAE" w14:textId="77777777" w:rsidR="001A569D" w:rsidRDefault="001A569D">
      <w:r>
        <w:separator/>
      </w:r>
    </w:p>
  </w:endnote>
  <w:endnote w:type="continuationSeparator" w:id="0">
    <w:p w14:paraId="0B1FDD8D" w14:textId="77777777" w:rsidR="001A569D" w:rsidRDefault="001A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4700166"/>
    </w:sdtPr>
    <w:sdtEndPr/>
    <w:sdtContent>
      <w:p w14:paraId="5F43C7BA" w14:textId="77777777" w:rsidR="004C0FFD" w:rsidRDefault="001A569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652089B" w14:textId="77777777" w:rsidR="004C0FFD" w:rsidRDefault="004C0FF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4CF9A" w14:textId="77777777" w:rsidR="001A569D" w:rsidRDefault="001A569D">
      <w:r>
        <w:separator/>
      </w:r>
    </w:p>
  </w:footnote>
  <w:footnote w:type="continuationSeparator" w:id="0">
    <w:p w14:paraId="58BE21B4" w14:textId="77777777" w:rsidR="001A569D" w:rsidRDefault="001A56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605"/>
    <w:rsid w:val="000D08D7"/>
    <w:rsid w:val="000D2A5B"/>
    <w:rsid w:val="000E16A3"/>
    <w:rsid w:val="00106556"/>
    <w:rsid w:val="001A569D"/>
    <w:rsid w:val="003D4864"/>
    <w:rsid w:val="00453A6E"/>
    <w:rsid w:val="004748E2"/>
    <w:rsid w:val="004C0FFD"/>
    <w:rsid w:val="005D67B6"/>
    <w:rsid w:val="007163DD"/>
    <w:rsid w:val="008329FF"/>
    <w:rsid w:val="008D24C1"/>
    <w:rsid w:val="008E5542"/>
    <w:rsid w:val="008F4E50"/>
    <w:rsid w:val="00AC6605"/>
    <w:rsid w:val="00AE5A8F"/>
    <w:rsid w:val="00BE7FCC"/>
    <w:rsid w:val="00CB5598"/>
    <w:rsid w:val="00CE2F62"/>
    <w:rsid w:val="00D64277"/>
    <w:rsid w:val="00D74068"/>
    <w:rsid w:val="00E13910"/>
    <w:rsid w:val="00E2543F"/>
    <w:rsid w:val="00ED0152"/>
    <w:rsid w:val="00EF0132"/>
    <w:rsid w:val="00EF4B84"/>
    <w:rsid w:val="44AE6D22"/>
    <w:rsid w:val="47C94504"/>
    <w:rsid w:val="4847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DF4416"/>
  <w15:docId w15:val="{64AF5C10-2EE0-4494-B73F-31693CBF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Subtitle"/>
    <w:basedOn w:val="a"/>
    <w:next w:val="a"/>
    <w:link w:val="a6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9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line number"/>
    <w:basedOn w:val="a0"/>
    <w:uiPriority w:val="99"/>
    <w:unhideWhenUsed/>
    <w:qFormat/>
    <w:rPr>
      <w:rFonts w:eastAsia="Times New Roman"/>
      <w:sz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inorHAnsi" w:eastAsiaTheme="minorEastAsia" w:hAnsiTheme="minorHAnsi"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inorHAnsi" w:eastAsiaTheme="minorEastAsia" w:hAnsiTheme="minorHAnsi"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inorHAnsi" w:eastAsiaTheme="minorEastAsia" w:hAnsiTheme="minorHAnsi"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副标题 字符"/>
    <w:basedOn w:val="a0"/>
    <w:link w:val="a5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99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365F9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365F9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D740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D7406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571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 Wu</dc:creator>
  <cp:lastModifiedBy>怡茹 蒋</cp:lastModifiedBy>
  <cp:revision>9</cp:revision>
  <dcterms:created xsi:type="dcterms:W3CDTF">2026-01-31T03:32:00Z</dcterms:created>
  <dcterms:modified xsi:type="dcterms:W3CDTF">2026-02-10T18:55:00Z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eyJoZGlkIjoiMTgyY2Y5Y2UxZjkwY2NiYzg1MTM4ZmQzOTFhYWJhY2IiLCJ1c2VySWQiOiI0NTAzMzIzODIifQ==</vt:lpwstr>
  </property>
  <property fmtid="{D5CDD505-2E9C-101B-9397-08002B2CF9AE}" pid="3" name="KSOProductBuildVer">
    <vt:lpwstr>2052-12.1.0.24657</vt:lpwstr>
  </property>
  <property fmtid="{D5CDD505-2E9C-101B-9397-08002B2CF9AE}" pid="4" name="ICV">
    <vt:lpwstr>7CC090E305CC4617A858BD0730D9ED28_12</vt:lpwstr>
  </property>
</Properties>
</file>