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ormalWeb"/>
        <w:spacing w:after="0" w:line="480" w:lineRule="auto"/>
        <w:jc w:val="center"/>
        <w:rPr>
          <w:b/>
          <w:lang w:val="en-US"/>
        </w:rPr>
      </w:pPr>
      <w:bookmarkStart w:id="0" w:name="_Hlk125461296"/>
      <w:r>
        <w:rPr>
          <w:b/>
          <w:lang w:val="en-US"/>
        </w:rPr>
        <w:t>Appendix C</w:t>
      </w:r>
    </w:p>
    <w:p>
      <w:pPr>
        <w:pStyle w:val="NormalWeb"/>
        <w:spacing w:after="0" w:line="48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“What works, for whom”: </w:t>
      </w:r>
      <w:r>
        <w:rPr>
          <w:b/>
          <w:bCs/>
          <w:lang w:val="en-US"/>
        </w:rPr>
        <w:t xml:space="preserve">Individual differences in presence, embodiment, and engagement, and their impact on Virtual Reality intervention </w:t>
      </w:r>
      <w:r>
        <w:rPr>
          <w:b/>
          <w:bCs/>
          <w:lang w:val="en-US"/>
        </w:rPr>
        <w:t>effect</w:t>
      </w:r>
      <w:bookmarkStart w:id="1" w:name="_GoBack"/>
      <w:bookmarkEnd w:id="1"/>
      <w:r>
        <w:rPr>
          <w:b/>
          <w:bCs/>
          <w:lang w:val="en-US"/>
        </w:rPr>
        <w:t>s</w:t>
      </w:r>
      <w:r>
        <w:rPr>
          <w:b/>
          <w:bCs/>
          <w:lang w:val="en-US"/>
        </w:rPr>
        <w:t>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Aniek M. Siezenga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Esther C. A. Mertens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>
        <w:rPr>
          <w:rFonts w:ascii="Times New Roman" w:hAnsi="Times New Roman" w:cs="Times New Roman"/>
          <w:sz w:val="24"/>
          <w:szCs w:val="24"/>
        </w:rPr>
        <w:t>, Tiffany Tettero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and Jean-Louis van Gelder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Max Planck Institute for the Study of Crime, Security and Law, </w:t>
      </w:r>
      <w:proofErr w:type="spellStart"/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>Günterstalstraße</w:t>
      </w:r>
      <w:proofErr w:type="spellEnd"/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 xml:space="preserve"> 73, 79100 Freiburg </w:t>
      </w:r>
      <w:proofErr w:type="spellStart"/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 xml:space="preserve"> Breisgau, Germany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Department of Education and Child Studies, Leiden University,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Wassenaarseweg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52, 2333AK, Leiden, The Netherlands</w:t>
      </w: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Netherlands Institute for the Study of Crime and Law Enforcement,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Boelelaan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1077, 1081HV, Amsterdam</w:t>
      </w:r>
    </w:p>
    <w:bookmarkEnd w:id="0"/>
    <w:p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Correspondence concerning this article should be addressed to J.-L. van Gelder, 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j.vangelder@csl.mpg.de</w:t>
      </w:r>
    </w:p>
    <w:p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US"/>
        </w:rPr>
      </w:pPr>
      <w:r>
        <w:rPr>
          <w:lang w:val="en-US"/>
        </w:rPr>
        <w:br w:type="page"/>
      </w:r>
    </w:p>
    <w:p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de-DE"/>
        </w:rPr>
        <w:lastRenderedPageBreak/>
        <w:t>Table A2a.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t xml:space="preserve"> Standardized factor loadings (</w:t>
      </w:r>
      <w:r>
        <w:rPr>
          <w:rStyle w:val="hgkelc"/>
          <w:lang w:val="en"/>
        </w:rPr>
        <w:t xml:space="preserve">λ)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t>of the general and specific factors of Presence.</w:t>
      </w:r>
    </w:p>
    <w:tbl>
      <w:tblPr>
        <w:tblStyle w:val="TableGrid"/>
        <w:tblpPr w:leftFromText="141" w:rightFromText="141" w:vertAnchor="text" w:horzAnchor="margin" w:tblpY="199"/>
        <w:tblW w:w="42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608"/>
        <w:gridCol w:w="1116"/>
      </w:tblGrid>
      <w:tr>
        <w:trPr>
          <w:trHeight w:val="19"/>
        </w:trPr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center"/>
            </w:pPr>
            <w:r>
              <w:rPr>
                <w:rStyle w:val="hgkelc"/>
                <w:lang w:val="en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-value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single" w:sz="4" w:space="0" w:color="auto"/>
              <w:left w:val="nil"/>
              <w:bottom w:val="nil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General factor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/>
        </w:tc>
        <w:tc>
          <w:tcPr>
            <w:tcW w:w="1116" w:type="dxa"/>
            <w:tcBorders>
              <w:top w:val="single" w:sz="4" w:space="0" w:color="auto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T1 Item1          </w:t>
            </w:r>
          </w:p>
        </w:tc>
        <w:tc>
          <w:tcPr>
            <w:tcW w:w="1608" w:type="dxa"/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.652(0.065)</w:t>
            </w:r>
          </w:p>
        </w:tc>
        <w:tc>
          <w:tcPr>
            <w:tcW w:w="1116" w:type="dxa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10.07***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Item2</w:t>
            </w:r>
          </w:p>
        </w:tc>
        <w:tc>
          <w:tcPr>
            <w:tcW w:w="1608" w:type="dxa"/>
            <w:tcBorders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.692(0.067)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10.32***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.853(0.037)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23.32***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.792(0.042)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19.07***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T2 Item1   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.771(0.047)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16.57***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.786(0.057)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13.67***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.884(0.034)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25.98***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.880(0.031)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28.54***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T3 Item1   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.875(0.036)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24.47***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.829(0.052)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15.86***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.831(0.037)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22.56***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.857(0.033)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26.11***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 factor 1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T1 Item1   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.589(0.091)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6.47***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.719(0.093)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7.71***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.387(0.083)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4.65***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.309(0.073)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4.21***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 factor 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T2 Item1   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.482(0.213)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2.26**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.599(0.266)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2.25**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.070(0.108)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0.64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-.063(0.092)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-0.69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 factor 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T3 Item1   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.456(0.142)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3.21**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.192(0.136)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1.41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.143(0.085)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1.69*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Item4</w:t>
            </w:r>
          </w:p>
        </w:tc>
        <w:tc>
          <w:tcPr>
            <w:tcW w:w="1608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.305(0.121)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2.51**</w:t>
            </w:r>
          </w:p>
        </w:tc>
      </w:tr>
    </w:tbl>
    <w:p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t>*** = &lt;.001</w:t>
      </w:r>
    </w:p>
    <w:p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t>** = &lt; .05</w:t>
      </w:r>
    </w:p>
    <w:p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t>* = &lt; .10</w:t>
      </w:r>
    </w:p>
    <w:p>
      <w:pP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br w:type="page"/>
      </w:r>
    </w:p>
    <w:p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de-DE"/>
        </w:rPr>
        <w:lastRenderedPageBreak/>
        <w:t>Table A2b.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t xml:space="preserve"> Standardized factor loadings (</w:t>
      </w:r>
      <w:r>
        <w:rPr>
          <w:rStyle w:val="hgkelc"/>
          <w:lang w:val="en"/>
        </w:rPr>
        <w:t xml:space="preserve">λ)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t>of the general and specific factors of Engagement.</w:t>
      </w:r>
    </w:p>
    <w:tbl>
      <w:tblPr>
        <w:tblStyle w:val="TableGrid"/>
        <w:tblpPr w:leftFromText="141" w:rightFromText="141" w:vertAnchor="text" w:horzAnchor="margin" w:tblpY="199"/>
        <w:tblW w:w="94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608"/>
        <w:gridCol w:w="1116"/>
        <w:gridCol w:w="1861"/>
        <w:gridCol w:w="1656"/>
        <w:gridCol w:w="1656"/>
      </w:tblGrid>
      <w:tr>
        <w:trPr>
          <w:trHeight w:val="19"/>
        </w:trPr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>
            <w:r>
              <w:rPr>
                <w:rStyle w:val="hgkelc"/>
                <w:lang w:val="en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-value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/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>
              <w:rPr>
                <w:rStyle w:val="hgkelc"/>
                <w:lang w:val="en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nl-NL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-value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single" w:sz="4" w:space="0" w:color="auto"/>
              <w:left w:val="nil"/>
              <w:bottom w:val="nil"/>
            </w:tcBorders>
          </w:tcPr>
          <w:p>
            <w:pPr>
              <w:ind w:right="-641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  <w:t>General factor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/>
        </w:tc>
        <w:tc>
          <w:tcPr>
            <w:tcW w:w="1116" w:type="dxa"/>
            <w:tcBorders>
              <w:top w:val="single" w:sz="4" w:space="0" w:color="auto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 factor 1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bookmarkStart w:id="2" w:name="_Hlk18075846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T1 Item1          </w:t>
            </w:r>
          </w:p>
        </w:tc>
        <w:tc>
          <w:tcPr>
            <w:tcW w:w="1608" w:type="dxa"/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.434(0.07)</w:t>
            </w:r>
          </w:p>
        </w:tc>
        <w:tc>
          <w:tcPr>
            <w:tcW w:w="1116" w:type="dxa"/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6.21***</w:t>
            </w:r>
          </w:p>
        </w:tc>
        <w:tc>
          <w:tcPr>
            <w:tcW w:w="1861" w:type="dxa"/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T1 Item1          </w:t>
            </w:r>
          </w:p>
        </w:tc>
        <w:tc>
          <w:tcPr>
            <w:tcW w:w="1656" w:type="dxa"/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.175(0.10)</w:t>
            </w:r>
          </w:p>
        </w:tc>
        <w:tc>
          <w:tcPr>
            <w:tcW w:w="1656" w:type="dxa"/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1.85*</w:t>
            </w:r>
          </w:p>
        </w:tc>
      </w:tr>
      <w:tr>
        <w:trPr>
          <w:trHeight w:val="19"/>
        </w:trPr>
        <w:tc>
          <w:tcPr>
            <w:tcW w:w="1511" w:type="dxa"/>
            <w:tcBorders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Item2</w:t>
            </w:r>
          </w:p>
        </w:tc>
        <w:tc>
          <w:tcPr>
            <w:tcW w:w="1608" w:type="dxa"/>
            <w:tcBorders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.528(0.07)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8.08***</w:t>
            </w:r>
          </w:p>
        </w:tc>
        <w:tc>
          <w:tcPr>
            <w:tcW w:w="1861" w:type="dxa"/>
            <w:tcBorders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Item2</w:t>
            </w:r>
          </w:p>
        </w:tc>
        <w:tc>
          <w:tcPr>
            <w:tcW w:w="1656" w:type="dxa"/>
            <w:tcBorders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.135(0.09)</w:t>
            </w:r>
          </w:p>
        </w:tc>
        <w:tc>
          <w:tcPr>
            <w:tcW w:w="1656" w:type="dxa"/>
            <w:tcBorders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1.44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.664(0.05)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12.68***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Item3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.322(0.07)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4.33***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.464(0.09)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5.44***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Item4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.074(0.08)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0.94</w:t>
            </w:r>
          </w:p>
        </w:tc>
      </w:tr>
      <w:bookmarkEnd w:id="2"/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T1 Item5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.350(0.07)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4.84***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T1 Item5       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.083(0.09)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Item6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.245(0.09)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2.65***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Item6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.183(0.09)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2.06**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Item7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.565(0.06)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9.12***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Item7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.218(0.08)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2.90**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Item8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.623(0.05)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12.21***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Item8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-.272(0.10)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-2.76**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Item9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.736(0.04)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17.03***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Item9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-.184(0.09)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-2.15**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Item10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.584(0.06)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10.42***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Item10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.650(0.06)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11.13***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Item11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.548(0.06)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9.00***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Item11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.713(0.05)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13.34***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.663(0.06)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10.34***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Item12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.477(0.08)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6.07***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.717(0.05)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13.20***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Item13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.676(0.06)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11.32***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.665(0.06)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11.28***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T1 Item14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.637(0.06)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10.06***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T2 Item1   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.574(0.06)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10.16***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 factor 2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.800(0.04)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18.15***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T2 Item1          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-.152(0.10)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-1.60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.850(0.04)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23.05***</w:t>
            </w:r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Item2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-.129(0.08)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-1.53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.599(0.06)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10.51***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Item3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-.054(0.08)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-0.71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T2 Item5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.321(0.07)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4.53***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Item4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.592(0.06)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9.59***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Item6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.377(0.08)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4.87***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T2 Item5       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.664(0.06)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10.34***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Item7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.857(0.04)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19.87***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Item6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.479(0.07)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6.65***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Item8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.756(0.05)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16.47***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Item7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-.120(0.08)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-1.55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Item9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.779(0.05)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16.02***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Item8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-.580(0.08)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-7.04***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Item10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.829(0.04)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18.72***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Item9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-.533(0.08)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-6.76***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Item11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.908(0.03)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29.42***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Item10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.106(0.07)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1.46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.832(0.04)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21.23***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Item11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.205(0.06)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3.23**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.831(0.05)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18.64***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Item12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.129(0.06)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2.09**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.804(0.05)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16.33***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Item13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.427(0.07)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5.79***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T3 Item1   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.562(0.06)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8.89***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 Item14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.436(0.07)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.721(0.06)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13.12***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Specific factor 3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.756(0.04)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17.73***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T3 Item1          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.057(0.07)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0.86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.461(0.07)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7.13***</w:t>
            </w:r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Item2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.253(0.07)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3.55***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T3 Item5       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.286(0.07)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3.96***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Item3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.331(0.06)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5.80***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Item6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.386(0.06)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6.10***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Item4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.811(0.04)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20.42***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Item7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.770(0.04)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19.29***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T3 Item5       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.713(0.05)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14.64***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Item8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.805(0.04)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22.40***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Item6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.431(0.06)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7.90***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Item9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.742(0.04)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19.66***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Item7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-.306(0.06)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-5.61***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Item10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.850(0.04)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23.66***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Item8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-.540(0.05)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-10.36***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Item11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.797(0.04)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18.73***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Item9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-.554(0.04)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-12.62***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Item12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.774(0.04)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19.17***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Item10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.470(0.05)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8.70***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Item13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.816(0.04)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21.75***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Item11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.542(0.06)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9.77***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Item14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.802(0.04)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19.32***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Item12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.254(0.06)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4.11***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jc w:val="right"/>
            </w:pPr>
          </w:p>
        </w:tc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Item13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.476(0.06)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8.14***</w:t>
            </w:r>
          </w:p>
        </w:tc>
      </w:tr>
      <w:tr>
        <w:trPr>
          <w:trHeight w:val="19"/>
        </w:trPr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</w:tcPr>
          <w:p>
            <w:pPr>
              <w:ind w:left="179"/>
              <w:rPr>
                <w:rFonts w:ascii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608" w:type="dxa"/>
            <w:tcBorders>
              <w:top w:val="nil"/>
              <w:bottom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861" w:type="dxa"/>
            <w:tcBorders>
              <w:top w:val="nil"/>
              <w:bottom w:val="single" w:sz="4" w:space="0" w:color="auto"/>
            </w:tcBorders>
          </w:tcPr>
          <w:p>
            <w:pPr>
              <w:ind w:left="17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T3 Item14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>
            <w:pPr>
              <w:ind w:left="1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.497(0.05)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>
            <w:pPr>
              <w:ind w:left="17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9.90***</w:t>
            </w:r>
          </w:p>
        </w:tc>
      </w:tr>
    </w:tbl>
    <w:p>
      <w:pPr>
        <w:spacing w:after="0" w:line="240" w:lineRule="auto"/>
        <w:ind w:firstLine="708"/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de-DE"/>
        </w:rPr>
        <w:t>*** = &lt;.001; ** = &lt; .05; * = &lt; .10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7EB0F-7C99-47CA-9FA9-1FDEBC82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nl-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APA"/>
    <w:basedOn w:val="Normal"/>
    <w:next w:val="Normal"/>
    <w:link w:val="CommentTextChar"/>
    <w:uiPriority w:val="99"/>
    <w:unhideWhenUsed/>
    <w:qFormat/>
    <w:pPr>
      <w:suppressAutoHyphens/>
      <w:spacing w:after="0" w:line="360" w:lineRule="auto"/>
    </w:pPr>
    <w:rPr>
      <w:rFonts w:ascii="Calibri Light" w:eastAsiaTheme="minorHAnsi" w:hAnsi="Calibri Light"/>
      <w:szCs w:val="20"/>
      <w:lang w:val="de-DE" w:eastAsia="en-US"/>
    </w:rPr>
  </w:style>
  <w:style w:type="character" w:customStyle="1" w:styleId="CommentTextChar">
    <w:name w:val="Comment Text Char"/>
    <w:aliases w:val="APA Char"/>
    <w:basedOn w:val="DefaultParagraphFont"/>
    <w:link w:val="CommentText"/>
    <w:uiPriority w:val="99"/>
    <w:qFormat/>
    <w:rPr>
      <w:rFonts w:ascii="Calibri Light" w:hAnsi="Calibri Light"/>
      <w:szCs w:val="20"/>
    </w:rPr>
  </w:style>
  <w:style w:type="character" w:customStyle="1" w:styleId="hgkelc">
    <w:name w:val="hgkelc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zh-CN"/>
    </w:rPr>
  </w:style>
  <w:style w:type="character" w:customStyle="1" w:styleId="lrzxr">
    <w:name w:val="lrzxr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3890</Characters>
  <Application>Microsoft Office Word</Application>
  <DocSecurity>0</DocSecurity>
  <Lines>32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Siezenga, Anne Marieke</dc:creator>
  <cp:keywords/>
  <dc:description/>
  <cp:lastModifiedBy>Siezenga, Anne Marieke</cp:lastModifiedBy>
  <cp:revision>5</cp:revision>
  <dcterms:created xsi:type="dcterms:W3CDTF">2025-02-19T12:43:00Z</dcterms:created>
  <dcterms:modified xsi:type="dcterms:W3CDTF">2025-02-19T14:08:00Z</dcterms:modified>
</cp:coreProperties>
</file>