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A4B1" w14:textId="1796AC0A" w:rsidR="0066499B" w:rsidRPr="009C6FD6" w:rsidRDefault="00B043FA" w:rsidP="00B36D6D">
      <w:pPr>
        <w:spacing w:line="360" w:lineRule="auto"/>
        <w:jc w:val="both"/>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sidR="00352DB7">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of information to include when reporting a randomised trial</w:t>
      </w:r>
      <w:r w:rsidR="00B36D6D">
        <w:rPr>
          <w:rFonts w:ascii="Calibri" w:eastAsia="Calibri" w:hAnsi="Calibri" w:cs="Calibri"/>
          <w:b/>
          <w:color w:val="000000"/>
          <w:sz w:val="22"/>
          <w:szCs w:val="22"/>
          <w:lang w:val="en-GB"/>
        </w:rPr>
        <w:t>*</w:t>
      </w:r>
      <w:r w:rsidRPr="009C6FD6">
        <w:rPr>
          <w:rFonts w:ascii="Calibri" w:eastAsia="Calibri" w:hAnsi="Calibri" w:cs="Calibri"/>
          <w:b/>
          <w:color w:val="000000"/>
          <w:sz w:val="22"/>
          <w:szCs w:val="22"/>
          <w:lang w:val="en-GB"/>
        </w:rPr>
        <w:t xml:space="preserve"> </w:t>
      </w:r>
    </w:p>
    <w:tbl>
      <w:tblPr>
        <w:tblStyle w:val="a0"/>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992"/>
        <w:gridCol w:w="9356"/>
        <w:gridCol w:w="1417"/>
      </w:tblGrid>
      <w:tr w:rsidR="00B36D6D" w:rsidRPr="009C6FD6" w14:paraId="42F6C7CE" w14:textId="60744FD6" w:rsidTr="00BC3998">
        <w:trPr>
          <w:trHeight w:val="276"/>
        </w:trPr>
        <w:tc>
          <w:tcPr>
            <w:tcW w:w="2547" w:type="dxa"/>
            <w:shd w:val="clear" w:color="auto" w:fill="BFBFBF"/>
          </w:tcPr>
          <w:p w14:paraId="07AEEDF9" w14:textId="77777777" w:rsidR="00B36D6D"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Section / Topic</w:t>
            </w:r>
          </w:p>
          <w:p w14:paraId="0F5F40E3" w14:textId="77777777" w:rsidR="00B36D6D" w:rsidRPr="009C6FD6" w:rsidRDefault="00B36D6D">
            <w:pPr>
              <w:spacing w:line="240" w:lineRule="auto"/>
              <w:rPr>
                <w:rFonts w:ascii="Calibri" w:eastAsia="Calibri" w:hAnsi="Calibri" w:cs="Calibri"/>
                <w:b/>
                <w:color w:val="000000"/>
                <w:sz w:val="22"/>
                <w:szCs w:val="22"/>
                <w:lang w:val="en-GB"/>
              </w:rPr>
            </w:pPr>
          </w:p>
        </w:tc>
        <w:tc>
          <w:tcPr>
            <w:tcW w:w="992" w:type="dxa"/>
            <w:shd w:val="clear" w:color="auto" w:fill="BFBFBF"/>
          </w:tcPr>
          <w:p w14:paraId="5449031B" w14:textId="77777777" w:rsidR="00B36D6D" w:rsidRPr="009C6FD6" w:rsidRDefault="00B36D6D">
            <w:pPr>
              <w:spacing w:line="240" w:lineRule="auto"/>
              <w:jc w:val="center"/>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No</w:t>
            </w:r>
          </w:p>
        </w:tc>
        <w:tc>
          <w:tcPr>
            <w:tcW w:w="9356" w:type="dxa"/>
            <w:shd w:val="clear" w:color="auto" w:fill="BFBFBF" w:themeFill="background1" w:themeFillShade="BF"/>
          </w:tcPr>
          <w:p w14:paraId="1008F6F5" w14:textId="28378494"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item description</w:t>
            </w:r>
          </w:p>
        </w:tc>
        <w:tc>
          <w:tcPr>
            <w:tcW w:w="1417" w:type="dxa"/>
            <w:shd w:val="clear" w:color="auto" w:fill="BFBFBF" w:themeFill="background1" w:themeFillShade="BF"/>
          </w:tcPr>
          <w:p w14:paraId="6927BCB3" w14:textId="6D7D7DF9" w:rsidR="00B36D6D" w:rsidRPr="009C6FD6" w:rsidRDefault="00BC3998">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Reported on page no.</w:t>
            </w:r>
          </w:p>
        </w:tc>
      </w:tr>
      <w:tr w:rsidR="00B36D6D" w:rsidRPr="009C6FD6" w14:paraId="35E60B6F" w14:textId="347F17D0" w:rsidTr="00BC3998">
        <w:trPr>
          <w:trHeight w:val="268"/>
        </w:trPr>
        <w:tc>
          <w:tcPr>
            <w:tcW w:w="12895" w:type="dxa"/>
            <w:gridSpan w:val="3"/>
            <w:shd w:val="clear" w:color="auto" w:fill="C6D9F1" w:themeFill="text2" w:themeFillTint="33"/>
          </w:tcPr>
          <w:p w14:paraId="105C098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Title and abstract</w:t>
            </w:r>
          </w:p>
        </w:tc>
        <w:tc>
          <w:tcPr>
            <w:tcW w:w="1417" w:type="dxa"/>
            <w:shd w:val="clear" w:color="auto" w:fill="C6D9F1" w:themeFill="text2" w:themeFillTint="33"/>
          </w:tcPr>
          <w:p w14:paraId="0AC158EA"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10FCCADF" w14:textId="367CAE06" w:rsidTr="00BC3998">
        <w:trPr>
          <w:trHeight w:val="276"/>
        </w:trPr>
        <w:tc>
          <w:tcPr>
            <w:tcW w:w="2547" w:type="dxa"/>
            <w:vMerge w:val="restart"/>
          </w:tcPr>
          <w:p w14:paraId="55516C2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Title and structured abstract</w:t>
            </w:r>
          </w:p>
        </w:tc>
        <w:tc>
          <w:tcPr>
            <w:tcW w:w="992" w:type="dxa"/>
          </w:tcPr>
          <w:p w14:paraId="2FAFE5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1a</w:t>
            </w:r>
          </w:p>
        </w:tc>
        <w:tc>
          <w:tcPr>
            <w:tcW w:w="9356" w:type="dxa"/>
          </w:tcPr>
          <w:p w14:paraId="0A0F8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Identification as a randomised trial </w:t>
            </w:r>
          </w:p>
        </w:tc>
        <w:tc>
          <w:tcPr>
            <w:tcW w:w="1417" w:type="dxa"/>
          </w:tcPr>
          <w:p w14:paraId="682CEBAD" w14:textId="068E141A" w:rsidR="00B36D6D" w:rsidRPr="009C6FD6" w:rsidRDefault="00CF0068">
            <w:pPr>
              <w:spacing w:line="240" w:lineRule="auto"/>
              <w:rPr>
                <w:rFonts w:ascii="Calibri" w:eastAsia="Calibri" w:hAnsi="Calibri" w:cs="Calibri"/>
                <w:color w:val="000000"/>
                <w:sz w:val="22"/>
                <w:szCs w:val="22"/>
                <w:lang w:val="en-GB"/>
              </w:rPr>
            </w:pPr>
            <w:r w:rsidRPr="00CF0068">
              <w:rPr>
                <w:rFonts w:ascii="Calibri" w:eastAsia="Calibri" w:hAnsi="Calibri" w:cs="Calibri"/>
                <w:color w:val="000000"/>
                <w:sz w:val="22"/>
                <w:szCs w:val="22"/>
              </w:rPr>
              <w:t>Protocol Mertens et al., 2022</w:t>
            </w:r>
          </w:p>
        </w:tc>
      </w:tr>
      <w:tr w:rsidR="00B36D6D" w:rsidRPr="009C6FD6" w14:paraId="2962253C" w14:textId="1E5A4156" w:rsidTr="00BC3998">
        <w:trPr>
          <w:trHeight w:val="418"/>
        </w:trPr>
        <w:tc>
          <w:tcPr>
            <w:tcW w:w="2547" w:type="dxa"/>
            <w:vMerge/>
          </w:tcPr>
          <w:p w14:paraId="4CFF8030"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0E58D9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1b</w:t>
            </w:r>
          </w:p>
        </w:tc>
        <w:tc>
          <w:tcPr>
            <w:tcW w:w="9356" w:type="dxa"/>
          </w:tcPr>
          <w:p w14:paraId="0176107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Structured summary of the trial design, methods, results, and conclusions</w:t>
            </w:r>
          </w:p>
        </w:tc>
        <w:tc>
          <w:tcPr>
            <w:tcW w:w="1417" w:type="dxa"/>
          </w:tcPr>
          <w:p w14:paraId="078952E4" w14:textId="4A3CC0F8" w:rsidR="00B36D6D" w:rsidRPr="009C6FD6" w:rsidRDefault="00CF006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p>
        </w:tc>
      </w:tr>
      <w:tr w:rsidR="00B36D6D" w:rsidRPr="009C6FD6" w14:paraId="3A57CE3F" w14:textId="3A3DB5B7" w:rsidTr="00BC3998">
        <w:trPr>
          <w:trHeight w:val="276"/>
        </w:trPr>
        <w:tc>
          <w:tcPr>
            <w:tcW w:w="12895" w:type="dxa"/>
            <w:gridSpan w:val="3"/>
            <w:shd w:val="clear" w:color="auto" w:fill="BDD7EE"/>
          </w:tcPr>
          <w:p w14:paraId="353B2DC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Open science</w:t>
            </w:r>
          </w:p>
        </w:tc>
        <w:tc>
          <w:tcPr>
            <w:tcW w:w="1417" w:type="dxa"/>
            <w:shd w:val="clear" w:color="auto" w:fill="C6D9F1" w:themeFill="text2" w:themeFillTint="33"/>
          </w:tcPr>
          <w:p w14:paraId="6C7112DB"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6325BAB8" w14:textId="48ED528B" w:rsidTr="00BC3998">
        <w:trPr>
          <w:trHeight w:val="272"/>
        </w:trPr>
        <w:tc>
          <w:tcPr>
            <w:tcW w:w="2547" w:type="dxa"/>
          </w:tcPr>
          <w:p w14:paraId="559029C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registration</w:t>
            </w:r>
          </w:p>
        </w:tc>
        <w:tc>
          <w:tcPr>
            <w:tcW w:w="992" w:type="dxa"/>
          </w:tcPr>
          <w:p w14:paraId="169EB1A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w:t>
            </w:r>
          </w:p>
        </w:tc>
        <w:tc>
          <w:tcPr>
            <w:tcW w:w="9356" w:type="dxa"/>
          </w:tcPr>
          <w:p w14:paraId="6110F8C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Name of trial registry, identifying number (with URL) and date of registration</w:t>
            </w:r>
          </w:p>
        </w:tc>
        <w:tc>
          <w:tcPr>
            <w:tcW w:w="1417" w:type="dxa"/>
          </w:tcPr>
          <w:p w14:paraId="5384896B" w14:textId="282BA868" w:rsidR="00B36D6D" w:rsidRPr="009C6FD6" w:rsidRDefault="00CF006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p>
        </w:tc>
      </w:tr>
      <w:tr w:rsidR="00B36D6D" w:rsidRPr="009C6FD6" w14:paraId="5732C7E5" w14:textId="1E98AF6E" w:rsidTr="00BC3998">
        <w:trPr>
          <w:trHeight w:val="272"/>
        </w:trPr>
        <w:tc>
          <w:tcPr>
            <w:tcW w:w="2547" w:type="dxa"/>
          </w:tcPr>
          <w:p w14:paraId="3979146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Protocol and statistical analysis plan</w:t>
            </w:r>
          </w:p>
        </w:tc>
        <w:tc>
          <w:tcPr>
            <w:tcW w:w="992" w:type="dxa"/>
          </w:tcPr>
          <w:p w14:paraId="7510EBB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w:t>
            </w:r>
          </w:p>
        </w:tc>
        <w:tc>
          <w:tcPr>
            <w:tcW w:w="9356" w:type="dxa"/>
          </w:tcPr>
          <w:p w14:paraId="2530AB9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the trial protocol and statistical analysis plan can be accessed</w:t>
            </w:r>
          </w:p>
        </w:tc>
        <w:tc>
          <w:tcPr>
            <w:tcW w:w="1417" w:type="dxa"/>
          </w:tcPr>
          <w:p w14:paraId="628ED577" w14:textId="4B8A5403" w:rsidR="00B36D6D" w:rsidRPr="009C6FD6" w:rsidRDefault="00CF006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6</w:t>
            </w:r>
          </w:p>
        </w:tc>
      </w:tr>
      <w:tr w:rsidR="00B36D6D" w:rsidRPr="009C6FD6" w14:paraId="5457CDD4" w14:textId="1CA03383" w:rsidTr="00BC3998">
        <w:trPr>
          <w:trHeight w:val="272"/>
        </w:trPr>
        <w:tc>
          <w:tcPr>
            <w:tcW w:w="2547" w:type="dxa"/>
          </w:tcPr>
          <w:p w14:paraId="522B7D7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Data sharing</w:t>
            </w:r>
          </w:p>
        </w:tc>
        <w:tc>
          <w:tcPr>
            <w:tcW w:w="992" w:type="dxa"/>
          </w:tcPr>
          <w:p w14:paraId="697875C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4</w:t>
            </w:r>
          </w:p>
        </w:tc>
        <w:tc>
          <w:tcPr>
            <w:tcW w:w="9356" w:type="dxa"/>
          </w:tcPr>
          <w:p w14:paraId="4D4B145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and how the individual de-identified participant data (including data dictionary), statistical code and any other materials can be accessed</w:t>
            </w:r>
          </w:p>
        </w:tc>
        <w:tc>
          <w:tcPr>
            <w:tcW w:w="1417" w:type="dxa"/>
          </w:tcPr>
          <w:p w14:paraId="48E4F70A" w14:textId="073D05FC" w:rsidR="00B36D6D" w:rsidRPr="009C6FD6" w:rsidRDefault="00CF006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26</w:t>
            </w:r>
          </w:p>
        </w:tc>
      </w:tr>
      <w:tr w:rsidR="00B36D6D" w:rsidRPr="009C6FD6" w14:paraId="53FD3373" w14:textId="12E61B4B" w:rsidTr="00BC3998">
        <w:trPr>
          <w:trHeight w:val="272"/>
        </w:trPr>
        <w:tc>
          <w:tcPr>
            <w:tcW w:w="2547" w:type="dxa"/>
            <w:vMerge w:val="restart"/>
          </w:tcPr>
          <w:p w14:paraId="47802CC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Funding and conflicts of interest</w:t>
            </w:r>
          </w:p>
        </w:tc>
        <w:tc>
          <w:tcPr>
            <w:tcW w:w="992" w:type="dxa"/>
          </w:tcPr>
          <w:p w14:paraId="1B41FA2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5a</w:t>
            </w:r>
          </w:p>
        </w:tc>
        <w:tc>
          <w:tcPr>
            <w:tcW w:w="9356" w:type="dxa"/>
          </w:tcPr>
          <w:p w14:paraId="4D265E5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Sources of funding and other support (e.g., supply of drugs), and role of funders in the design, conduct, analysis and reporting of the trial</w:t>
            </w:r>
          </w:p>
        </w:tc>
        <w:tc>
          <w:tcPr>
            <w:tcW w:w="1417" w:type="dxa"/>
          </w:tcPr>
          <w:p w14:paraId="20B1CBDD" w14:textId="757AFCCA" w:rsidR="00B36D6D" w:rsidRPr="009C6FD6" w:rsidRDefault="00CF006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26-27</w:t>
            </w:r>
          </w:p>
        </w:tc>
      </w:tr>
      <w:tr w:rsidR="00B36D6D" w:rsidRPr="009C6FD6" w14:paraId="0D642CEB" w14:textId="5FE698ED" w:rsidTr="00BC3998">
        <w:trPr>
          <w:trHeight w:val="272"/>
        </w:trPr>
        <w:tc>
          <w:tcPr>
            <w:tcW w:w="2547" w:type="dxa"/>
            <w:vMerge/>
          </w:tcPr>
          <w:p w14:paraId="33AB9D71"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9C3C9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5b</w:t>
            </w:r>
          </w:p>
        </w:tc>
        <w:tc>
          <w:tcPr>
            <w:tcW w:w="9356" w:type="dxa"/>
          </w:tcPr>
          <w:p w14:paraId="471BB7B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Financial and other conflicts of interest of the manuscript authors</w:t>
            </w:r>
          </w:p>
        </w:tc>
        <w:tc>
          <w:tcPr>
            <w:tcW w:w="1417" w:type="dxa"/>
          </w:tcPr>
          <w:p w14:paraId="2C85AC6B" w14:textId="751F68F1" w:rsidR="00B36D6D" w:rsidRPr="009C6FD6" w:rsidRDefault="00CF006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26</w:t>
            </w:r>
          </w:p>
        </w:tc>
      </w:tr>
      <w:tr w:rsidR="00B36D6D" w:rsidRPr="009C6FD6" w14:paraId="6808DB3F" w14:textId="1F344310" w:rsidTr="00BC3998">
        <w:trPr>
          <w:trHeight w:val="276"/>
        </w:trPr>
        <w:tc>
          <w:tcPr>
            <w:tcW w:w="12895" w:type="dxa"/>
            <w:gridSpan w:val="3"/>
            <w:shd w:val="clear" w:color="auto" w:fill="BDD7EE"/>
          </w:tcPr>
          <w:p w14:paraId="571BFEBF"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Introduction</w:t>
            </w:r>
          </w:p>
        </w:tc>
        <w:tc>
          <w:tcPr>
            <w:tcW w:w="1417" w:type="dxa"/>
            <w:shd w:val="clear" w:color="auto" w:fill="C6D9F1" w:themeFill="text2" w:themeFillTint="33"/>
          </w:tcPr>
          <w:p w14:paraId="32FD8D83"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37A3670E" w14:textId="442AA61E" w:rsidTr="00BC3998">
        <w:trPr>
          <w:trHeight w:val="271"/>
        </w:trPr>
        <w:tc>
          <w:tcPr>
            <w:tcW w:w="2547" w:type="dxa"/>
            <w:tcBorders>
              <w:bottom w:val="single" w:sz="4" w:space="0" w:color="000000"/>
            </w:tcBorders>
          </w:tcPr>
          <w:p w14:paraId="36CFF56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Background and rationale</w:t>
            </w:r>
          </w:p>
        </w:tc>
        <w:tc>
          <w:tcPr>
            <w:tcW w:w="992" w:type="dxa"/>
            <w:tcBorders>
              <w:bottom w:val="single" w:sz="4" w:space="0" w:color="000000"/>
            </w:tcBorders>
          </w:tcPr>
          <w:p w14:paraId="630536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6</w:t>
            </w:r>
          </w:p>
        </w:tc>
        <w:tc>
          <w:tcPr>
            <w:tcW w:w="9356" w:type="dxa"/>
          </w:tcPr>
          <w:p w14:paraId="5A09739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Scientific background and rationale</w:t>
            </w:r>
          </w:p>
        </w:tc>
        <w:tc>
          <w:tcPr>
            <w:tcW w:w="1417" w:type="dxa"/>
          </w:tcPr>
          <w:p w14:paraId="3333AA56" w14:textId="67C914DA" w:rsidR="00B36D6D" w:rsidRPr="009C6FD6" w:rsidRDefault="00CF006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3-5</w:t>
            </w:r>
          </w:p>
        </w:tc>
      </w:tr>
      <w:tr w:rsidR="00B36D6D" w:rsidRPr="009C6FD6" w14:paraId="55C5B04A" w14:textId="601A6C1F" w:rsidTr="00BC3998">
        <w:trPr>
          <w:trHeight w:val="276"/>
        </w:trPr>
        <w:tc>
          <w:tcPr>
            <w:tcW w:w="2547" w:type="dxa"/>
            <w:vAlign w:val="center"/>
          </w:tcPr>
          <w:p w14:paraId="12B554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Objectives</w:t>
            </w:r>
          </w:p>
        </w:tc>
        <w:tc>
          <w:tcPr>
            <w:tcW w:w="992" w:type="dxa"/>
          </w:tcPr>
          <w:p w14:paraId="517F8E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7</w:t>
            </w:r>
          </w:p>
        </w:tc>
        <w:tc>
          <w:tcPr>
            <w:tcW w:w="9356" w:type="dxa"/>
          </w:tcPr>
          <w:p w14:paraId="2591646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Specific objectives related to benefits and harms</w:t>
            </w:r>
          </w:p>
        </w:tc>
        <w:tc>
          <w:tcPr>
            <w:tcW w:w="1417" w:type="dxa"/>
          </w:tcPr>
          <w:p w14:paraId="70B2DB04" w14:textId="2831EA75" w:rsidR="00B36D6D" w:rsidRPr="009C6FD6" w:rsidRDefault="00CF006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6</w:t>
            </w:r>
          </w:p>
        </w:tc>
      </w:tr>
      <w:tr w:rsidR="00B36D6D" w:rsidRPr="009C6FD6" w14:paraId="1B31CFED" w14:textId="18892F07" w:rsidTr="00BC3998">
        <w:trPr>
          <w:trHeight w:val="276"/>
        </w:trPr>
        <w:tc>
          <w:tcPr>
            <w:tcW w:w="12895" w:type="dxa"/>
            <w:gridSpan w:val="3"/>
            <w:shd w:val="clear" w:color="auto" w:fill="BDD7EE"/>
          </w:tcPr>
          <w:p w14:paraId="1C08DDCD"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Methods</w:t>
            </w:r>
          </w:p>
        </w:tc>
        <w:tc>
          <w:tcPr>
            <w:tcW w:w="1417" w:type="dxa"/>
            <w:shd w:val="clear" w:color="auto" w:fill="C6D9F1" w:themeFill="text2" w:themeFillTint="33"/>
          </w:tcPr>
          <w:p w14:paraId="61DDDBB5"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05C5AAED" w14:textId="1742A97D" w:rsidTr="00BC3998">
        <w:trPr>
          <w:trHeight w:val="268"/>
        </w:trPr>
        <w:tc>
          <w:tcPr>
            <w:tcW w:w="2547" w:type="dxa"/>
          </w:tcPr>
          <w:p w14:paraId="6102716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Patient and public involvement</w:t>
            </w:r>
          </w:p>
        </w:tc>
        <w:tc>
          <w:tcPr>
            <w:tcW w:w="992" w:type="dxa"/>
          </w:tcPr>
          <w:p w14:paraId="35C4EF4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8</w:t>
            </w:r>
          </w:p>
        </w:tc>
        <w:tc>
          <w:tcPr>
            <w:tcW w:w="9356" w:type="dxa"/>
          </w:tcPr>
          <w:p w14:paraId="5F1D655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Details of patient or public involvement in the design, conduct and reporting of the trial</w:t>
            </w:r>
          </w:p>
        </w:tc>
        <w:tc>
          <w:tcPr>
            <w:tcW w:w="1417" w:type="dxa"/>
          </w:tcPr>
          <w:p w14:paraId="736CE81D" w14:textId="73463DD8" w:rsidR="00B36D6D" w:rsidRPr="009C6FD6" w:rsidRDefault="002F0D18">
            <w:pPr>
              <w:spacing w:line="240" w:lineRule="auto"/>
              <w:rPr>
                <w:rFonts w:ascii="Calibri" w:eastAsia="Calibri" w:hAnsi="Calibri" w:cs="Calibri"/>
                <w:color w:val="000000"/>
                <w:sz w:val="22"/>
                <w:szCs w:val="22"/>
                <w:lang w:val="en-GB"/>
              </w:rPr>
            </w:pPr>
            <w:r w:rsidRPr="00CF0068">
              <w:rPr>
                <w:rFonts w:ascii="Calibri" w:eastAsia="Calibri" w:hAnsi="Calibri" w:cs="Calibri"/>
                <w:color w:val="000000"/>
                <w:sz w:val="22"/>
                <w:szCs w:val="22"/>
              </w:rPr>
              <w:t>Protocol Mertens et al., 2022</w:t>
            </w:r>
          </w:p>
        </w:tc>
      </w:tr>
      <w:tr w:rsidR="00B36D6D" w:rsidRPr="009C6FD6" w14:paraId="1118C078" w14:textId="34119A38" w:rsidTr="00BC3998">
        <w:trPr>
          <w:trHeight w:val="268"/>
        </w:trPr>
        <w:tc>
          <w:tcPr>
            <w:tcW w:w="2547" w:type="dxa"/>
          </w:tcPr>
          <w:p w14:paraId="0B3B044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design</w:t>
            </w:r>
          </w:p>
        </w:tc>
        <w:tc>
          <w:tcPr>
            <w:tcW w:w="992" w:type="dxa"/>
          </w:tcPr>
          <w:p w14:paraId="72205B9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9</w:t>
            </w:r>
          </w:p>
        </w:tc>
        <w:tc>
          <w:tcPr>
            <w:tcW w:w="9356" w:type="dxa"/>
          </w:tcPr>
          <w:p w14:paraId="5E662EA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14:paraId="43452A41" w14:textId="3BF35A4D" w:rsidR="002F0D18" w:rsidRDefault="002F0D18">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6 &amp;</w:t>
            </w:r>
          </w:p>
          <w:p w14:paraId="22562F96" w14:textId="75B531D2" w:rsidR="00B36D6D" w:rsidRPr="009C6FD6" w:rsidRDefault="002F0D18">
            <w:pPr>
              <w:spacing w:line="240" w:lineRule="auto"/>
              <w:rPr>
                <w:rFonts w:ascii="Calibri" w:eastAsia="Calibri" w:hAnsi="Calibri" w:cs="Calibri"/>
                <w:color w:val="000000"/>
                <w:sz w:val="22"/>
                <w:szCs w:val="22"/>
                <w:lang w:val="en-GB"/>
              </w:rPr>
            </w:pPr>
            <w:r w:rsidRPr="00CF0068">
              <w:rPr>
                <w:rFonts w:ascii="Calibri" w:eastAsia="Calibri" w:hAnsi="Calibri" w:cs="Calibri"/>
                <w:color w:val="000000"/>
                <w:sz w:val="22"/>
                <w:szCs w:val="22"/>
              </w:rPr>
              <w:t>Protocol Mertens et al., 2022</w:t>
            </w:r>
          </w:p>
        </w:tc>
      </w:tr>
      <w:tr w:rsidR="00B36D6D" w:rsidRPr="009C6FD6" w14:paraId="3B0F7B6A" w14:textId="5F6C4DC7" w:rsidTr="00BC3998">
        <w:trPr>
          <w:trHeight w:val="214"/>
        </w:trPr>
        <w:tc>
          <w:tcPr>
            <w:tcW w:w="2547" w:type="dxa"/>
          </w:tcPr>
          <w:p w14:paraId="7D9C827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Changes to trial protocol</w:t>
            </w:r>
          </w:p>
        </w:tc>
        <w:tc>
          <w:tcPr>
            <w:tcW w:w="992" w:type="dxa"/>
          </w:tcPr>
          <w:p w14:paraId="784655B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10</w:t>
            </w:r>
          </w:p>
        </w:tc>
        <w:tc>
          <w:tcPr>
            <w:tcW w:w="9356" w:type="dxa"/>
          </w:tcPr>
          <w:p w14:paraId="3D532DC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Important changes to the trial after it commenced including any outcomes or analyses that were not prespecified, with reason</w:t>
            </w:r>
          </w:p>
        </w:tc>
        <w:tc>
          <w:tcPr>
            <w:tcW w:w="1417" w:type="dxa"/>
          </w:tcPr>
          <w:p w14:paraId="58F0C5A6" w14:textId="2A5ABA98" w:rsidR="00B36D6D" w:rsidRPr="009C6FD6" w:rsidRDefault="002F0D1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8EEE53F" w14:textId="27DB62E6" w:rsidTr="00BC3998">
        <w:trPr>
          <w:trHeight w:val="273"/>
        </w:trPr>
        <w:tc>
          <w:tcPr>
            <w:tcW w:w="2547" w:type="dxa"/>
          </w:tcPr>
          <w:p w14:paraId="5BFE6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Trial setting</w:t>
            </w:r>
          </w:p>
        </w:tc>
        <w:tc>
          <w:tcPr>
            <w:tcW w:w="992" w:type="dxa"/>
          </w:tcPr>
          <w:p w14:paraId="4A046B8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11</w:t>
            </w:r>
          </w:p>
        </w:tc>
        <w:tc>
          <w:tcPr>
            <w:tcW w:w="9356" w:type="dxa"/>
          </w:tcPr>
          <w:p w14:paraId="269E109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Settings (e.g., community, hospital) and locations (e.g., countries, sites) where the trial was conducted</w:t>
            </w:r>
          </w:p>
        </w:tc>
        <w:tc>
          <w:tcPr>
            <w:tcW w:w="1417" w:type="dxa"/>
          </w:tcPr>
          <w:p w14:paraId="266DD31E" w14:textId="01DC160A" w:rsidR="00B36D6D" w:rsidRPr="009C6FD6" w:rsidRDefault="002F0D1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p>
        </w:tc>
      </w:tr>
      <w:tr w:rsidR="00B36D6D" w:rsidRPr="009C6FD6" w14:paraId="134ACE67" w14:textId="5E48FD43" w:rsidTr="00BC3998">
        <w:trPr>
          <w:trHeight w:val="276"/>
        </w:trPr>
        <w:tc>
          <w:tcPr>
            <w:tcW w:w="2547" w:type="dxa"/>
            <w:vMerge w:val="restart"/>
            <w:vAlign w:val="center"/>
          </w:tcPr>
          <w:p w14:paraId="1FDD4F7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w:t>
            </w:r>
          </w:p>
        </w:tc>
        <w:tc>
          <w:tcPr>
            <w:tcW w:w="992" w:type="dxa"/>
          </w:tcPr>
          <w:p w14:paraId="083D8C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12a</w:t>
            </w:r>
          </w:p>
        </w:tc>
        <w:tc>
          <w:tcPr>
            <w:tcW w:w="9356" w:type="dxa"/>
          </w:tcPr>
          <w:p w14:paraId="3C4A8E8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 for participants</w:t>
            </w:r>
          </w:p>
        </w:tc>
        <w:tc>
          <w:tcPr>
            <w:tcW w:w="1417" w:type="dxa"/>
          </w:tcPr>
          <w:p w14:paraId="3128EB9A" w14:textId="68BF7ADC" w:rsidR="00B36D6D" w:rsidRPr="009C6FD6" w:rsidRDefault="002F0D18">
            <w:pPr>
              <w:spacing w:line="240" w:lineRule="auto"/>
              <w:rPr>
                <w:rFonts w:ascii="Calibri" w:eastAsia="Calibri" w:hAnsi="Calibri" w:cs="Calibri"/>
                <w:color w:val="000000"/>
                <w:sz w:val="22"/>
                <w:szCs w:val="22"/>
                <w:lang w:val="en-GB"/>
              </w:rPr>
            </w:pPr>
            <w:r w:rsidRPr="00CF0068">
              <w:rPr>
                <w:rFonts w:ascii="Calibri" w:eastAsia="Calibri" w:hAnsi="Calibri" w:cs="Calibri"/>
                <w:color w:val="000000"/>
                <w:sz w:val="22"/>
                <w:szCs w:val="22"/>
              </w:rPr>
              <w:t>Protocol Mertens et al., 2022</w:t>
            </w:r>
          </w:p>
        </w:tc>
      </w:tr>
      <w:tr w:rsidR="00B36D6D" w:rsidRPr="009C6FD6" w14:paraId="2E19841C" w14:textId="09E33AE1" w:rsidTr="00BC3998">
        <w:trPr>
          <w:trHeight w:val="276"/>
        </w:trPr>
        <w:tc>
          <w:tcPr>
            <w:tcW w:w="2547" w:type="dxa"/>
            <w:vMerge/>
            <w:vAlign w:val="center"/>
          </w:tcPr>
          <w:p w14:paraId="37DCF479"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29BA2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12b</w:t>
            </w:r>
          </w:p>
        </w:tc>
        <w:tc>
          <w:tcPr>
            <w:tcW w:w="9356" w:type="dxa"/>
          </w:tcPr>
          <w:p w14:paraId="17B5A22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applicable, eligibility criteria for sites and for individuals delivering the interventions (e.g., surgeons, physiotherapists)</w:t>
            </w:r>
          </w:p>
        </w:tc>
        <w:tc>
          <w:tcPr>
            <w:tcW w:w="1417" w:type="dxa"/>
          </w:tcPr>
          <w:p w14:paraId="6D568B99" w14:textId="5F6B159C" w:rsidR="00B36D6D" w:rsidRPr="009C6FD6" w:rsidRDefault="002F0D1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72C268E0" w14:textId="2C365FD3" w:rsidTr="00BC3998">
        <w:trPr>
          <w:trHeight w:val="463"/>
        </w:trPr>
        <w:tc>
          <w:tcPr>
            <w:tcW w:w="2547" w:type="dxa"/>
          </w:tcPr>
          <w:p w14:paraId="23EE01E3" w14:textId="2BBC8976"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w:t>
            </w:r>
            <w:r>
              <w:rPr>
                <w:rFonts w:ascii="Calibri" w:eastAsia="Calibri" w:hAnsi="Calibri" w:cs="Calibri"/>
                <w:color w:val="000000"/>
                <w:sz w:val="22"/>
                <w:szCs w:val="22"/>
                <w:lang w:val="en-GB"/>
              </w:rPr>
              <w:t xml:space="preserve"> and comparator</w:t>
            </w:r>
          </w:p>
        </w:tc>
        <w:tc>
          <w:tcPr>
            <w:tcW w:w="992" w:type="dxa"/>
          </w:tcPr>
          <w:p w14:paraId="7CCB218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13</w:t>
            </w:r>
          </w:p>
        </w:tc>
        <w:tc>
          <w:tcPr>
            <w:tcW w:w="9356" w:type="dxa"/>
          </w:tcPr>
          <w:p w14:paraId="17D21D80" w14:textId="3ACFFF1E"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with sufficient details to allow replication. If relevant, where additional materials describing the 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(e.g., intervention manual) can be accessed</w:t>
            </w:r>
          </w:p>
        </w:tc>
        <w:tc>
          <w:tcPr>
            <w:tcW w:w="1417" w:type="dxa"/>
          </w:tcPr>
          <w:p w14:paraId="7E6E2BC1" w14:textId="5E4F45CC" w:rsidR="00B36D6D" w:rsidRDefault="002F0D1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7-8</w:t>
            </w:r>
          </w:p>
          <w:p w14:paraId="77367BB8" w14:textId="77777777" w:rsidR="002F0D18" w:rsidRDefault="002F0D1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&amp;</w:t>
            </w:r>
          </w:p>
          <w:p w14:paraId="3D06E337" w14:textId="003544E6" w:rsidR="002F0D18" w:rsidRPr="009C6FD6" w:rsidRDefault="002F0D18">
            <w:pPr>
              <w:spacing w:line="240" w:lineRule="auto"/>
              <w:rPr>
                <w:rFonts w:ascii="Calibri" w:eastAsia="Calibri" w:hAnsi="Calibri" w:cs="Calibri"/>
                <w:color w:val="000000"/>
                <w:sz w:val="22"/>
                <w:szCs w:val="22"/>
                <w:lang w:val="en-GB"/>
              </w:rPr>
            </w:pPr>
            <w:r w:rsidRPr="00CF0068">
              <w:rPr>
                <w:rFonts w:ascii="Calibri" w:eastAsia="Calibri" w:hAnsi="Calibri" w:cs="Calibri"/>
                <w:color w:val="000000"/>
                <w:sz w:val="22"/>
                <w:szCs w:val="22"/>
              </w:rPr>
              <w:t>Protocol Mertens et al., 2022</w:t>
            </w:r>
          </w:p>
        </w:tc>
      </w:tr>
      <w:tr w:rsidR="00B36D6D" w:rsidRPr="009C6FD6" w14:paraId="2D3DE58D" w14:textId="4C478C59" w:rsidTr="00BC3998">
        <w:trPr>
          <w:trHeight w:val="614"/>
        </w:trPr>
        <w:tc>
          <w:tcPr>
            <w:tcW w:w="2547" w:type="dxa"/>
          </w:tcPr>
          <w:p w14:paraId="273E4E1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w:t>
            </w:r>
          </w:p>
        </w:tc>
        <w:tc>
          <w:tcPr>
            <w:tcW w:w="992" w:type="dxa"/>
          </w:tcPr>
          <w:p w14:paraId="1C47886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14</w:t>
            </w:r>
          </w:p>
          <w:p w14:paraId="7F479C8B" w14:textId="77777777" w:rsidR="00B36D6D" w:rsidRPr="009C6FD6" w:rsidRDefault="00B36D6D">
            <w:pPr>
              <w:spacing w:line="240" w:lineRule="auto"/>
              <w:jc w:val="center"/>
              <w:rPr>
                <w:rFonts w:ascii="Calibri" w:eastAsia="Calibri" w:hAnsi="Calibri" w:cs="Calibri"/>
                <w:color w:val="000000"/>
                <w:sz w:val="22"/>
                <w:szCs w:val="22"/>
                <w:lang w:val="en-GB"/>
              </w:rPr>
            </w:pPr>
          </w:p>
        </w:tc>
        <w:tc>
          <w:tcPr>
            <w:tcW w:w="9356" w:type="dxa"/>
          </w:tcPr>
          <w:p w14:paraId="794D803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5861B18C" w14:textId="77777777" w:rsidR="00B36D6D" w:rsidRDefault="002F0D1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9</w:t>
            </w:r>
          </w:p>
          <w:p w14:paraId="4F02DCA2" w14:textId="77777777" w:rsidR="002F0D18" w:rsidRDefault="002F0D1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&amp;</w:t>
            </w:r>
          </w:p>
          <w:p w14:paraId="6FE0043A" w14:textId="3BD70EB7" w:rsidR="002F0D18" w:rsidRPr="009C6FD6" w:rsidRDefault="002F0D18">
            <w:pPr>
              <w:spacing w:line="240" w:lineRule="auto"/>
              <w:rPr>
                <w:rFonts w:ascii="Calibri" w:eastAsia="Calibri" w:hAnsi="Calibri" w:cs="Calibri"/>
                <w:color w:val="000000"/>
                <w:sz w:val="22"/>
                <w:szCs w:val="22"/>
                <w:lang w:val="en-GB"/>
              </w:rPr>
            </w:pPr>
            <w:r w:rsidRPr="00CF0068">
              <w:rPr>
                <w:rFonts w:ascii="Calibri" w:eastAsia="Calibri" w:hAnsi="Calibri" w:cs="Calibri"/>
                <w:color w:val="000000"/>
                <w:sz w:val="22"/>
                <w:szCs w:val="22"/>
              </w:rPr>
              <w:t>Protocol Mertens et al., 2022</w:t>
            </w:r>
          </w:p>
        </w:tc>
      </w:tr>
      <w:tr w:rsidR="00B36D6D" w:rsidRPr="009C6FD6" w14:paraId="58D124DA" w14:textId="000F135E" w:rsidTr="00BC3998">
        <w:trPr>
          <w:trHeight w:val="339"/>
        </w:trPr>
        <w:tc>
          <w:tcPr>
            <w:tcW w:w="2547" w:type="dxa"/>
          </w:tcPr>
          <w:p w14:paraId="3A9C250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1344FF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15</w:t>
            </w:r>
          </w:p>
        </w:tc>
        <w:tc>
          <w:tcPr>
            <w:tcW w:w="9356" w:type="dxa"/>
          </w:tcPr>
          <w:p w14:paraId="591013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harms were defined and assessed (e.g., systematically, non-systematically)</w:t>
            </w:r>
          </w:p>
        </w:tc>
        <w:tc>
          <w:tcPr>
            <w:tcW w:w="1417" w:type="dxa"/>
          </w:tcPr>
          <w:p w14:paraId="5D66BF02" w14:textId="1E3A3889" w:rsidR="00B36D6D" w:rsidRPr="009C6FD6" w:rsidRDefault="002F0D1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2973BF2" w14:textId="49BAA2F8" w:rsidTr="00BC3998">
        <w:trPr>
          <w:trHeight w:val="273"/>
        </w:trPr>
        <w:tc>
          <w:tcPr>
            <w:tcW w:w="2547" w:type="dxa"/>
            <w:vMerge w:val="restart"/>
          </w:tcPr>
          <w:p w14:paraId="6A7FA31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Sample size</w:t>
            </w:r>
          </w:p>
        </w:tc>
        <w:tc>
          <w:tcPr>
            <w:tcW w:w="992" w:type="dxa"/>
          </w:tcPr>
          <w:p w14:paraId="3D9FEE9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16a</w:t>
            </w:r>
          </w:p>
        </w:tc>
        <w:tc>
          <w:tcPr>
            <w:tcW w:w="9356" w:type="dxa"/>
          </w:tcPr>
          <w:p w14:paraId="3B91C74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sample size was determined, including all assumptions supporting the sample size calculation</w:t>
            </w:r>
          </w:p>
        </w:tc>
        <w:tc>
          <w:tcPr>
            <w:tcW w:w="1417" w:type="dxa"/>
          </w:tcPr>
          <w:p w14:paraId="180AD325" w14:textId="3A97992A" w:rsidR="00B36D6D" w:rsidRPr="009C6FD6" w:rsidRDefault="002F0D18">
            <w:pPr>
              <w:spacing w:line="240" w:lineRule="auto"/>
              <w:rPr>
                <w:rFonts w:ascii="Calibri" w:eastAsia="Calibri" w:hAnsi="Calibri" w:cs="Calibri"/>
                <w:color w:val="000000"/>
                <w:sz w:val="22"/>
                <w:szCs w:val="22"/>
                <w:lang w:val="en-GB"/>
              </w:rPr>
            </w:pPr>
            <w:r w:rsidRPr="00CF0068">
              <w:rPr>
                <w:rFonts w:ascii="Calibri" w:eastAsia="Calibri" w:hAnsi="Calibri" w:cs="Calibri"/>
                <w:color w:val="000000"/>
                <w:sz w:val="22"/>
                <w:szCs w:val="22"/>
              </w:rPr>
              <w:t>Protocol Mertens et al., 2022</w:t>
            </w:r>
          </w:p>
        </w:tc>
      </w:tr>
      <w:tr w:rsidR="00B36D6D" w:rsidRPr="009C6FD6" w14:paraId="365605D7" w14:textId="7252FE1E" w:rsidTr="00BC3998">
        <w:trPr>
          <w:trHeight w:val="273"/>
        </w:trPr>
        <w:tc>
          <w:tcPr>
            <w:tcW w:w="2547" w:type="dxa"/>
            <w:vMerge/>
          </w:tcPr>
          <w:p w14:paraId="5EE3997D"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C8443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16b</w:t>
            </w:r>
          </w:p>
        </w:tc>
        <w:tc>
          <w:tcPr>
            <w:tcW w:w="9356" w:type="dxa"/>
          </w:tcPr>
          <w:p w14:paraId="5929DED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Explanation of any interim analyses and stopping guidelines</w:t>
            </w:r>
          </w:p>
        </w:tc>
        <w:tc>
          <w:tcPr>
            <w:tcW w:w="1417" w:type="dxa"/>
          </w:tcPr>
          <w:p w14:paraId="74EBB045" w14:textId="64DBBF57" w:rsidR="00B36D6D" w:rsidRPr="009C6FD6" w:rsidRDefault="002F0D18">
            <w:pPr>
              <w:spacing w:line="240" w:lineRule="auto"/>
              <w:rPr>
                <w:rFonts w:ascii="Calibri" w:eastAsia="Calibri" w:hAnsi="Calibri" w:cs="Calibri"/>
                <w:color w:val="000000"/>
                <w:sz w:val="22"/>
                <w:szCs w:val="22"/>
                <w:lang w:val="en-GB"/>
              </w:rPr>
            </w:pPr>
            <w:r w:rsidRPr="00CF0068">
              <w:rPr>
                <w:rFonts w:ascii="Calibri" w:eastAsia="Calibri" w:hAnsi="Calibri" w:cs="Calibri"/>
                <w:color w:val="000000"/>
                <w:sz w:val="22"/>
                <w:szCs w:val="22"/>
              </w:rPr>
              <w:t>Protocol Mertens et al., 2022</w:t>
            </w:r>
          </w:p>
        </w:tc>
      </w:tr>
      <w:tr w:rsidR="00B36D6D" w:rsidRPr="009C6FD6" w14:paraId="7CF31D29" w14:textId="10D62C26" w:rsidTr="00BC3998">
        <w:trPr>
          <w:trHeight w:val="276"/>
        </w:trPr>
        <w:tc>
          <w:tcPr>
            <w:tcW w:w="2547" w:type="dxa"/>
          </w:tcPr>
          <w:p w14:paraId="1D2AE3F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Randomisation:</w:t>
            </w:r>
          </w:p>
        </w:tc>
        <w:tc>
          <w:tcPr>
            <w:tcW w:w="992" w:type="dxa"/>
          </w:tcPr>
          <w:p w14:paraId="11796DC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9356" w:type="dxa"/>
          </w:tcPr>
          <w:p w14:paraId="7A75315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1417" w:type="dxa"/>
          </w:tcPr>
          <w:p w14:paraId="036862A2"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4537F87A" w14:textId="569C9680" w:rsidTr="00BC3998">
        <w:trPr>
          <w:trHeight w:val="266"/>
        </w:trPr>
        <w:tc>
          <w:tcPr>
            <w:tcW w:w="2547" w:type="dxa"/>
            <w:vMerge w:val="restart"/>
          </w:tcPr>
          <w:p w14:paraId="15B2BB96"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Sequence generation</w:t>
            </w:r>
          </w:p>
        </w:tc>
        <w:tc>
          <w:tcPr>
            <w:tcW w:w="992" w:type="dxa"/>
          </w:tcPr>
          <w:p w14:paraId="04D32F8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17a</w:t>
            </w:r>
          </w:p>
        </w:tc>
        <w:tc>
          <w:tcPr>
            <w:tcW w:w="9356" w:type="dxa"/>
          </w:tcPr>
          <w:p w14:paraId="34D407B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Who generated the random allocation sequence and the method used</w:t>
            </w:r>
          </w:p>
        </w:tc>
        <w:tc>
          <w:tcPr>
            <w:tcW w:w="1417" w:type="dxa"/>
          </w:tcPr>
          <w:p w14:paraId="50468870" w14:textId="5D4859B3" w:rsidR="00B36D6D" w:rsidRPr="009C6FD6" w:rsidRDefault="002F0D18">
            <w:pPr>
              <w:spacing w:line="240" w:lineRule="auto"/>
              <w:rPr>
                <w:rFonts w:ascii="Calibri" w:eastAsia="Calibri" w:hAnsi="Calibri" w:cs="Calibri"/>
                <w:color w:val="000000"/>
                <w:sz w:val="22"/>
                <w:szCs w:val="22"/>
                <w:lang w:val="en-GB"/>
              </w:rPr>
            </w:pPr>
            <w:r w:rsidRPr="00CF0068">
              <w:rPr>
                <w:rFonts w:ascii="Calibri" w:eastAsia="Calibri" w:hAnsi="Calibri" w:cs="Calibri"/>
                <w:color w:val="000000"/>
                <w:sz w:val="22"/>
                <w:szCs w:val="22"/>
              </w:rPr>
              <w:t>Protocol Mertens et al., 2022</w:t>
            </w:r>
          </w:p>
        </w:tc>
      </w:tr>
      <w:tr w:rsidR="00B36D6D" w:rsidRPr="009C6FD6" w14:paraId="14EC82C6" w14:textId="3CED05A8" w:rsidTr="00BC3998">
        <w:trPr>
          <w:trHeight w:val="285"/>
        </w:trPr>
        <w:tc>
          <w:tcPr>
            <w:tcW w:w="2547" w:type="dxa"/>
            <w:vMerge/>
          </w:tcPr>
          <w:p w14:paraId="0F443E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482760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17b</w:t>
            </w:r>
          </w:p>
        </w:tc>
        <w:tc>
          <w:tcPr>
            <w:tcW w:w="9356" w:type="dxa"/>
          </w:tcPr>
          <w:p w14:paraId="29B4B76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Type of randomisation and details of any restriction (e.g., stratification, blocking and block size)</w:t>
            </w:r>
          </w:p>
        </w:tc>
        <w:tc>
          <w:tcPr>
            <w:tcW w:w="1417" w:type="dxa"/>
          </w:tcPr>
          <w:p w14:paraId="6BFED71E" w14:textId="3BA613DA" w:rsidR="00B36D6D" w:rsidRPr="009C6FD6" w:rsidRDefault="002F0D18">
            <w:pPr>
              <w:spacing w:line="240" w:lineRule="auto"/>
              <w:rPr>
                <w:rFonts w:ascii="Calibri" w:eastAsia="Calibri" w:hAnsi="Calibri" w:cs="Calibri"/>
                <w:color w:val="000000"/>
                <w:sz w:val="22"/>
                <w:szCs w:val="22"/>
                <w:lang w:val="en-GB"/>
              </w:rPr>
            </w:pPr>
            <w:r w:rsidRPr="00CF0068">
              <w:rPr>
                <w:rFonts w:ascii="Calibri" w:eastAsia="Calibri" w:hAnsi="Calibri" w:cs="Calibri"/>
                <w:color w:val="000000"/>
                <w:sz w:val="22"/>
                <w:szCs w:val="22"/>
              </w:rPr>
              <w:t>Protocol Mertens et al., 2022</w:t>
            </w:r>
          </w:p>
        </w:tc>
      </w:tr>
      <w:tr w:rsidR="00B36D6D" w:rsidRPr="009C6FD6" w14:paraId="30B7CE14" w14:textId="2A8F98FA" w:rsidTr="00BC3998">
        <w:trPr>
          <w:trHeight w:val="544"/>
        </w:trPr>
        <w:tc>
          <w:tcPr>
            <w:tcW w:w="2547" w:type="dxa"/>
          </w:tcPr>
          <w:p w14:paraId="50619AAE"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Allocation concealment mechanism</w:t>
            </w:r>
          </w:p>
        </w:tc>
        <w:tc>
          <w:tcPr>
            <w:tcW w:w="992" w:type="dxa"/>
          </w:tcPr>
          <w:p w14:paraId="4B77DA4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18</w:t>
            </w:r>
          </w:p>
        </w:tc>
        <w:tc>
          <w:tcPr>
            <w:tcW w:w="9356" w:type="dxa"/>
          </w:tcPr>
          <w:p w14:paraId="4FFCCFA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1EC8B0E" w14:textId="6D545448" w:rsidR="00B36D6D" w:rsidRPr="009C6FD6" w:rsidRDefault="002F0D18">
            <w:pPr>
              <w:spacing w:line="240" w:lineRule="auto"/>
              <w:rPr>
                <w:rFonts w:ascii="Calibri" w:eastAsia="Calibri" w:hAnsi="Calibri" w:cs="Calibri"/>
                <w:color w:val="000000"/>
                <w:sz w:val="22"/>
                <w:szCs w:val="22"/>
                <w:lang w:val="en-GB"/>
              </w:rPr>
            </w:pPr>
            <w:r w:rsidRPr="00CF0068">
              <w:rPr>
                <w:rFonts w:ascii="Calibri" w:eastAsia="Calibri" w:hAnsi="Calibri" w:cs="Calibri"/>
                <w:color w:val="000000"/>
                <w:sz w:val="22"/>
                <w:szCs w:val="22"/>
              </w:rPr>
              <w:t>Protocol Mertens et al., 2022</w:t>
            </w:r>
          </w:p>
        </w:tc>
      </w:tr>
      <w:tr w:rsidR="00B36D6D" w:rsidRPr="009C6FD6" w14:paraId="685356C7" w14:textId="4A9F88ED" w:rsidTr="00BC3998">
        <w:trPr>
          <w:trHeight w:val="558"/>
        </w:trPr>
        <w:tc>
          <w:tcPr>
            <w:tcW w:w="2547" w:type="dxa"/>
          </w:tcPr>
          <w:p w14:paraId="1669B1E1"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Implementation</w:t>
            </w:r>
          </w:p>
        </w:tc>
        <w:tc>
          <w:tcPr>
            <w:tcW w:w="992" w:type="dxa"/>
          </w:tcPr>
          <w:p w14:paraId="6FD9CBB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19</w:t>
            </w:r>
          </w:p>
        </w:tc>
        <w:tc>
          <w:tcPr>
            <w:tcW w:w="9356" w:type="dxa"/>
          </w:tcPr>
          <w:p w14:paraId="1168460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14:paraId="6554DB11" w14:textId="57322FF0" w:rsidR="00B36D6D" w:rsidRPr="009C6FD6" w:rsidRDefault="002F0D18">
            <w:pPr>
              <w:spacing w:line="240" w:lineRule="auto"/>
              <w:rPr>
                <w:rFonts w:ascii="Calibri" w:eastAsia="Calibri" w:hAnsi="Calibri" w:cs="Calibri"/>
                <w:color w:val="000000"/>
                <w:sz w:val="22"/>
                <w:szCs w:val="22"/>
                <w:lang w:val="en-GB"/>
              </w:rPr>
            </w:pPr>
            <w:r w:rsidRPr="00CF0068">
              <w:rPr>
                <w:rFonts w:ascii="Calibri" w:eastAsia="Calibri" w:hAnsi="Calibri" w:cs="Calibri"/>
                <w:color w:val="000000"/>
                <w:sz w:val="22"/>
                <w:szCs w:val="22"/>
              </w:rPr>
              <w:t>Protocol Mertens et al., 2022</w:t>
            </w:r>
          </w:p>
        </w:tc>
      </w:tr>
      <w:tr w:rsidR="00B36D6D" w:rsidRPr="009C6FD6" w14:paraId="14AA8C84" w14:textId="0364F565" w:rsidTr="00BC3998">
        <w:trPr>
          <w:trHeight w:val="251"/>
        </w:trPr>
        <w:tc>
          <w:tcPr>
            <w:tcW w:w="2547" w:type="dxa"/>
            <w:vMerge w:val="restart"/>
          </w:tcPr>
          <w:p w14:paraId="6035012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Blinding</w:t>
            </w:r>
          </w:p>
        </w:tc>
        <w:tc>
          <w:tcPr>
            <w:tcW w:w="992" w:type="dxa"/>
          </w:tcPr>
          <w:p w14:paraId="6C79645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20a</w:t>
            </w:r>
          </w:p>
        </w:tc>
        <w:tc>
          <w:tcPr>
            <w:tcW w:w="9356" w:type="dxa"/>
          </w:tcPr>
          <w:p w14:paraId="080A780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Who was blinded after assignment to interventions (e.g., participants, care providers, outcome assessors, data analysts) </w:t>
            </w:r>
          </w:p>
        </w:tc>
        <w:tc>
          <w:tcPr>
            <w:tcW w:w="1417" w:type="dxa"/>
          </w:tcPr>
          <w:p w14:paraId="5326CB7A" w14:textId="3B65E5AD" w:rsidR="00B36D6D" w:rsidRPr="009C6FD6" w:rsidRDefault="002F0D18">
            <w:pPr>
              <w:spacing w:line="240" w:lineRule="auto"/>
              <w:rPr>
                <w:rFonts w:ascii="Calibri" w:eastAsia="Calibri" w:hAnsi="Calibri" w:cs="Calibri"/>
                <w:color w:val="000000"/>
                <w:sz w:val="22"/>
                <w:szCs w:val="22"/>
                <w:lang w:val="en-GB"/>
              </w:rPr>
            </w:pPr>
            <w:r w:rsidRPr="00CF0068">
              <w:rPr>
                <w:rFonts w:ascii="Calibri" w:eastAsia="Calibri" w:hAnsi="Calibri" w:cs="Calibri"/>
                <w:color w:val="000000"/>
                <w:sz w:val="22"/>
                <w:szCs w:val="22"/>
              </w:rPr>
              <w:t>Protocol Mertens et al., 2022</w:t>
            </w:r>
          </w:p>
        </w:tc>
      </w:tr>
      <w:tr w:rsidR="00B36D6D" w:rsidRPr="009C6FD6" w14:paraId="19571F76" w14:textId="1258F279" w:rsidTr="00BC3998">
        <w:trPr>
          <w:trHeight w:val="274"/>
        </w:trPr>
        <w:tc>
          <w:tcPr>
            <w:tcW w:w="2547" w:type="dxa"/>
            <w:vMerge/>
          </w:tcPr>
          <w:p w14:paraId="6DDD68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6207EAC2"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20b</w:t>
            </w:r>
          </w:p>
        </w:tc>
        <w:tc>
          <w:tcPr>
            <w:tcW w:w="9356" w:type="dxa"/>
          </w:tcPr>
          <w:p w14:paraId="64C5F50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blinded, how blinding was achieved and description of the similarity of interventions</w:t>
            </w:r>
          </w:p>
        </w:tc>
        <w:tc>
          <w:tcPr>
            <w:tcW w:w="1417" w:type="dxa"/>
          </w:tcPr>
          <w:p w14:paraId="795AB5B0" w14:textId="27A40C33" w:rsidR="00B36D6D" w:rsidRPr="009C6FD6" w:rsidRDefault="002F0D1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039E9794" w14:textId="27F927CF" w:rsidTr="00BC3998">
        <w:trPr>
          <w:trHeight w:val="225"/>
        </w:trPr>
        <w:tc>
          <w:tcPr>
            <w:tcW w:w="2547" w:type="dxa"/>
            <w:vMerge w:val="restart"/>
          </w:tcPr>
          <w:p w14:paraId="3E5EB1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w:t>
            </w:r>
          </w:p>
        </w:tc>
        <w:tc>
          <w:tcPr>
            <w:tcW w:w="992" w:type="dxa"/>
          </w:tcPr>
          <w:p w14:paraId="51D15D6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21a</w:t>
            </w:r>
          </w:p>
        </w:tc>
        <w:tc>
          <w:tcPr>
            <w:tcW w:w="9356" w:type="dxa"/>
          </w:tcPr>
          <w:p w14:paraId="67FA2D0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 used to compare groups for primary and secondary outcomes, including harms</w:t>
            </w:r>
          </w:p>
        </w:tc>
        <w:tc>
          <w:tcPr>
            <w:tcW w:w="1417" w:type="dxa"/>
          </w:tcPr>
          <w:p w14:paraId="1C79083E" w14:textId="471B87B2" w:rsidR="00B36D6D" w:rsidRPr="009C6FD6" w:rsidRDefault="002F0D1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9-11</w:t>
            </w:r>
          </w:p>
        </w:tc>
      </w:tr>
      <w:tr w:rsidR="00B36D6D" w:rsidRPr="009C6FD6" w14:paraId="06CA6CC2" w14:textId="6A3DF668" w:rsidTr="00BC3998">
        <w:trPr>
          <w:trHeight w:val="225"/>
        </w:trPr>
        <w:tc>
          <w:tcPr>
            <w:tcW w:w="2547" w:type="dxa"/>
            <w:vMerge/>
          </w:tcPr>
          <w:p w14:paraId="7629AC0E"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7BA842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21b</w:t>
            </w:r>
          </w:p>
        </w:tc>
        <w:tc>
          <w:tcPr>
            <w:tcW w:w="9356" w:type="dxa"/>
          </w:tcPr>
          <w:p w14:paraId="096BC75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Definition of who is included in each analysis (e.g., all randomised participants), and in which group</w:t>
            </w:r>
          </w:p>
        </w:tc>
        <w:tc>
          <w:tcPr>
            <w:tcW w:w="1417" w:type="dxa"/>
          </w:tcPr>
          <w:p w14:paraId="6622E359" w14:textId="1528C55F" w:rsidR="00B36D6D" w:rsidRPr="009C6FD6" w:rsidRDefault="002F0D1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p>
        </w:tc>
      </w:tr>
      <w:tr w:rsidR="00B36D6D" w:rsidRPr="009C6FD6" w14:paraId="35065EEA" w14:textId="6378B8ED" w:rsidTr="00BC3998">
        <w:trPr>
          <w:trHeight w:val="225"/>
        </w:trPr>
        <w:tc>
          <w:tcPr>
            <w:tcW w:w="2547" w:type="dxa"/>
            <w:vMerge/>
          </w:tcPr>
          <w:p w14:paraId="1EBB0B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8B0EF0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21c</w:t>
            </w:r>
          </w:p>
        </w:tc>
        <w:tc>
          <w:tcPr>
            <w:tcW w:w="9356" w:type="dxa"/>
          </w:tcPr>
          <w:p w14:paraId="06CE57A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missing data were handled in the analysis</w:t>
            </w:r>
          </w:p>
        </w:tc>
        <w:tc>
          <w:tcPr>
            <w:tcW w:w="1417" w:type="dxa"/>
          </w:tcPr>
          <w:p w14:paraId="295B5602" w14:textId="1474CA0A" w:rsidR="00B36D6D" w:rsidRPr="009C6FD6" w:rsidRDefault="002F0D1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11</w:t>
            </w:r>
          </w:p>
        </w:tc>
      </w:tr>
      <w:tr w:rsidR="00B36D6D" w:rsidRPr="009C6FD6" w14:paraId="1498BEBC" w14:textId="2FFF5282" w:rsidTr="00BC3998">
        <w:trPr>
          <w:trHeight w:val="257"/>
        </w:trPr>
        <w:tc>
          <w:tcPr>
            <w:tcW w:w="2547" w:type="dxa"/>
            <w:vMerge/>
          </w:tcPr>
          <w:p w14:paraId="507413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018E21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21d</w:t>
            </w:r>
          </w:p>
        </w:tc>
        <w:tc>
          <w:tcPr>
            <w:tcW w:w="9356" w:type="dxa"/>
          </w:tcPr>
          <w:p w14:paraId="25A70C8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Methods for any additional analyses (e.g., subgroup and sensitivity analyses), distinguishing prespecified from post-hoc</w:t>
            </w:r>
          </w:p>
        </w:tc>
        <w:tc>
          <w:tcPr>
            <w:tcW w:w="1417" w:type="dxa"/>
          </w:tcPr>
          <w:p w14:paraId="710D1F83" w14:textId="38C5D704" w:rsidR="00B36D6D" w:rsidRPr="009C6FD6" w:rsidRDefault="002F0D1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9-11</w:t>
            </w:r>
          </w:p>
        </w:tc>
      </w:tr>
      <w:tr w:rsidR="00B36D6D" w:rsidRPr="009C6FD6" w14:paraId="3F41CCB8" w14:textId="1F7EE013" w:rsidTr="00BC3998">
        <w:trPr>
          <w:trHeight w:val="276"/>
        </w:trPr>
        <w:tc>
          <w:tcPr>
            <w:tcW w:w="12895" w:type="dxa"/>
            <w:gridSpan w:val="3"/>
            <w:shd w:val="clear" w:color="auto" w:fill="BDD7EE"/>
            <w:vAlign w:val="bottom"/>
          </w:tcPr>
          <w:p w14:paraId="42D9F967"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Results</w:t>
            </w:r>
          </w:p>
        </w:tc>
        <w:tc>
          <w:tcPr>
            <w:tcW w:w="1417" w:type="dxa"/>
            <w:shd w:val="clear" w:color="auto" w:fill="C6D9F1" w:themeFill="text2" w:themeFillTint="33"/>
          </w:tcPr>
          <w:p w14:paraId="6166F990"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695EEF" w14:paraId="510F8ECC" w14:textId="46810026" w:rsidTr="00BC3998">
        <w:trPr>
          <w:trHeight w:val="409"/>
        </w:trPr>
        <w:tc>
          <w:tcPr>
            <w:tcW w:w="2547" w:type="dxa"/>
            <w:vMerge w:val="restart"/>
          </w:tcPr>
          <w:p w14:paraId="5A5782B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Participant flow, including flow diagram</w:t>
            </w:r>
          </w:p>
        </w:tc>
        <w:tc>
          <w:tcPr>
            <w:tcW w:w="992" w:type="dxa"/>
          </w:tcPr>
          <w:p w14:paraId="6A3D7D9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22a</w:t>
            </w:r>
          </w:p>
        </w:tc>
        <w:tc>
          <w:tcPr>
            <w:tcW w:w="9356" w:type="dxa"/>
          </w:tcPr>
          <w:p w14:paraId="5407FA06" w14:textId="61442A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group, the numbers of participants who were randomly assigned, received intended </w:t>
            </w:r>
            <w:r>
              <w:rPr>
                <w:rFonts w:ascii="Calibri" w:eastAsia="Calibri" w:hAnsi="Calibri" w:cs="Calibri"/>
                <w:color w:val="000000"/>
                <w:sz w:val="22"/>
                <w:szCs w:val="22"/>
                <w:lang w:val="en-GB"/>
              </w:rPr>
              <w:t>intervention</w:t>
            </w:r>
            <w:r w:rsidRPr="009C6FD6">
              <w:rPr>
                <w:rFonts w:ascii="Calibri" w:eastAsia="Calibri" w:hAnsi="Calibri" w:cs="Calibri"/>
                <w:color w:val="000000"/>
                <w:sz w:val="22"/>
                <w:szCs w:val="22"/>
                <w:lang w:val="en-GB"/>
              </w:rPr>
              <w:t>, and were analysed for the primary outcome</w:t>
            </w:r>
          </w:p>
        </w:tc>
        <w:tc>
          <w:tcPr>
            <w:tcW w:w="1417" w:type="dxa"/>
          </w:tcPr>
          <w:p w14:paraId="5DEF8ECA" w14:textId="1ABCF6F8" w:rsidR="00B36D6D" w:rsidRPr="00695EEF" w:rsidRDefault="00695EEF">
            <w:pPr>
              <w:spacing w:line="240" w:lineRule="auto"/>
              <w:rPr>
                <w:rFonts w:ascii="Calibri" w:eastAsia="Calibri" w:hAnsi="Calibri" w:cs="Calibri"/>
                <w:color w:val="000000"/>
                <w:sz w:val="22"/>
                <w:szCs w:val="22"/>
                <w:lang w:val="nl-NL"/>
              </w:rPr>
            </w:pPr>
            <w:proofErr w:type="spellStart"/>
            <w:r w:rsidRPr="00695EEF">
              <w:rPr>
                <w:rFonts w:ascii="Calibri" w:eastAsia="Calibri" w:hAnsi="Calibri" w:cs="Calibri"/>
                <w:color w:val="000000"/>
                <w:sz w:val="22"/>
                <w:szCs w:val="22"/>
                <w:lang w:val="nl-NL"/>
              </w:rPr>
              <w:t>Effectiveness</w:t>
            </w:r>
            <w:proofErr w:type="spellEnd"/>
            <w:r w:rsidRPr="00695EEF">
              <w:rPr>
                <w:rFonts w:ascii="Calibri" w:eastAsia="Calibri" w:hAnsi="Calibri" w:cs="Calibri"/>
                <w:color w:val="000000"/>
                <w:sz w:val="22"/>
                <w:szCs w:val="22"/>
                <w:lang w:val="nl-NL"/>
              </w:rPr>
              <w:t xml:space="preserve"> paper</w:t>
            </w:r>
            <w:r>
              <w:rPr>
                <w:rFonts w:ascii="Calibri" w:eastAsia="Calibri" w:hAnsi="Calibri" w:cs="Calibri"/>
                <w:color w:val="000000"/>
                <w:sz w:val="22"/>
                <w:szCs w:val="22"/>
                <w:lang w:val="nl-NL"/>
              </w:rPr>
              <w:t xml:space="preserve"> </w:t>
            </w:r>
            <w:r w:rsidRPr="00695EEF">
              <w:rPr>
                <w:rFonts w:ascii="Calibri" w:eastAsia="Calibri" w:hAnsi="Calibri" w:cs="Calibri"/>
                <w:color w:val="000000"/>
                <w:sz w:val="22"/>
                <w:szCs w:val="22"/>
                <w:lang w:val="nl-NL"/>
              </w:rPr>
              <w:t>Van Gelder et al., 2026</w:t>
            </w:r>
          </w:p>
        </w:tc>
      </w:tr>
      <w:tr w:rsidR="00B36D6D" w:rsidRPr="00695EEF" w14:paraId="2FE65AFD" w14:textId="4A45C52E" w:rsidTr="00BC3998">
        <w:trPr>
          <w:trHeight w:val="189"/>
        </w:trPr>
        <w:tc>
          <w:tcPr>
            <w:tcW w:w="2547" w:type="dxa"/>
            <w:vMerge/>
          </w:tcPr>
          <w:p w14:paraId="5CE6010C" w14:textId="77777777" w:rsidR="00B36D6D" w:rsidRPr="00695EEF"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nl-NL"/>
              </w:rPr>
            </w:pPr>
          </w:p>
        </w:tc>
        <w:tc>
          <w:tcPr>
            <w:tcW w:w="992" w:type="dxa"/>
          </w:tcPr>
          <w:p w14:paraId="7EC31A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22b</w:t>
            </w:r>
          </w:p>
        </w:tc>
        <w:tc>
          <w:tcPr>
            <w:tcW w:w="9356" w:type="dxa"/>
          </w:tcPr>
          <w:p w14:paraId="1DDC84F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For each group, losses and exclusions after randomisation, together with reasons</w:t>
            </w:r>
          </w:p>
        </w:tc>
        <w:tc>
          <w:tcPr>
            <w:tcW w:w="1417" w:type="dxa"/>
          </w:tcPr>
          <w:p w14:paraId="71AA61D4" w14:textId="64517601" w:rsidR="00B36D6D" w:rsidRPr="00695EEF" w:rsidRDefault="00695EEF">
            <w:pPr>
              <w:spacing w:line="240" w:lineRule="auto"/>
              <w:rPr>
                <w:rFonts w:ascii="Calibri" w:eastAsia="Calibri" w:hAnsi="Calibri" w:cs="Calibri"/>
                <w:color w:val="000000"/>
                <w:sz w:val="22"/>
                <w:szCs w:val="22"/>
                <w:lang w:val="nl-NL"/>
              </w:rPr>
            </w:pPr>
            <w:proofErr w:type="spellStart"/>
            <w:r w:rsidRPr="00695EEF">
              <w:rPr>
                <w:rFonts w:ascii="Calibri" w:eastAsia="Calibri" w:hAnsi="Calibri" w:cs="Calibri"/>
                <w:color w:val="000000"/>
                <w:sz w:val="22"/>
                <w:szCs w:val="22"/>
                <w:lang w:val="nl-NL"/>
              </w:rPr>
              <w:t>Effectiveness</w:t>
            </w:r>
            <w:proofErr w:type="spellEnd"/>
            <w:r w:rsidRPr="00695EEF">
              <w:rPr>
                <w:rFonts w:ascii="Calibri" w:eastAsia="Calibri" w:hAnsi="Calibri" w:cs="Calibri"/>
                <w:color w:val="000000"/>
                <w:sz w:val="22"/>
                <w:szCs w:val="22"/>
                <w:lang w:val="nl-NL"/>
              </w:rPr>
              <w:t xml:space="preserve"> paper</w:t>
            </w:r>
            <w:r>
              <w:rPr>
                <w:rFonts w:ascii="Calibri" w:eastAsia="Calibri" w:hAnsi="Calibri" w:cs="Calibri"/>
                <w:color w:val="000000"/>
                <w:sz w:val="22"/>
                <w:szCs w:val="22"/>
                <w:lang w:val="nl-NL"/>
              </w:rPr>
              <w:t xml:space="preserve"> </w:t>
            </w:r>
            <w:r w:rsidRPr="00695EEF">
              <w:rPr>
                <w:rFonts w:ascii="Calibri" w:eastAsia="Calibri" w:hAnsi="Calibri" w:cs="Calibri"/>
                <w:color w:val="000000"/>
                <w:sz w:val="22"/>
                <w:szCs w:val="22"/>
                <w:lang w:val="nl-NL"/>
              </w:rPr>
              <w:t>Van Gelder et al., 2026</w:t>
            </w:r>
          </w:p>
        </w:tc>
      </w:tr>
      <w:tr w:rsidR="00B36D6D" w:rsidRPr="009C6FD6" w14:paraId="59CD0FA1" w14:textId="30780657" w:rsidTr="00BC3998">
        <w:trPr>
          <w:trHeight w:val="221"/>
        </w:trPr>
        <w:tc>
          <w:tcPr>
            <w:tcW w:w="2547" w:type="dxa"/>
            <w:vMerge w:val="restart"/>
          </w:tcPr>
          <w:p w14:paraId="333D728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Recruitment</w:t>
            </w:r>
          </w:p>
        </w:tc>
        <w:tc>
          <w:tcPr>
            <w:tcW w:w="992" w:type="dxa"/>
          </w:tcPr>
          <w:p w14:paraId="575F7DFB"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23a</w:t>
            </w:r>
          </w:p>
        </w:tc>
        <w:tc>
          <w:tcPr>
            <w:tcW w:w="9356" w:type="dxa"/>
          </w:tcPr>
          <w:p w14:paraId="0570F75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Dates defining the periods of recruitment and follow-up for outcomes of benefits and harms</w:t>
            </w:r>
          </w:p>
        </w:tc>
        <w:tc>
          <w:tcPr>
            <w:tcW w:w="1417" w:type="dxa"/>
          </w:tcPr>
          <w:p w14:paraId="0798090E" w14:textId="106175BB" w:rsidR="00B36D6D" w:rsidRPr="009C6FD6" w:rsidRDefault="00695EEF">
            <w:pPr>
              <w:spacing w:line="240" w:lineRule="auto"/>
              <w:rPr>
                <w:rFonts w:ascii="Calibri" w:eastAsia="Calibri" w:hAnsi="Calibri" w:cs="Calibri"/>
                <w:color w:val="000000"/>
                <w:sz w:val="22"/>
                <w:szCs w:val="22"/>
                <w:lang w:val="en-GB"/>
              </w:rPr>
            </w:pPr>
            <w:r w:rsidRPr="00CF0068">
              <w:rPr>
                <w:rFonts w:ascii="Calibri" w:eastAsia="Calibri" w:hAnsi="Calibri" w:cs="Calibri"/>
                <w:color w:val="000000"/>
                <w:sz w:val="22"/>
                <w:szCs w:val="22"/>
              </w:rPr>
              <w:t>Protocol Mertens et al., 2022</w:t>
            </w:r>
          </w:p>
        </w:tc>
      </w:tr>
      <w:tr w:rsidR="00B36D6D" w:rsidRPr="009C6FD6" w14:paraId="09AF0A77" w14:textId="6EA02291" w:rsidTr="00BC3998">
        <w:trPr>
          <w:trHeight w:val="276"/>
        </w:trPr>
        <w:tc>
          <w:tcPr>
            <w:tcW w:w="2547" w:type="dxa"/>
            <w:vMerge/>
          </w:tcPr>
          <w:p w14:paraId="2ADD839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F0DBAC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23b</w:t>
            </w:r>
          </w:p>
        </w:tc>
        <w:tc>
          <w:tcPr>
            <w:tcW w:w="9356" w:type="dxa"/>
          </w:tcPr>
          <w:p w14:paraId="1CC3415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relevant, why the trial ended or was stopped</w:t>
            </w:r>
          </w:p>
        </w:tc>
        <w:tc>
          <w:tcPr>
            <w:tcW w:w="1417" w:type="dxa"/>
          </w:tcPr>
          <w:p w14:paraId="105B15A1" w14:textId="7D39F2EB" w:rsidR="00B36D6D" w:rsidRPr="009C6FD6" w:rsidRDefault="00695EEF">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695EEF" w14:paraId="6606AF75" w14:textId="11598C32" w:rsidTr="00BC3998">
        <w:trPr>
          <w:trHeight w:val="441"/>
        </w:trPr>
        <w:tc>
          <w:tcPr>
            <w:tcW w:w="2547" w:type="dxa"/>
            <w:vMerge w:val="restart"/>
          </w:tcPr>
          <w:p w14:paraId="1B3138DF" w14:textId="6EF71583"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delivery</w:t>
            </w:r>
          </w:p>
        </w:tc>
        <w:tc>
          <w:tcPr>
            <w:tcW w:w="992" w:type="dxa"/>
          </w:tcPr>
          <w:p w14:paraId="4A5F7AF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24a</w:t>
            </w:r>
          </w:p>
        </w:tc>
        <w:tc>
          <w:tcPr>
            <w:tcW w:w="9356" w:type="dxa"/>
          </w:tcPr>
          <w:p w14:paraId="4BFDE352" w14:textId="4785DB30"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as they were actually administered (e.g., where appropriate, who delivered the intervention</w:t>
            </w:r>
            <w:r>
              <w:rPr>
                <w:rFonts w:ascii="Calibri" w:eastAsia="Calibri" w:hAnsi="Calibri" w:cs="Calibri"/>
                <w:color w:val="000000"/>
                <w:sz w:val="22"/>
                <w:szCs w:val="22"/>
                <w:lang w:val="en-GB"/>
              </w:rPr>
              <w:t>/comparator</w:t>
            </w:r>
            <w:r w:rsidRPr="009C6FD6">
              <w:rPr>
                <w:rFonts w:ascii="Calibri" w:eastAsia="Calibri" w:hAnsi="Calibri" w:cs="Calibri"/>
                <w:color w:val="000000"/>
                <w:sz w:val="22"/>
                <w:szCs w:val="22"/>
                <w:lang w:val="en-GB"/>
              </w:rPr>
              <w:t xml:space="preserve">, how participants adhered, whether </w:t>
            </w:r>
            <w:r>
              <w:rPr>
                <w:rFonts w:ascii="Calibri" w:eastAsia="Calibri" w:hAnsi="Calibri" w:cs="Calibri"/>
                <w:color w:val="000000"/>
                <w:sz w:val="22"/>
                <w:szCs w:val="22"/>
                <w:lang w:val="en-GB"/>
              </w:rPr>
              <w:t xml:space="preserve">they were </w:t>
            </w:r>
            <w:r w:rsidRPr="009C6FD6">
              <w:rPr>
                <w:rFonts w:ascii="Calibri" w:eastAsia="Calibri" w:hAnsi="Calibri" w:cs="Calibri"/>
                <w:color w:val="000000"/>
                <w:sz w:val="22"/>
                <w:szCs w:val="22"/>
                <w:lang w:val="en-GB"/>
              </w:rPr>
              <w:t xml:space="preserve">delivered as intended [fidelity]) </w:t>
            </w:r>
          </w:p>
        </w:tc>
        <w:tc>
          <w:tcPr>
            <w:tcW w:w="1417" w:type="dxa"/>
          </w:tcPr>
          <w:p w14:paraId="38817FDB" w14:textId="77777777" w:rsidR="00695EEF" w:rsidRDefault="00695EEF">
            <w:pPr>
              <w:spacing w:line="240" w:lineRule="auto"/>
              <w:rPr>
                <w:rFonts w:ascii="Calibri" w:eastAsia="Calibri" w:hAnsi="Calibri" w:cs="Calibri"/>
                <w:color w:val="000000"/>
                <w:sz w:val="22"/>
                <w:szCs w:val="22"/>
                <w:lang w:val="nl-NL"/>
              </w:rPr>
            </w:pPr>
            <w:r>
              <w:rPr>
                <w:rFonts w:ascii="Calibri" w:eastAsia="Calibri" w:hAnsi="Calibri" w:cs="Calibri"/>
                <w:color w:val="000000"/>
                <w:sz w:val="22"/>
                <w:szCs w:val="22"/>
                <w:lang w:val="nl-NL"/>
              </w:rPr>
              <w:t>7</w:t>
            </w:r>
          </w:p>
          <w:p w14:paraId="4DA1485E" w14:textId="77777777" w:rsidR="00695EEF" w:rsidRDefault="00695EEF">
            <w:pPr>
              <w:spacing w:line="240" w:lineRule="auto"/>
              <w:rPr>
                <w:rFonts w:ascii="Calibri" w:eastAsia="Calibri" w:hAnsi="Calibri" w:cs="Calibri"/>
                <w:color w:val="000000"/>
                <w:sz w:val="22"/>
                <w:szCs w:val="22"/>
                <w:lang w:val="nl-NL"/>
              </w:rPr>
            </w:pPr>
            <w:r>
              <w:rPr>
                <w:rFonts w:ascii="Calibri" w:eastAsia="Calibri" w:hAnsi="Calibri" w:cs="Calibri"/>
                <w:color w:val="000000"/>
                <w:sz w:val="22"/>
                <w:szCs w:val="22"/>
                <w:lang w:val="nl-NL"/>
              </w:rPr>
              <w:t>&amp;</w:t>
            </w:r>
          </w:p>
          <w:p w14:paraId="2D441054" w14:textId="7BFDAB4B" w:rsidR="00B36D6D" w:rsidRDefault="00695EEF">
            <w:pPr>
              <w:spacing w:line="240" w:lineRule="auto"/>
              <w:rPr>
                <w:rFonts w:ascii="Calibri" w:eastAsia="Calibri" w:hAnsi="Calibri" w:cs="Calibri"/>
                <w:color w:val="000000"/>
                <w:sz w:val="22"/>
                <w:szCs w:val="22"/>
                <w:lang w:val="nl-NL"/>
              </w:rPr>
            </w:pPr>
            <w:proofErr w:type="spellStart"/>
            <w:r w:rsidRPr="00695EEF">
              <w:rPr>
                <w:rFonts w:ascii="Calibri" w:eastAsia="Calibri" w:hAnsi="Calibri" w:cs="Calibri"/>
                <w:color w:val="000000"/>
                <w:sz w:val="22"/>
                <w:szCs w:val="22"/>
                <w:lang w:val="nl-NL"/>
              </w:rPr>
              <w:t>Effectiveness</w:t>
            </w:r>
            <w:proofErr w:type="spellEnd"/>
            <w:r w:rsidRPr="00695EEF">
              <w:rPr>
                <w:rFonts w:ascii="Calibri" w:eastAsia="Calibri" w:hAnsi="Calibri" w:cs="Calibri"/>
                <w:color w:val="000000"/>
                <w:sz w:val="22"/>
                <w:szCs w:val="22"/>
                <w:lang w:val="nl-NL"/>
              </w:rPr>
              <w:t xml:space="preserve"> paper</w:t>
            </w:r>
            <w:r>
              <w:rPr>
                <w:rFonts w:ascii="Calibri" w:eastAsia="Calibri" w:hAnsi="Calibri" w:cs="Calibri"/>
                <w:color w:val="000000"/>
                <w:sz w:val="22"/>
                <w:szCs w:val="22"/>
                <w:lang w:val="nl-NL"/>
              </w:rPr>
              <w:t xml:space="preserve"> </w:t>
            </w:r>
            <w:r w:rsidRPr="00695EEF">
              <w:rPr>
                <w:rFonts w:ascii="Calibri" w:eastAsia="Calibri" w:hAnsi="Calibri" w:cs="Calibri"/>
                <w:color w:val="000000"/>
                <w:sz w:val="22"/>
                <w:szCs w:val="22"/>
                <w:lang w:val="nl-NL"/>
              </w:rPr>
              <w:t xml:space="preserve">Van </w:t>
            </w:r>
            <w:r w:rsidRPr="00695EEF">
              <w:rPr>
                <w:rFonts w:ascii="Calibri" w:eastAsia="Calibri" w:hAnsi="Calibri" w:cs="Calibri"/>
                <w:color w:val="000000"/>
                <w:sz w:val="22"/>
                <w:szCs w:val="22"/>
                <w:lang w:val="nl-NL"/>
              </w:rPr>
              <w:lastRenderedPageBreak/>
              <w:t>Gelder et al., 2026</w:t>
            </w:r>
          </w:p>
          <w:p w14:paraId="33641150" w14:textId="73050685" w:rsidR="00695EEF" w:rsidRPr="00695EEF" w:rsidRDefault="00695EEF">
            <w:pPr>
              <w:spacing w:line="240" w:lineRule="auto"/>
              <w:rPr>
                <w:rFonts w:ascii="Calibri" w:eastAsia="Calibri" w:hAnsi="Calibri" w:cs="Calibri"/>
                <w:color w:val="000000"/>
                <w:sz w:val="22"/>
                <w:szCs w:val="22"/>
                <w:lang w:val="nl-NL"/>
              </w:rPr>
            </w:pPr>
          </w:p>
        </w:tc>
      </w:tr>
      <w:tr w:rsidR="00B36D6D" w:rsidRPr="009C6FD6" w14:paraId="033933B9" w14:textId="20F8F7EA" w:rsidTr="00BC3998">
        <w:trPr>
          <w:trHeight w:val="243"/>
        </w:trPr>
        <w:tc>
          <w:tcPr>
            <w:tcW w:w="2547" w:type="dxa"/>
            <w:vMerge/>
          </w:tcPr>
          <w:p w14:paraId="29860036" w14:textId="77777777" w:rsidR="00B36D6D" w:rsidRPr="00695EEF"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nl-NL"/>
              </w:rPr>
            </w:pPr>
          </w:p>
        </w:tc>
        <w:tc>
          <w:tcPr>
            <w:tcW w:w="992" w:type="dxa"/>
          </w:tcPr>
          <w:p w14:paraId="14C2CFE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24b</w:t>
            </w:r>
          </w:p>
        </w:tc>
        <w:tc>
          <w:tcPr>
            <w:tcW w:w="9356" w:type="dxa"/>
          </w:tcPr>
          <w:p w14:paraId="10AE211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Concomitant care received during the trial for each group</w:t>
            </w:r>
          </w:p>
        </w:tc>
        <w:tc>
          <w:tcPr>
            <w:tcW w:w="1417" w:type="dxa"/>
          </w:tcPr>
          <w:p w14:paraId="0A4B9B49" w14:textId="7BB95564" w:rsidR="00B36D6D" w:rsidRPr="009C6FD6" w:rsidRDefault="00695EEF">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3F6DFC5" w14:textId="1190F9BE" w:rsidTr="00BC3998">
        <w:trPr>
          <w:trHeight w:val="243"/>
        </w:trPr>
        <w:tc>
          <w:tcPr>
            <w:tcW w:w="2547" w:type="dxa"/>
          </w:tcPr>
          <w:p w14:paraId="4482000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Baseline data</w:t>
            </w:r>
          </w:p>
        </w:tc>
        <w:tc>
          <w:tcPr>
            <w:tcW w:w="992" w:type="dxa"/>
          </w:tcPr>
          <w:p w14:paraId="4A489CE9"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25</w:t>
            </w:r>
          </w:p>
        </w:tc>
        <w:tc>
          <w:tcPr>
            <w:tcW w:w="9356" w:type="dxa"/>
          </w:tcPr>
          <w:p w14:paraId="5EB86B3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 table showing baseline demographic and clinical characteristics for each group</w:t>
            </w:r>
          </w:p>
        </w:tc>
        <w:tc>
          <w:tcPr>
            <w:tcW w:w="1417" w:type="dxa"/>
          </w:tcPr>
          <w:p w14:paraId="01C9A6AC" w14:textId="761E98FC" w:rsidR="00B36D6D" w:rsidRPr="009C6FD6" w:rsidRDefault="00695EEF">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695EEF" w14:paraId="7EA4CB43" w14:textId="300BD440" w:rsidTr="00BC3998">
        <w:trPr>
          <w:trHeight w:val="416"/>
        </w:trPr>
        <w:tc>
          <w:tcPr>
            <w:tcW w:w="2547" w:type="dxa"/>
          </w:tcPr>
          <w:p w14:paraId="10F375E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Numbers analysed, </w:t>
            </w:r>
          </w:p>
          <w:p w14:paraId="66FE5FD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 and estimation</w:t>
            </w:r>
          </w:p>
        </w:tc>
        <w:tc>
          <w:tcPr>
            <w:tcW w:w="992" w:type="dxa"/>
          </w:tcPr>
          <w:p w14:paraId="47AF241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26</w:t>
            </w:r>
          </w:p>
        </w:tc>
        <w:tc>
          <w:tcPr>
            <w:tcW w:w="9356" w:type="dxa"/>
          </w:tcPr>
          <w:p w14:paraId="2508DC5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primary and secondary outcome, by group: </w:t>
            </w:r>
          </w:p>
          <w:p w14:paraId="5FFA398B"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the number of participants included in the analysis </w:t>
            </w:r>
          </w:p>
          <w:p w14:paraId="1D7E62F7"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the number of participants with available data at the outcome time point</w:t>
            </w:r>
          </w:p>
          <w:p w14:paraId="14A74C90"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result for each group, and the estimated effect size and its precision (such as 95% confidence interval) </w:t>
            </w:r>
          </w:p>
          <w:p w14:paraId="7130F7F1" w14:textId="77777777" w:rsidR="00B36D6D" w:rsidRPr="009C6FD6" w:rsidRDefault="00B36D6D" w:rsidP="0003760B">
            <w:pPr>
              <w:numPr>
                <w:ilvl w:val="0"/>
                <w:numId w:val="4"/>
              </w:numPr>
              <w:spacing w:after="160" w:line="240" w:lineRule="auto"/>
              <w:rPr>
                <w:color w:val="000000"/>
                <w:sz w:val="22"/>
                <w:szCs w:val="22"/>
                <w:lang w:val="en-GB"/>
              </w:rPr>
            </w:pPr>
            <w:r w:rsidRPr="009C6FD6">
              <w:rPr>
                <w:rFonts w:ascii="Calibri" w:eastAsia="Calibri" w:hAnsi="Calibri" w:cs="Calibri"/>
                <w:color w:val="000000"/>
                <w:sz w:val="22"/>
                <w:szCs w:val="22"/>
                <w:lang w:val="en-GB"/>
              </w:rPr>
              <w:t xml:space="preserve">for binary outcomes, presentation of both absolute and relative effect size </w:t>
            </w:r>
          </w:p>
        </w:tc>
        <w:tc>
          <w:tcPr>
            <w:tcW w:w="1417" w:type="dxa"/>
          </w:tcPr>
          <w:p w14:paraId="21A03816" w14:textId="77777777" w:rsidR="00695EEF" w:rsidRDefault="00695EEF" w:rsidP="00695EEF">
            <w:pPr>
              <w:spacing w:line="240" w:lineRule="auto"/>
              <w:rPr>
                <w:rFonts w:ascii="Calibri" w:eastAsia="Calibri" w:hAnsi="Calibri" w:cs="Calibri"/>
                <w:color w:val="000000"/>
                <w:sz w:val="22"/>
                <w:szCs w:val="22"/>
                <w:lang w:val="nl-NL"/>
              </w:rPr>
            </w:pPr>
            <w:proofErr w:type="spellStart"/>
            <w:r w:rsidRPr="00695EEF">
              <w:rPr>
                <w:rFonts w:ascii="Calibri" w:eastAsia="Calibri" w:hAnsi="Calibri" w:cs="Calibri"/>
                <w:color w:val="000000"/>
                <w:sz w:val="22"/>
                <w:szCs w:val="22"/>
                <w:lang w:val="nl-NL"/>
              </w:rPr>
              <w:t>Effectiveness</w:t>
            </w:r>
            <w:proofErr w:type="spellEnd"/>
            <w:r w:rsidRPr="00695EEF">
              <w:rPr>
                <w:rFonts w:ascii="Calibri" w:eastAsia="Calibri" w:hAnsi="Calibri" w:cs="Calibri"/>
                <w:color w:val="000000"/>
                <w:sz w:val="22"/>
                <w:szCs w:val="22"/>
                <w:lang w:val="nl-NL"/>
              </w:rPr>
              <w:t xml:space="preserve"> paper</w:t>
            </w:r>
            <w:r>
              <w:rPr>
                <w:rFonts w:ascii="Calibri" w:eastAsia="Calibri" w:hAnsi="Calibri" w:cs="Calibri"/>
                <w:color w:val="000000"/>
                <w:sz w:val="22"/>
                <w:szCs w:val="22"/>
                <w:lang w:val="nl-NL"/>
              </w:rPr>
              <w:t xml:space="preserve"> </w:t>
            </w:r>
            <w:r w:rsidRPr="00695EEF">
              <w:rPr>
                <w:rFonts w:ascii="Calibri" w:eastAsia="Calibri" w:hAnsi="Calibri" w:cs="Calibri"/>
                <w:color w:val="000000"/>
                <w:sz w:val="22"/>
                <w:szCs w:val="22"/>
                <w:lang w:val="nl-NL"/>
              </w:rPr>
              <w:t>Van Gelder et al., 2026</w:t>
            </w:r>
          </w:p>
          <w:p w14:paraId="50DA64D5" w14:textId="77777777" w:rsidR="00B36D6D" w:rsidRPr="00695EEF" w:rsidRDefault="00B36D6D">
            <w:pPr>
              <w:spacing w:line="240" w:lineRule="auto"/>
              <w:rPr>
                <w:rFonts w:ascii="Calibri" w:eastAsia="Calibri" w:hAnsi="Calibri" w:cs="Calibri"/>
                <w:color w:val="000000"/>
                <w:sz w:val="22"/>
                <w:szCs w:val="22"/>
                <w:lang w:val="nl-NL"/>
              </w:rPr>
            </w:pPr>
          </w:p>
        </w:tc>
      </w:tr>
      <w:tr w:rsidR="00B36D6D" w:rsidRPr="009C6FD6" w14:paraId="313A3717" w14:textId="655B1818" w:rsidTr="00BC3998">
        <w:trPr>
          <w:trHeight w:val="204"/>
        </w:trPr>
        <w:tc>
          <w:tcPr>
            <w:tcW w:w="2547" w:type="dxa"/>
          </w:tcPr>
          <w:p w14:paraId="1316CD2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6CC8A50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27</w:t>
            </w:r>
          </w:p>
        </w:tc>
        <w:tc>
          <w:tcPr>
            <w:tcW w:w="9356" w:type="dxa"/>
          </w:tcPr>
          <w:p w14:paraId="687024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All harms or unintended events in each group </w:t>
            </w:r>
          </w:p>
        </w:tc>
        <w:tc>
          <w:tcPr>
            <w:tcW w:w="1417" w:type="dxa"/>
          </w:tcPr>
          <w:p w14:paraId="72B82CF4" w14:textId="5E46FC42" w:rsidR="00B36D6D" w:rsidRPr="009C6FD6" w:rsidRDefault="00461259">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6C77604" w14:textId="1EA17D7C" w:rsidTr="00BC3998">
        <w:trPr>
          <w:trHeight w:val="416"/>
        </w:trPr>
        <w:tc>
          <w:tcPr>
            <w:tcW w:w="2547" w:type="dxa"/>
          </w:tcPr>
          <w:p w14:paraId="216037D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Ancillary analyses</w:t>
            </w:r>
          </w:p>
        </w:tc>
        <w:tc>
          <w:tcPr>
            <w:tcW w:w="992" w:type="dxa"/>
          </w:tcPr>
          <w:p w14:paraId="034AD55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28</w:t>
            </w:r>
          </w:p>
        </w:tc>
        <w:tc>
          <w:tcPr>
            <w:tcW w:w="9356" w:type="dxa"/>
          </w:tcPr>
          <w:p w14:paraId="68E7918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Any other analyses performed, including subgroup and sensitivity analyses, distinguishing pre-specified from post-hoc</w:t>
            </w:r>
          </w:p>
        </w:tc>
        <w:tc>
          <w:tcPr>
            <w:tcW w:w="1417" w:type="dxa"/>
          </w:tcPr>
          <w:p w14:paraId="3457C6CE" w14:textId="19643B71" w:rsidR="00B36D6D" w:rsidRPr="009C6FD6" w:rsidRDefault="00461259">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10 &amp; 13</w:t>
            </w:r>
          </w:p>
        </w:tc>
      </w:tr>
      <w:tr w:rsidR="00B36D6D" w:rsidRPr="009C6FD6" w14:paraId="17517AC6" w14:textId="26728EA0" w:rsidTr="00BC3998">
        <w:trPr>
          <w:trHeight w:val="276"/>
        </w:trPr>
        <w:tc>
          <w:tcPr>
            <w:tcW w:w="12895" w:type="dxa"/>
            <w:gridSpan w:val="3"/>
            <w:shd w:val="clear" w:color="auto" w:fill="BDD7EE"/>
          </w:tcPr>
          <w:p w14:paraId="7D072CE0"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Discussion</w:t>
            </w:r>
          </w:p>
        </w:tc>
        <w:tc>
          <w:tcPr>
            <w:tcW w:w="1417" w:type="dxa"/>
            <w:shd w:val="clear" w:color="auto" w:fill="C6D9F1" w:themeFill="text2" w:themeFillTint="33"/>
          </w:tcPr>
          <w:p w14:paraId="13D65609"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6AC46E8" w14:textId="20AF5CCE" w:rsidTr="00BC3998">
        <w:trPr>
          <w:trHeight w:val="281"/>
        </w:trPr>
        <w:tc>
          <w:tcPr>
            <w:tcW w:w="2547" w:type="dxa"/>
          </w:tcPr>
          <w:p w14:paraId="2BDFB8E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w:t>
            </w:r>
          </w:p>
        </w:tc>
        <w:tc>
          <w:tcPr>
            <w:tcW w:w="992" w:type="dxa"/>
          </w:tcPr>
          <w:p w14:paraId="40C527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29</w:t>
            </w:r>
          </w:p>
        </w:tc>
        <w:tc>
          <w:tcPr>
            <w:tcW w:w="9356" w:type="dxa"/>
          </w:tcPr>
          <w:p w14:paraId="6689FC9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 consistent with results, balancing benefits and harms, and considering other relevant evidence</w:t>
            </w:r>
          </w:p>
        </w:tc>
        <w:tc>
          <w:tcPr>
            <w:tcW w:w="1417" w:type="dxa"/>
          </w:tcPr>
          <w:p w14:paraId="028813E5" w14:textId="7C857980" w:rsidR="00B36D6D" w:rsidRPr="009C6FD6" w:rsidRDefault="00461259">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17-19</w:t>
            </w:r>
          </w:p>
        </w:tc>
      </w:tr>
      <w:tr w:rsidR="00B36D6D" w:rsidRPr="009C6FD6" w14:paraId="29285F40" w14:textId="396FEF7D" w:rsidTr="00BC3998">
        <w:trPr>
          <w:trHeight w:val="281"/>
        </w:trPr>
        <w:tc>
          <w:tcPr>
            <w:tcW w:w="2547" w:type="dxa"/>
          </w:tcPr>
          <w:p w14:paraId="2A291D8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Limitations</w:t>
            </w:r>
          </w:p>
        </w:tc>
        <w:tc>
          <w:tcPr>
            <w:tcW w:w="992" w:type="dxa"/>
          </w:tcPr>
          <w:p w14:paraId="065DB4E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30</w:t>
            </w:r>
          </w:p>
        </w:tc>
        <w:tc>
          <w:tcPr>
            <w:tcW w:w="9356" w:type="dxa"/>
          </w:tcPr>
          <w:p w14:paraId="53F2EAD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limitations, addressing sources of potential bias, imprecision, generalisability, and, if relevant, multiplicity of analyses</w:t>
            </w:r>
          </w:p>
        </w:tc>
        <w:tc>
          <w:tcPr>
            <w:tcW w:w="1417" w:type="dxa"/>
          </w:tcPr>
          <w:p w14:paraId="16436A34" w14:textId="6F516D60" w:rsidR="00B36D6D" w:rsidRPr="009C6FD6" w:rsidRDefault="00461259">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19-20</w:t>
            </w:r>
          </w:p>
        </w:tc>
      </w:tr>
    </w:tbl>
    <w:p w14:paraId="306C2FFA" w14:textId="15CB366F" w:rsidR="00205372" w:rsidRDefault="00205372" w:rsidP="00B36D6D">
      <w:pPr>
        <w:spacing w:line="240" w:lineRule="auto"/>
        <w:rPr>
          <w:rFonts w:ascii="Calibri" w:hAnsi="Calibri" w:cs="Calibri"/>
          <w:b/>
          <w:sz w:val="22"/>
          <w:szCs w:val="22"/>
          <w:lang w:val="en-GB"/>
        </w:rPr>
      </w:pPr>
    </w:p>
    <w:p w14:paraId="7222F6F7" w14:textId="77777777"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r:id="rId8" w:history="1">
        <w:r w:rsidRPr="00BC3998">
          <w:rPr>
            <w:rStyle w:val="Hyperlink"/>
            <w:rFonts w:ascii="Calibri" w:hAnsi="Calibri" w:cs="Calibri"/>
            <w:color w:val="0070C0"/>
            <w:sz w:val="20"/>
          </w:rPr>
          <w:t>www.consort-spirit.org</w:t>
        </w:r>
      </w:hyperlink>
      <w:r w:rsidRPr="00BC3998">
        <w:rPr>
          <w:rFonts w:ascii="Calibri" w:hAnsi="Calibri" w:cs="Calibri"/>
          <w:color w:val="0070C0"/>
          <w:sz w:val="20"/>
        </w:rPr>
        <w:t>.</w:t>
      </w:r>
    </w:p>
    <w:p w14:paraId="42695FFC" w14:textId="77777777" w:rsidR="00B36D6D" w:rsidRPr="00B36D6D" w:rsidRDefault="00B36D6D" w:rsidP="00B36D6D">
      <w:pPr>
        <w:spacing w:line="240" w:lineRule="auto"/>
        <w:rPr>
          <w:rFonts w:ascii="Calibri" w:hAnsi="Calibri" w:cs="Calibri"/>
          <w:b/>
          <w:sz w:val="20"/>
          <w:szCs w:val="20"/>
          <w:lang w:val="en-GB"/>
        </w:rPr>
      </w:pPr>
    </w:p>
    <w:p w14:paraId="510D033D" w14:textId="40D56C70"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Citation: Hopewell S, Chan AW, Collins GS, Hróbjartsson A, Moher D, Schulz KF, et al. CONSORT 2025 Statement: updated guideline for reporting randomised trials. BMJ. 2025; 388:e081123. </w:t>
      </w:r>
      <w:hyperlink r:id="rId9" w:history="1">
        <w:r w:rsidRPr="00BC3998">
          <w:rPr>
            <w:rStyle w:val="Hyperlink"/>
            <w:rFonts w:ascii="Calibri" w:hAnsi="Calibri" w:cs="Calibri"/>
            <w:color w:val="0070C0"/>
            <w:sz w:val="20"/>
          </w:rPr>
          <w:t>https://dx.doi.org/10.1136/bmj-2024-081123</w:t>
        </w:r>
      </w:hyperlink>
      <w:r w:rsidR="00BC3998">
        <w:rPr>
          <w:rFonts w:ascii="Calibri" w:hAnsi="Calibri" w:cs="Calibri"/>
          <w:color w:val="0070C0"/>
          <w:sz w:val="20"/>
        </w:rPr>
        <w:t>.</w:t>
      </w:r>
      <w:r w:rsidRPr="00BC3998">
        <w:rPr>
          <w:rFonts w:ascii="Calibri" w:hAnsi="Calibri" w:cs="Calibri"/>
          <w:color w:val="0070C0"/>
          <w:sz w:val="20"/>
        </w:rPr>
        <w:t xml:space="preserve"> </w:t>
      </w:r>
    </w:p>
    <w:p w14:paraId="0B985716" w14:textId="5F9422EF"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br/>
        <w:t>© 2025 Hopewell et al. This is an Open Access article distributed under the terms of the Creative Commons Attribution License (</w:t>
      </w:r>
      <w:hyperlink r:id="rId10" w:history="1">
        <w:r w:rsidRPr="002667FC">
          <w:rPr>
            <w:rStyle w:val="Hyperlink"/>
            <w:rFonts w:ascii="Calibri" w:hAnsi="Calibri" w:cs="Calibri"/>
            <w:color w:val="0070C0"/>
            <w:sz w:val="20"/>
          </w:rPr>
          <w:t>https://creativecommons.org/licenses/by/4.0/</w:t>
        </w:r>
      </w:hyperlink>
      <w:r w:rsidRPr="00B36D6D">
        <w:rPr>
          <w:rFonts w:ascii="Calibri" w:hAnsi="Calibri" w:cs="Calibri"/>
          <w:sz w:val="20"/>
        </w:rPr>
        <w:t>), which permits unrestricted use, distribution, and reproduction in any medium, provided the original work is properly cited.</w:t>
      </w:r>
    </w:p>
    <w:sectPr w:rsidR="00B36D6D" w:rsidRPr="00B36D6D" w:rsidSect="00B36D6D">
      <w:footerReference w:type="default" r:id="rId11"/>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2DA9E" w14:textId="77777777" w:rsidR="00FA19C3" w:rsidRDefault="00FA19C3" w:rsidP="00B70CED">
      <w:pPr>
        <w:spacing w:line="240" w:lineRule="auto"/>
      </w:pPr>
      <w:r>
        <w:separator/>
      </w:r>
    </w:p>
  </w:endnote>
  <w:endnote w:type="continuationSeparator" w:id="0">
    <w:p w14:paraId="4A9B65DC" w14:textId="77777777" w:rsidR="00FA19C3" w:rsidRDefault="00FA19C3" w:rsidP="00B70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78763"/>
      <w:docPartObj>
        <w:docPartGallery w:val="Page Numbers (Bottom of Page)"/>
        <w:docPartUnique/>
      </w:docPartObj>
    </w:sdtPr>
    <w:sdtEndPr>
      <w:rPr>
        <w:noProof/>
      </w:rPr>
    </w:sdtEndPr>
    <w:sdtContent>
      <w:p w14:paraId="4E24581E" w14:textId="48E1E977" w:rsidR="005D36BA" w:rsidRDefault="005D36BA">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651BCB0A" w14:textId="77777777" w:rsidR="005D36BA" w:rsidRDefault="005D36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FB2D" w14:textId="77777777" w:rsidR="00FA19C3" w:rsidRDefault="00FA19C3" w:rsidP="00B70CED">
      <w:pPr>
        <w:spacing w:line="240" w:lineRule="auto"/>
      </w:pPr>
      <w:r>
        <w:separator/>
      </w:r>
    </w:p>
  </w:footnote>
  <w:footnote w:type="continuationSeparator" w:id="0">
    <w:p w14:paraId="4A3A0FDD" w14:textId="77777777" w:rsidR="00FA19C3" w:rsidRDefault="00FA19C3" w:rsidP="00B70C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1AA"/>
    <w:multiLevelType w:val="hybridMultilevel"/>
    <w:tmpl w:val="385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928"/>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747629"/>
    <w:multiLevelType w:val="multilevel"/>
    <w:tmpl w:val="FA4C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04ED5"/>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A4792A"/>
    <w:multiLevelType w:val="multilevel"/>
    <w:tmpl w:val="19A40FF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EC3680"/>
    <w:multiLevelType w:val="multilevel"/>
    <w:tmpl w:val="3682A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3551E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B40E6A"/>
    <w:multiLevelType w:val="multilevel"/>
    <w:tmpl w:val="57748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BE25DE"/>
    <w:multiLevelType w:val="multilevel"/>
    <w:tmpl w:val="C8144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6B43C3"/>
    <w:multiLevelType w:val="multilevel"/>
    <w:tmpl w:val="8E18A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74F56C1"/>
    <w:multiLevelType w:val="multilevel"/>
    <w:tmpl w:val="DED4F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956410D"/>
    <w:multiLevelType w:val="multilevel"/>
    <w:tmpl w:val="BAFA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710E4B"/>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7D5873"/>
    <w:multiLevelType w:val="multilevel"/>
    <w:tmpl w:val="F182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297ADA"/>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E847482"/>
    <w:multiLevelType w:val="multilevel"/>
    <w:tmpl w:val="EB4A0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38F6A3E"/>
    <w:multiLevelType w:val="multilevel"/>
    <w:tmpl w:val="20A025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4563540"/>
    <w:multiLevelType w:val="multilevel"/>
    <w:tmpl w:val="264A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EA65EE"/>
    <w:multiLevelType w:val="multilevel"/>
    <w:tmpl w:val="48DA3A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6332F3"/>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BC85C7F"/>
    <w:multiLevelType w:val="multilevel"/>
    <w:tmpl w:val="7D021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04490F"/>
    <w:multiLevelType w:val="multilevel"/>
    <w:tmpl w:val="FDBC9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DA71A74"/>
    <w:multiLevelType w:val="multilevel"/>
    <w:tmpl w:val="F24C1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146FC0"/>
    <w:multiLevelType w:val="multilevel"/>
    <w:tmpl w:val="C94CE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DA138A"/>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3462FE9"/>
    <w:multiLevelType w:val="multilevel"/>
    <w:tmpl w:val="8E42E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4B1346C"/>
    <w:multiLevelType w:val="multilevel"/>
    <w:tmpl w:val="A72CE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9BA58DF"/>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B4741B4"/>
    <w:multiLevelType w:val="multilevel"/>
    <w:tmpl w:val="9A785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C2E6404"/>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EAC1CA0"/>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F641F10"/>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2A16ADB"/>
    <w:multiLevelType w:val="multilevel"/>
    <w:tmpl w:val="33304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8B225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5EE0DB9"/>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8150CFF"/>
    <w:multiLevelType w:val="multilevel"/>
    <w:tmpl w:val="9766B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621D6C"/>
    <w:multiLevelType w:val="multilevel"/>
    <w:tmpl w:val="CD2C8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55679A0"/>
    <w:multiLevelType w:val="multilevel"/>
    <w:tmpl w:val="842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B037D4"/>
    <w:multiLevelType w:val="multilevel"/>
    <w:tmpl w:val="01661F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B7B54AC"/>
    <w:multiLevelType w:val="multilevel"/>
    <w:tmpl w:val="278A5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CEF03A7"/>
    <w:multiLevelType w:val="multilevel"/>
    <w:tmpl w:val="8A02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D096920"/>
    <w:multiLevelType w:val="multilevel"/>
    <w:tmpl w:val="7760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5E3F5302"/>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65095829"/>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63E2AF6"/>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D74F0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9AE0257"/>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D8E355D"/>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EEE00C7"/>
    <w:multiLevelType w:val="multilevel"/>
    <w:tmpl w:val="0318ED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A607C3"/>
    <w:multiLevelType w:val="multilevel"/>
    <w:tmpl w:val="E5FA6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C3C6C86"/>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F05309B"/>
    <w:multiLevelType w:val="multilevel"/>
    <w:tmpl w:val="B92A3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1989454">
    <w:abstractNumId w:val="25"/>
  </w:num>
  <w:num w:numId="2" w16cid:durableId="52630134">
    <w:abstractNumId w:val="51"/>
  </w:num>
  <w:num w:numId="3" w16cid:durableId="1504466151">
    <w:abstractNumId w:val="11"/>
  </w:num>
  <w:num w:numId="4" w16cid:durableId="423378145">
    <w:abstractNumId w:val="8"/>
  </w:num>
  <w:num w:numId="5" w16cid:durableId="126514983">
    <w:abstractNumId w:val="31"/>
  </w:num>
  <w:num w:numId="6" w16cid:durableId="1852141898">
    <w:abstractNumId w:val="5"/>
  </w:num>
  <w:num w:numId="7" w16cid:durableId="840435634">
    <w:abstractNumId w:val="36"/>
  </w:num>
  <w:num w:numId="8" w16cid:durableId="2060663774">
    <w:abstractNumId w:val="30"/>
  </w:num>
  <w:num w:numId="9" w16cid:durableId="1609124280">
    <w:abstractNumId w:val="16"/>
  </w:num>
  <w:num w:numId="10" w16cid:durableId="1151290203">
    <w:abstractNumId w:val="48"/>
  </w:num>
  <w:num w:numId="11" w16cid:durableId="142936646">
    <w:abstractNumId w:val="40"/>
  </w:num>
  <w:num w:numId="12" w16cid:durableId="165219399">
    <w:abstractNumId w:val="37"/>
  </w:num>
  <w:num w:numId="13" w16cid:durableId="622539090">
    <w:abstractNumId w:val="41"/>
  </w:num>
  <w:num w:numId="14" w16cid:durableId="2010980751">
    <w:abstractNumId w:val="18"/>
  </w:num>
  <w:num w:numId="15" w16cid:durableId="1049571710">
    <w:abstractNumId w:val="39"/>
  </w:num>
  <w:num w:numId="16" w16cid:durableId="54813659">
    <w:abstractNumId w:val="23"/>
  </w:num>
  <w:num w:numId="17" w16cid:durableId="1177302579">
    <w:abstractNumId w:val="1"/>
  </w:num>
  <w:num w:numId="18" w16cid:durableId="988948430">
    <w:abstractNumId w:val="22"/>
  </w:num>
  <w:num w:numId="19" w16cid:durableId="118378425">
    <w:abstractNumId w:val="50"/>
  </w:num>
  <w:num w:numId="20" w16cid:durableId="308831130">
    <w:abstractNumId w:val="27"/>
  </w:num>
  <w:num w:numId="21" w16cid:durableId="554660578">
    <w:abstractNumId w:val="38"/>
  </w:num>
  <w:num w:numId="22" w16cid:durableId="97260069">
    <w:abstractNumId w:val="4"/>
  </w:num>
  <w:num w:numId="23" w16cid:durableId="13894670">
    <w:abstractNumId w:val="20"/>
  </w:num>
  <w:num w:numId="24" w16cid:durableId="1519082156">
    <w:abstractNumId w:val="24"/>
  </w:num>
  <w:num w:numId="25" w16cid:durableId="2034963031">
    <w:abstractNumId w:val="9"/>
  </w:num>
  <w:num w:numId="26" w16cid:durableId="1804075111">
    <w:abstractNumId w:val="10"/>
  </w:num>
  <w:num w:numId="27" w16cid:durableId="45841405">
    <w:abstractNumId w:val="32"/>
  </w:num>
  <w:num w:numId="28" w16cid:durableId="2047829987">
    <w:abstractNumId w:val="7"/>
  </w:num>
  <w:num w:numId="29" w16cid:durableId="234902324">
    <w:abstractNumId w:val="17"/>
  </w:num>
  <w:num w:numId="30" w16cid:durableId="536554219">
    <w:abstractNumId w:val="26"/>
  </w:num>
  <w:num w:numId="31" w16cid:durableId="1090197286">
    <w:abstractNumId w:val="35"/>
  </w:num>
  <w:num w:numId="32" w16cid:durableId="434440709">
    <w:abstractNumId w:val="49"/>
  </w:num>
  <w:num w:numId="33" w16cid:durableId="1549955446">
    <w:abstractNumId w:val="15"/>
  </w:num>
  <w:num w:numId="34" w16cid:durableId="1082917385">
    <w:abstractNumId w:val="21"/>
  </w:num>
  <w:num w:numId="35" w16cid:durableId="1273973297">
    <w:abstractNumId w:val="13"/>
  </w:num>
  <w:num w:numId="36" w16cid:durableId="1016887373">
    <w:abstractNumId w:val="14"/>
  </w:num>
  <w:num w:numId="37" w16cid:durableId="2036534242">
    <w:abstractNumId w:val="29"/>
  </w:num>
  <w:num w:numId="38" w16cid:durableId="283079654">
    <w:abstractNumId w:val="34"/>
  </w:num>
  <w:num w:numId="39" w16cid:durableId="260916623">
    <w:abstractNumId w:val="47"/>
  </w:num>
  <w:num w:numId="40" w16cid:durableId="1783455087">
    <w:abstractNumId w:val="28"/>
  </w:num>
  <w:num w:numId="41" w16cid:durableId="1387559046">
    <w:abstractNumId w:val="2"/>
  </w:num>
  <w:num w:numId="42" w16cid:durableId="1679576847">
    <w:abstractNumId w:val="46"/>
  </w:num>
  <w:num w:numId="43" w16cid:durableId="2040692669">
    <w:abstractNumId w:val="19"/>
  </w:num>
  <w:num w:numId="44" w16cid:durableId="1697924831">
    <w:abstractNumId w:val="33"/>
  </w:num>
  <w:num w:numId="45" w16cid:durableId="1532454198">
    <w:abstractNumId w:val="6"/>
  </w:num>
  <w:num w:numId="46" w16cid:durableId="528419731">
    <w:abstractNumId w:val="45"/>
  </w:num>
  <w:num w:numId="47" w16cid:durableId="589697576">
    <w:abstractNumId w:val="44"/>
  </w:num>
  <w:num w:numId="48" w16cid:durableId="1226524354">
    <w:abstractNumId w:val="3"/>
  </w:num>
  <w:num w:numId="49" w16cid:durableId="1888763175">
    <w:abstractNumId w:val="43"/>
  </w:num>
  <w:num w:numId="50" w16cid:durableId="229271976">
    <w:abstractNumId w:val="42"/>
  </w:num>
  <w:num w:numId="51" w16cid:durableId="716705600">
    <w:abstractNumId w:val="12"/>
  </w:num>
  <w:num w:numId="52" w16cid:durableId="97348914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0D18"/>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1259"/>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5EEF"/>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47C"/>
    <w:rsid w:val="00937CA1"/>
    <w:rsid w:val="00951344"/>
    <w:rsid w:val="00954032"/>
    <w:rsid w:val="00964968"/>
    <w:rsid w:val="0097367D"/>
    <w:rsid w:val="00976133"/>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0068"/>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4A9B"/>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19C3"/>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4D10"/>
  <w15:docId w15:val="{4CB01928-5386-48D0-BA2C-1950B56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333333"/>
        <w:sz w:val="24"/>
        <w:szCs w:val="24"/>
        <w:lang w:val="en-US"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spacing w:after="160" w:line="259" w:lineRule="auto"/>
      <w:outlineLvl w:val="0"/>
    </w:pPr>
    <w:rPr>
      <w:rFonts w:ascii="Calibri" w:eastAsia="Calibri" w:hAnsi="Calibri" w:cs="Calibri"/>
      <w:b/>
      <w:color w:val="000000"/>
      <w:sz w:val="22"/>
      <w:szCs w:val="22"/>
    </w:rPr>
  </w:style>
  <w:style w:type="paragraph" w:styleId="Kop2">
    <w:name w:val="heading 2"/>
    <w:basedOn w:val="Standaard"/>
    <w:next w:val="Standaard"/>
    <w:uiPriority w:val="9"/>
    <w:semiHidden/>
    <w:unhideWhenUsed/>
    <w:qFormat/>
    <w:pPr>
      <w:keepNext/>
      <w:keepLines/>
      <w:spacing w:before="40"/>
      <w:outlineLvl w:val="1"/>
    </w:pPr>
    <w:rPr>
      <w:rFonts w:ascii="Calibri" w:eastAsia="Calibri" w:hAnsi="Calibri" w:cs="Calibri"/>
      <w:color w:val="2F5496"/>
      <w:sz w:val="26"/>
      <w:szCs w:val="2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Standaardtabel"/>
    <w:pPr>
      <w:spacing w:line="240" w:lineRule="auto"/>
    </w:pPr>
    <w:tblPr>
      <w:tblStyleRowBandSize w:val="1"/>
      <w:tblStyleColBandSize w:val="1"/>
    </w:tblPr>
  </w:style>
  <w:style w:type="table" w:customStyle="1" w:styleId="a0">
    <w:basedOn w:val="Standaardtabel"/>
    <w:tblPr>
      <w:tblStyleRowBandSize w:val="1"/>
      <w:tblStyleColBandSize w:val="1"/>
      <w:tblCellMar>
        <w:left w:w="115" w:type="dxa"/>
        <w:right w:w="115" w:type="dxa"/>
      </w:tblCellMar>
    </w:tblPr>
  </w:style>
  <w:style w:type="table" w:customStyle="1" w:styleId="a1">
    <w:basedOn w:val="Standaardtabel"/>
    <w:tblPr>
      <w:tblStyleRowBandSize w:val="1"/>
      <w:tblStyleColBandSize w:val="1"/>
      <w:tblCellMar>
        <w:left w:w="115" w:type="dxa"/>
        <w:right w:w="115" w:type="dxa"/>
      </w:tblCellMar>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rsid w:val="00BF3C2F"/>
    <w:rPr>
      <w:color w:val="CC0000"/>
      <w:u w:val="single"/>
    </w:rPr>
  </w:style>
  <w:style w:type="paragraph" w:styleId="Onderwerpvanopmerking">
    <w:name w:val="annotation subject"/>
    <w:basedOn w:val="Tekstopmerking"/>
    <w:next w:val="Tekstopmerking"/>
    <w:link w:val="OnderwerpvanopmerkingChar"/>
    <w:uiPriority w:val="99"/>
    <w:semiHidden/>
    <w:unhideWhenUsed/>
    <w:rsid w:val="00E279B6"/>
    <w:rPr>
      <w:b/>
      <w:bCs/>
    </w:rPr>
  </w:style>
  <w:style w:type="character" w:customStyle="1" w:styleId="OnderwerpvanopmerkingChar">
    <w:name w:val="Onderwerp van opmerking Char"/>
    <w:basedOn w:val="TekstopmerkingChar"/>
    <w:link w:val="Onderwerpvanopmerking"/>
    <w:uiPriority w:val="99"/>
    <w:semiHidden/>
    <w:rsid w:val="00E279B6"/>
    <w:rPr>
      <w:b/>
      <w:bCs/>
      <w:sz w:val="20"/>
      <w:szCs w:val="20"/>
    </w:rPr>
  </w:style>
  <w:style w:type="paragraph" w:customStyle="1" w:styleId="EndNoteBibliographyTitle">
    <w:name w:val="EndNote Bibliography Title"/>
    <w:basedOn w:val="Standaard"/>
    <w:link w:val="EndNoteBibliographyTitleChar"/>
    <w:rsid w:val="00657676"/>
    <w:pPr>
      <w:jc w:val="center"/>
    </w:pPr>
    <w:rPr>
      <w:noProof/>
      <w:lang w:val="en-GB"/>
    </w:rPr>
  </w:style>
  <w:style w:type="character" w:customStyle="1" w:styleId="EndNoteBibliographyTitleChar">
    <w:name w:val="EndNote Bibliography Title Char"/>
    <w:basedOn w:val="Standaardalinea-lettertype"/>
    <w:link w:val="EndNoteBibliographyTitle"/>
    <w:rsid w:val="00657676"/>
    <w:rPr>
      <w:noProof/>
      <w:lang w:val="en-GB"/>
    </w:rPr>
  </w:style>
  <w:style w:type="paragraph" w:customStyle="1" w:styleId="EndNoteBibliography">
    <w:name w:val="EndNote Bibliography"/>
    <w:basedOn w:val="Standaard"/>
    <w:link w:val="EndNoteBibliographyChar"/>
    <w:rsid w:val="00657676"/>
    <w:pPr>
      <w:spacing w:line="240" w:lineRule="auto"/>
    </w:pPr>
    <w:rPr>
      <w:noProof/>
      <w:lang w:val="en-GB"/>
    </w:rPr>
  </w:style>
  <w:style w:type="character" w:customStyle="1" w:styleId="EndNoteBibliographyChar">
    <w:name w:val="EndNote Bibliography Char"/>
    <w:basedOn w:val="Standaardalinea-lettertype"/>
    <w:link w:val="EndNoteBibliography"/>
    <w:rsid w:val="00657676"/>
    <w:rPr>
      <w:noProof/>
      <w:lang w:val="en-GB"/>
    </w:rPr>
  </w:style>
  <w:style w:type="character" w:styleId="Onopgelostemelding">
    <w:name w:val="Unresolved Mention"/>
    <w:basedOn w:val="Standaardalinea-lettertype"/>
    <w:uiPriority w:val="99"/>
    <w:semiHidden/>
    <w:unhideWhenUsed/>
    <w:rsid w:val="00657676"/>
    <w:rPr>
      <w:color w:val="605E5C"/>
      <w:shd w:val="clear" w:color="auto" w:fill="E1DFDD"/>
    </w:rPr>
  </w:style>
  <w:style w:type="character" w:customStyle="1" w:styleId="cf01">
    <w:name w:val="cf01"/>
    <w:basedOn w:val="Standaardalinea-lettertype"/>
    <w:rsid w:val="00C645F1"/>
    <w:rPr>
      <w:rFonts w:ascii="Segoe UI" w:hAnsi="Segoe UI" w:cs="Segoe UI" w:hint="default"/>
      <w:sz w:val="18"/>
      <w:szCs w:val="18"/>
    </w:rPr>
  </w:style>
  <w:style w:type="paragraph" w:styleId="Ballontekst">
    <w:name w:val="Balloon Text"/>
    <w:basedOn w:val="Standaard"/>
    <w:link w:val="BallontekstChar"/>
    <w:uiPriority w:val="99"/>
    <w:semiHidden/>
    <w:unhideWhenUsed/>
    <w:rsid w:val="00F8204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8204E"/>
    <w:rPr>
      <w:rFonts w:ascii="Segoe UI" w:hAnsi="Segoe UI" w:cs="Segoe UI"/>
      <w:sz w:val="18"/>
      <w:szCs w:val="18"/>
    </w:rPr>
  </w:style>
  <w:style w:type="paragraph" w:styleId="Lijstalinea">
    <w:name w:val="List Paragraph"/>
    <w:basedOn w:val="Standaard"/>
    <w:uiPriority w:val="34"/>
    <w:qFormat/>
    <w:rsid w:val="00EE3A13"/>
    <w:pPr>
      <w:spacing w:after="160" w:line="259" w:lineRule="auto"/>
      <w:ind w:left="720"/>
      <w:contextualSpacing/>
    </w:pPr>
    <w:rPr>
      <w:rFonts w:ascii="Calibri" w:eastAsia="Calibri" w:hAnsi="Calibri" w:cs="Calibri"/>
      <w:color w:val="auto"/>
      <w:sz w:val="22"/>
      <w:szCs w:val="22"/>
      <w:lang w:val="en-GB"/>
    </w:rPr>
  </w:style>
  <w:style w:type="paragraph" w:styleId="Koptekst">
    <w:name w:val="header"/>
    <w:basedOn w:val="Standaard"/>
    <w:link w:val="KoptekstChar"/>
    <w:uiPriority w:val="99"/>
    <w:unhideWhenUsed/>
    <w:rsid w:val="00B70CED"/>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B70CED"/>
  </w:style>
  <w:style w:type="paragraph" w:styleId="Voettekst">
    <w:name w:val="footer"/>
    <w:basedOn w:val="Standaard"/>
    <w:link w:val="VoettekstChar"/>
    <w:uiPriority w:val="99"/>
    <w:unhideWhenUsed/>
    <w:rsid w:val="00B70CED"/>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B70CED"/>
  </w:style>
  <w:style w:type="paragraph" w:styleId="Revisie">
    <w:name w:val="Revision"/>
    <w:hidden/>
    <w:uiPriority w:val="99"/>
    <w:semiHidden/>
    <w:rsid w:val="0050444B"/>
    <w:pPr>
      <w:spacing w:line="240" w:lineRule="auto"/>
    </w:pPr>
  </w:style>
  <w:style w:type="character" w:customStyle="1" w:styleId="apple-converted-space">
    <w:name w:val="apple-converted-space"/>
    <w:basedOn w:val="Standaardalinea-lettertype"/>
    <w:rsid w:val="00893C4F"/>
  </w:style>
  <w:style w:type="character" w:styleId="GevolgdeHyperlink">
    <w:name w:val="FollowedHyperlink"/>
    <w:basedOn w:val="Standaardalinea-lettertype"/>
    <w:uiPriority w:val="99"/>
    <w:semiHidden/>
    <w:unhideWhenUsed/>
    <w:rsid w:val="00E120C7"/>
    <w:rPr>
      <w:color w:val="800080" w:themeColor="followedHyperlink"/>
      <w:u w:val="single"/>
    </w:rPr>
  </w:style>
  <w:style w:type="paragraph" w:styleId="Normaalweb">
    <w:name w:val="Normal (Web)"/>
    <w:basedOn w:val="Standaard"/>
    <w:uiPriority w:val="99"/>
    <w:unhideWhenUsed/>
    <w:rsid w:val="00435A53"/>
    <w:pPr>
      <w:spacing w:before="100" w:beforeAutospacing="1" w:after="100" w:afterAutospacing="1" w:line="240" w:lineRule="auto"/>
    </w:pPr>
    <w:rPr>
      <w:color w:val="auto"/>
      <w:lang w:val="en-CA" w:eastAsia="en-US"/>
    </w:rPr>
  </w:style>
  <w:style w:type="table" w:styleId="Tabelraster">
    <w:name w:val="Table Grid"/>
    <w:basedOn w:val="Standaardtabel"/>
    <w:uiPriority w:val="39"/>
    <w:rsid w:val="00DC5527"/>
    <w:pPr>
      <w:spacing w:line="240" w:lineRule="auto"/>
    </w:pPr>
    <w:rPr>
      <w:rFonts w:asciiTheme="minorHAnsi" w:eastAsiaTheme="minorHAnsi" w:hAnsiTheme="minorHAnsi" w:cstheme="minorBidi"/>
      <w:color w:val="auto"/>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Standaard"/>
    <w:rsid w:val="00B36D6D"/>
    <w:pPr>
      <w:spacing w:line="300" w:lineRule="exact"/>
    </w:pPr>
    <w:rPr>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939">
      <w:bodyDiv w:val="1"/>
      <w:marLeft w:val="0"/>
      <w:marRight w:val="0"/>
      <w:marTop w:val="0"/>
      <w:marBottom w:val="0"/>
      <w:divBdr>
        <w:top w:val="none" w:sz="0" w:space="0" w:color="auto"/>
        <w:left w:val="none" w:sz="0" w:space="0" w:color="auto"/>
        <w:bottom w:val="none" w:sz="0" w:space="0" w:color="auto"/>
        <w:right w:val="none" w:sz="0" w:space="0" w:color="auto"/>
      </w:divBdr>
    </w:div>
    <w:div w:id="668102693">
      <w:bodyDiv w:val="1"/>
      <w:marLeft w:val="0"/>
      <w:marRight w:val="0"/>
      <w:marTop w:val="0"/>
      <w:marBottom w:val="0"/>
      <w:divBdr>
        <w:top w:val="none" w:sz="0" w:space="0" w:color="auto"/>
        <w:left w:val="none" w:sz="0" w:space="0" w:color="auto"/>
        <w:bottom w:val="none" w:sz="0" w:space="0" w:color="auto"/>
        <w:right w:val="none" w:sz="0" w:space="0" w:color="auto"/>
      </w:divBdr>
      <w:divsChild>
        <w:div w:id="1024330557">
          <w:marLeft w:val="0"/>
          <w:marRight w:val="0"/>
          <w:marTop w:val="0"/>
          <w:marBottom w:val="0"/>
          <w:divBdr>
            <w:top w:val="none" w:sz="0" w:space="0" w:color="auto"/>
            <w:left w:val="none" w:sz="0" w:space="0" w:color="auto"/>
            <w:bottom w:val="none" w:sz="0" w:space="0" w:color="auto"/>
            <w:right w:val="none" w:sz="0" w:space="0" w:color="auto"/>
          </w:divBdr>
          <w:divsChild>
            <w:div w:id="9645809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6309</Characters>
  <Application>Microsoft Office Word</Application>
  <DocSecurity>0</DocSecurity>
  <Lines>52</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Hopewell</dc:creator>
  <cp:lastModifiedBy>Ronald Siezenga</cp:lastModifiedBy>
  <cp:revision>2</cp:revision>
  <cp:lastPrinted>2024-03-26T08:52:00Z</cp:lastPrinted>
  <dcterms:created xsi:type="dcterms:W3CDTF">2026-05-20T06:03:00Z</dcterms:created>
  <dcterms:modified xsi:type="dcterms:W3CDTF">2026-05-20T06:03:00Z</dcterms:modified>
</cp:coreProperties>
</file>