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pStyle w:val="NormalWeb"/>
        <w:spacing w:line="480" w:lineRule="auto"/>
        <w:jc w:val="center"/>
        <w:rPr>
          <w:b/>
          <w:lang w:val="en-US"/>
        </w:rPr>
      </w:pPr>
      <w:bookmarkStart w:id="0" w:name="_Hlk125461296"/>
      <w:r>
        <w:rPr>
          <w:b/>
          <w:lang w:val="en-US"/>
        </w:rPr>
        <w:t>Appendix B</w:t>
      </w:r>
    </w:p>
    <w:p>
      <w:pPr>
        <w:pStyle w:val="NormalWeb"/>
        <w:spacing w:line="480" w:lineRule="auto"/>
        <w:jc w:val="center"/>
        <w:rPr>
          <w:b/>
          <w:lang w:val="en-US"/>
        </w:rPr>
      </w:pPr>
      <w:r>
        <w:rPr>
          <w:b/>
          <w:lang w:val="en-US"/>
        </w:rPr>
        <w:t xml:space="preserve">“What works, for whom”: </w:t>
      </w:r>
      <w:r>
        <w:rPr>
          <w:b/>
          <w:bCs/>
          <w:lang w:val="en-US"/>
        </w:rPr>
        <w:t>Individual differences in presence, embodiment, and engagement, and their impact on Virtual Reality intervention effect</w:t>
      </w:r>
      <w:bookmarkStart w:id="1" w:name="_GoBack"/>
      <w:bookmarkEnd w:id="1"/>
      <w:r>
        <w:rPr>
          <w:b/>
          <w:bCs/>
          <w:lang w:val="en-US"/>
        </w:rPr>
        <w:t>s.</w:t>
      </w:r>
    </w:p>
    <w:p>
      <w:pPr>
        <w:spacing w:after="0" w:line="240" w:lineRule="auto"/>
        <w:jc w:val="center"/>
        <w:rPr>
          <w:rFonts w:ascii="Times New Roman" w:hAnsi="Times New Roman" w:cs="Times New Roman"/>
          <w:b/>
          <w:sz w:val="24"/>
          <w:szCs w:val="24"/>
          <w:lang w:val="en-US"/>
        </w:rPr>
      </w:pPr>
    </w:p>
    <w:p>
      <w:pPr>
        <w:tabs>
          <w:tab w:val="left" w:pos="930"/>
        </w:tabs>
        <w:spacing w:after="0" w:line="240" w:lineRule="auto"/>
        <w:jc w:val="center"/>
        <w:rPr>
          <w:rFonts w:ascii="Times New Roman" w:hAnsi="Times New Roman" w:cs="Times New Roman"/>
          <w:sz w:val="24"/>
          <w:szCs w:val="24"/>
          <w:lang w:val="en-US"/>
        </w:rPr>
      </w:pPr>
    </w:p>
    <w:p>
      <w:pPr>
        <w:spacing w:line="240" w:lineRule="auto"/>
        <w:jc w:val="center"/>
        <w:rPr>
          <w:rFonts w:ascii="Times New Roman" w:hAnsi="Times New Roman" w:cs="Times New Roman"/>
          <w:sz w:val="24"/>
          <w:szCs w:val="24"/>
          <w:vertAlign w:val="superscript"/>
        </w:rPr>
      </w:pPr>
      <w:r>
        <w:rPr>
          <w:rFonts w:ascii="Times New Roman" w:hAnsi="Times New Roman" w:cs="Times New Roman"/>
          <w:sz w:val="24"/>
          <w:szCs w:val="24"/>
        </w:rPr>
        <w:t>Aniek M. Siezenga</w:t>
      </w:r>
      <w:r>
        <w:rPr>
          <w:rFonts w:ascii="Times New Roman" w:hAnsi="Times New Roman" w:cs="Times New Roman"/>
          <w:sz w:val="24"/>
          <w:szCs w:val="24"/>
          <w:vertAlign w:val="superscript"/>
        </w:rPr>
        <w:t>1,2</w:t>
      </w:r>
      <w:r>
        <w:rPr>
          <w:rFonts w:ascii="Times New Roman" w:hAnsi="Times New Roman" w:cs="Times New Roman"/>
          <w:sz w:val="24"/>
          <w:szCs w:val="24"/>
        </w:rPr>
        <w:t>, Esther C. A. Mertens</w:t>
      </w:r>
      <w:r>
        <w:rPr>
          <w:rFonts w:ascii="Times New Roman" w:hAnsi="Times New Roman" w:cs="Times New Roman"/>
          <w:sz w:val="24"/>
          <w:szCs w:val="24"/>
          <w:vertAlign w:val="superscript"/>
        </w:rPr>
        <w:t>1,3</w:t>
      </w:r>
      <w:r>
        <w:rPr>
          <w:rFonts w:ascii="Times New Roman" w:hAnsi="Times New Roman" w:cs="Times New Roman"/>
          <w:sz w:val="24"/>
          <w:szCs w:val="24"/>
        </w:rPr>
        <w:t>, Tiffany Tettero</w:t>
      </w:r>
      <w:r>
        <w:rPr>
          <w:rFonts w:ascii="Times New Roman" w:hAnsi="Times New Roman" w:cs="Times New Roman"/>
          <w:sz w:val="24"/>
          <w:szCs w:val="24"/>
          <w:vertAlign w:val="superscript"/>
        </w:rPr>
        <w:t>1,2</w:t>
      </w:r>
      <w:r>
        <w:rPr>
          <w:rFonts w:ascii="Times New Roman" w:hAnsi="Times New Roman" w:cs="Times New Roman"/>
          <w:sz w:val="24"/>
          <w:szCs w:val="24"/>
        </w:rPr>
        <w:t>, and Jean-Louis van Gelder</w:t>
      </w:r>
      <w:r>
        <w:rPr>
          <w:rFonts w:ascii="Times New Roman" w:hAnsi="Times New Roman" w:cs="Times New Roman"/>
          <w:sz w:val="24"/>
          <w:szCs w:val="24"/>
          <w:vertAlign w:val="superscript"/>
        </w:rPr>
        <w:t>1,2</w:t>
      </w:r>
    </w:p>
    <w:p>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vertAlign w:val="superscript"/>
          <w:lang w:val="en-US"/>
        </w:rPr>
        <w:t>1</w:t>
      </w:r>
      <w:r>
        <w:rPr>
          <w:rFonts w:ascii="Times New Roman" w:hAnsi="Times New Roman" w:cs="Times New Roman"/>
          <w:sz w:val="24"/>
          <w:szCs w:val="24"/>
          <w:lang w:val="en-US"/>
        </w:rPr>
        <w:t xml:space="preserve"> Max Planck Institute for the Study of Crime, Security and Law, </w:t>
      </w:r>
      <w:r>
        <w:rPr>
          <w:rStyle w:val="lrzxr"/>
          <w:rFonts w:ascii="Times New Roman" w:hAnsi="Times New Roman" w:cs="Times New Roman"/>
          <w:sz w:val="24"/>
          <w:szCs w:val="24"/>
          <w:lang w:val="en-US"/>
        </w:rPr>
        <w:t>Günterstalstraße 73, 79100 Freiburg im Breisgau, Germany</w:t>
      </w:r>
      <w:r>
        <w:rPr>
          <w:rFonts w:ascii="Times New Roman" w:hAnsi="Times New Roman" w:cs="Times New Roman"/>
          <w:sz w:val="24"/>
          <w:szCs w:val="24"/>
          <w:lang w:val="en-US"/>
        </w:rPr>
        <w:t xml:space="preserve"> </w:t>
      </w:r>
    </w:p>
    <w:p>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vertAlign w:val="superscript"/>
          <w:lang w:val="en-US"/>
        </w:rPr>
        <w:t>2</w:t>
      </w:r>
      <w:r>
        <w:rPr>
          <w:rFonts w:ascii="Times New Roman" w:hAnsi="Times New Roman" w:cs="Times New Roman"/>
          <w:sz w:val="24"/>
          <w:szCs w:val="24"/>
          <w:lang w:val="en-US"/>
        </w:rPr>
        <w:t xml:space="preserve"> Department of Education and Child Studies, Leiden University, Wassenaarseweg 52, 2333AK, Leiden, The Netherlands</w:t>
      </w:r>
    </w:p>
    <w:p>
      <w:pPr>
        <w:spacing w:line="240" w:lineRule="auto"/>
        <w:jc w:val="center"/>
        <w:rPr>
          <w:rFonts w:ascii="Times New Roman" w:hAnsi="Times New Roman" w:cs="Times New Roman"/>
          <w:sz w:val="24"/>
          <w:szCs w:val="24"/>
          <w:lang w:val="en-US"/>
        </w:rPr>
      </w:pPr>
      <w:r>
        <w:rPr>
          <w:rFonts w:ascii="Times New Roman" w:hAnsi="Times New Roman" w:cs="Times New Roman"/>
          <w:sz w:val="24"/>
          <w:szCs w:val="24"/>
          <w:vertAlign w:val="superscript"/>
          <w:lang w:val="en-US"/>
        </w:rPr>
        <w:t xml:space="preserve">3 </w:t>
      </w:r>
      <w:r>
        <w:rPr>
          <w:rFonts w:ascii="Times New Roman" w:hAnsi="Times New Roman" w:cs="Times New Roman"/>
          <w:sz w:val="24"/>
          <w:szCs w:val="24"/>
          <w:lang w:val="en-US"/>
        </w:rPr>
        <w:t>Netherlands Institute for the Study of Crime and Law Enforcement, De Boelelaan 1077, 1081HV, Amsterdam</w:t>
      </w:r>
    </w:p>
    <w:bookmarkEnd w:id="0"/>
    <w:p>
      <w:pPr>
        <w:spacing w:line="240" w:lineRule="auto"/>
        <w:rPr>
          <w:rFonts w:ascii="Times New Roman" w:hAnsi="Times New Roman" w:cs="Times New Roman"/>
          <w:b/>
          <w:sz w:val="24"/>
          <w:szCs w:val="24"/>
          <w:lang w:val="en-US"/>
        </w:rPr>
      </w:pPr>
    </w:p>
    <w:p>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Correspondence concerning this article should be addressed to J.-L. van Gelder, </w:t>
      </w:r>
    </w:p>
    <w:p>
      <w:pPr>
        <w:spacing w:after="0" w:line="240" w:lineRule="auto"/>
        <w:rPr>
          <w:rFonts w:ascii="Times New Roman" w:hAnsi="Times New Roman" w:cs="Times New Roman"/>
          <w:sz w:val="24"/>
          <w:szCs w:val="24"/>
          <w:lang w:val="en-US"/>
        </w:rPr>
      </w:pPr>
      <w:r>
        <w:rPr>
          <w:rFonts w:ascii="Times New Roman" w:hAnsi="Times New Roman" w:cs="Times New Roman"/>
          <w:sz w:val="24"/>
          <w:szCs w:val="24"/>
          <w:lang w:val="en-US"/>
        </w:rPr>
        <w:t>j.vangelder@csl.mpg.de</w:t>
      </w:r>
    </w:p>
    <w:p>
      <w:pPr>
        <w:rPr>
          <w:rFonts w:asciiTheme="majorHAnsi" w:eastAsiaTheme="majorEastAsia" w:hAnsiTheme="majorHAnsi" w:cstheme="majorBidi"/>
          <w:spacing w:val="-10"/>
          <w:kern w:val="28"/>
          <w:sz w:val="56"/>
          <w:szCs w:val="56"/>
          <w:lang w:val="en-US"/>
        </w:rPr>
      </w:pPr>
      <w:r>
        <w:rPr>
          <w:lang w:val="en-US"/>
        </w:rPr>
        <w:br w:type="page"/>
      </w:r>
    </w:p>
    <w:p>
      <w:pPr>
        <w:pStyle w:val="Title"/>
        <w:spacing w:line="480" w:lineRule="auto"/>
        <w:rPr>
          <w:rFonts w:ascii="Times New Roman" w:hAnsi="Times New Roman" w:cs="Times New Roman"/>
          <w:b/>
          <w:sz w:val="24"/>
          <w:szCs w:val="24"/>
          <w:lang w:val="en-US"/>
        </w:rPr>
      </w:pPr>
      <w:r>
        <w:rPr>
          <w:rFonts w:ascii="Times New Roman" w:hAnsi="Times New Roman" w:cs="Times New Roman"/>
          <w:b/>
          <w:sz w:val="24"/>
          <w:szCs w:val="24"/>
          <w:lang w:val="en-US"/>
        </w:rPr>
        <w:lastRenderedPageBreak/>
        <w:t>Overview statistics sensitivity analyses</w:t>
      </w:r>
    </w:p>
    <w:p>
      <w:pPr>
        <w:spacing w:after="0" w:line="480" w:lineRule="auto"/>
        <w:ind w:firstLine="708"/>
        <w:rPr>
          <w:rFonts w:ascii="Times New Roman" w:eastAsia="Times New Roman" w:hAnsi="Times New Roman" w:cs="Times New Roman"/>
          <w:iCs/>
          <w:sz w:val="24"/>
          <w:szCs w:val="24"/>
          <w:lang w:val="en-US" w:eastAsia="de-DE"/>
        </w:rPr>
      </w:pPr>
      <w:r>
        <w:rPr>
          <w:rFonts w:ascii="Times New Roman" w:eastAsia="Times New Roman" w:hAnsi="Times New Roman" w:cs="Times New Roman"/>
          <w:iCs/>
          <w:sz w:val="24"/>
          <w:szCs w:val="24"/>
          <w:lang w:val="en-US" w:eastAsia="de-DE"/>
        </w:rPr>
        <w:t>The moderation analyses were re-run excluding participants that experienced technological problems during one or more VR sessions (</w:t>
      </w:r>
      <w:r>
        <w:rPr>
          <w:rFonts w:ascii="Times New Roman" w:eastAsia="Times New Roman" w:hAnsi="Times New Roman" w:cs="Times New Roman"/>
          <w:i/>
          <w:iCs/>
          <w:sz w:val="24"/>
          <w:szCs w:val="24"/>
          <w:lang w:val="en-US" w:eastAsia="de-DE"/>
        </w:rPr>
        <w:t>n</w:t>
      </w:r>
      <w:r>
        <w:rPr>
          <w:rFonts w:ascii="Times New Roman" w:eastAsia="Times New Roman" w:hAnsi="Times New Roman" w:cs="Times New Roman"/>
          <w:iCs/>
          <w:sz w:val="24"/>
          <w:szCs w:val="24"/>
          <w:lang w:val="en-US" w:eastAsia="de-DE"/>
        </w:rPr>
        <w:t xml:space="preserve"> = 15; e.g., distorted sounds, non-functioning controller). In general, the patterns for the main effects of presence, embodiment, and engagement were similar, showing positive main effects of presence and engagement and negative main effects of embodiment on post-session vividness. Specifically, a significant main effect of presence occurred during VR session 2 (</w:t>
      </w:r>
      <w:r>
        <w:rPr>
          <w:rFonts w:ascii="Times New Roman" w:eastAsia="Times New Roman" w:hAnsi="Times New Roman" w:cs="Times New Roman"/>
          <w:i/>
          <w:iCs/>
          <w:sz w:val="24"/>
          <w:szCs w:val="24"/>
          <w:lang w:val="en-US" w:eastAsia="de-DE"/>
        </w:rPr>
        <w:t>b</w:t>
      </w:r>
      <w:r>
        <w:rPr>
          <w:rFonts w:ascii="Times New Roman" w:eastAsia="Times New Roman" w:hAnsi="Times New Roman" w:cs="Times New Roman"/>
          <w:iCs/>
          <w:sz w:val="24"/>
          <w:szCs w:val="24"/>
          <w:lang w:val="en-US" w:eastAsia="de-DE"/>
        </w:rPr>
        <w:t xml:space="preserve"> = 0.56, </w:t>
      </w:r>
      <w:r>
        <w:rPr>
          <w:rFonts w:ascii="Times New Roman" w:eastAsia="Times New Roman" w:hAnsi="Times New Roman" w:cs="Times New Roman"/>
          <w:i/>
          <w:iCs/>
          <w:sz w:val="24"/>
          <w:szCs w:val="24"/>
          <w:lang w:val="en-US" w:eastAsia="de-DE"/>
        </w:rPr>
        <w:t>t</w:t>
      </w:r>
      <w:r>
        <w:rPr>
          <w:rFonts w:ascii="Times New Roman" w:eastAsia="Times New Roman" w:hAnsi="Times New Roman" w:cs="Times New Roman"/>
          <w:iCs/>
          <w:sz w:val="24"/>
          <w:szCs w:val="24"/>
          <w:lang w:val="en-US" w:eastAsia="de-DE"/>
        </w:rPr>
        <w:t xml:space="preserve">(83) = 3.24, </w:t>
      </w:r>
      <w:r>
        <w:rPr>
          <w:rFonts w:ascii="Times New Roman" w:eastAsia="Times New Roman" w:hAnsi="Times New Roman" w:cs="Times New Roman"/>
          <w:i/>
          <w:iCs/>
          <w:sz w:val="24"/>
          <w:szCs w:val="24"/>
          <w:lang w:val="en-US" w:eastAsia="de-DE"/>
        </w:rPr>
        <w:t>p</w:t>
      </w:r>
      <w:r>
        <w:rPr>
          <w:rFonts w:ascii="Times New Roman" w:eastAsia="Times New Roman" w:hAnsi="Times New Roman" w:cs="Times New Roman"/>
          <w:iCs/>
          <w:sz w:val="24"/>
          <w:szCs w:val="24"/>
          <w:lang w:val="en-US" w:eastAsia="de-DE"/>
        </w:rPr>
        <w:t xml:space="preserve"> = .002, Cohen’s </w:t>
      </w:r>
      <w:r>
        <w:rPr>
          <w:rFonts w:ascii="Times New Roman" w:eastAsia="Times New Roman" w:hAnsi="Times New Roman" w:cs="Times New Roman"/>
          <w:i/>
          <w:iCs/>
          <w:sz w:val="24"/>
          <w:szCs w:val="24"/>
          <w:lang w:val="en-US" w:eastAsia="de-DE"/>
        </w:rPr>
        <w:t>f</w:t>
      </w:r>
      <w:r>
        <w:rPr>
          <w:rFonts w:ascii="Times New Roman" w:eastAsia="Times New Roman" w:hAnsi="Times New Roman" w:cs="Times New Roman"/>
          <w:iCs/>
          <w:sz w:val="24"/>
          <w:szCs w:val="24"/>
          <w:lang w:val="en-US" w:eastAsia="de-DE"/>
        </w:rPr>
        <w:t xml:space="preserve"> = .30). Significant main effects of embodiment appeared during VR session 2 (</w:t>
      </w:r>
      <w:r>
        <w:rPr>
          <w:rFonts w:ascii="Times New Roman" w:eastAsia="Times New Roman" w:hAnsi="Times New Roman" w:cs="Times New Roman"/>
          <w:i/>
          <w:iCs/>
          <w:sz w:val="24"/>
          <w:szCs w:val="24"/>
          <w:lang w:val="en-US" w:eastAsia="de-DE"/>
        </w:rPr>
        <w:t>b</w:t>
      </w:r>
      <w:r>
        <w:rPr>
          <w:rFonts w:ascii="Times New Roman" w:eastAsia="Times New Roman" w:hAnsi="Times New Roman" w:cs="Times New Roman"/>
          <w:iCs/>
          <w:sz w:val="24"/>
          <w:szCs w:val="24"/>
          <w:lang w:val="en-US" w:eastAsia="de-DE"/>
        </w:rPr>
        <w:t xml:space="preserve"> = -0.39, </w:t>
      </w:r>
      <w:r>
        <w:rPr>
          <w:rFonts w:ascii="Times New Roman" w:eastAsia="Times New Roman" w:hAnsi="Times New Roman" w:cs="Times New Roman"/>
          <w:i/>
          <w:iCs/>
          <w:sz w:val="24"/>
          <w:szCs w:val="24"/>
          <w:lang w:val="en-US" w:eastAsia="de-DE"/>
        </w:rPr>
        <w:t>t</w:t>
      </w:r>
      <w:r>
        <w:rPr>
          <w:rFonts w:ascii="Times New Roman" w:eastAsia="Times New Roman" w:hAnsi="Times New Roman" w:cs="Times New Roman"/>
          <w:iCs/>
          <w:sz w:val="24"/>
          <w:szCs w:val="24"/>
          <w:lang w:val="en-US" w:eastAsia="de-DE"/>
        </w:rPr>
        <w:t xml:space="preserve">(83) = -2.59, </w:t>
      </w:r>
      <w:r>
        <w:rPr>
          <w:rFonts w:ascii="Times New Roman" w:eastAsia="Times New Roman" w:hAnsi="Times New Roman" w:cs="Times New Roman"/>
          <w:i/>
          <w:iCs/>
          <w:sz w:val="24"/>
          <w:szCs w:val="24"/>
          <w:lang w:val="en-US" w:eastAsia="de-DE"/>
        </w:rPr>
        <w:t>p</w:t>
      </w:r>
      <w:r>
        <w:rPr>
          <w:rFonts w:ascii="Times New Roman" w:eastAsia="Times New Roman" w:hAnsi="Times New Roman" w:cs="Times New Roman"/>
          <w:iCs/>
          <w:sz w:val="24"/>
          <w:szCs w:val="24"/>
          <w:lang w:val="en-US" w:eastAsia="de-DE"/>
        </w:rPr>
        <w:t xml:space="preserve"> = .011, Cohen’s </w:t>
      </w:r>
      <w:r>
        <w:rPr>
          <w:rFonts w:ascii="Times New Roman" w:eastAsia="Times New Roman" w:hAnsi="Times New Roman" w:cs="Times New Roman"/>
          <w:i/>
          <w:iCs/>
          <w:sz w:val="24"/>
          <w:szCs w:val="24"/>
          <w:lang w:val="en-US" w:eastAsia="de-DE"/>
        </w:rPr>
        <w:t>f</w:t>
      </w:r>
      <w:r>
        <w:rPr>
          <w:rFonts w:ascii="Times New Roman" w:eastAsia="Times New Roman" w:hAnsi="Times New Roman" w:cs="Times New Roman"/>
          <w:iCs/>
          <w:sz w:val="24"/>
          <w:szCs w:val="24"/>
          <w:lang w:val="en-US" w:eastAsia="de-DE"/>
        </w:rPr>
        <w:t xml:space="preserve"> = .21). Last, a significant main effect of engagement was found during VR session 1 (</w:t>
      </w:r>
      <w:r>
        <w:rPr>
          <w:rFonts w:ascii="Times New Roman" w:eastAsia="Times New Roman" w:hAnsi="Times New Roman" w:cs="Times New Roman"/>
          <w:i/>
          <w:iCs/>
          <w:sz w:val="24"/>
          <w:szCs w:val="24"/>
          <w:lang w:val="en-US" w:eastAsia="de-DE"/>
        </w:rPr>
        <w:t>b</w:t>
      </w:r>
      <w:r>
        <w:rPr>
          <w:rFonts w:ascii="Times New Roman" w:eastAsia="Times New Roman" w:hAnsi="Times New Roman" w:cs="Times New Roman"/>
          <w:iCs/>
          <w:sz w:val="24"/>
          <w:szCs w:val="24"/>
          <w:lang w:val="en-US" w:eastAsia="de-DE"/>
        </w:rPr>
        <w:t xml:space="preserve"> = 0.79, </w:t>
      </w:r>
      <w:r>
        <w:rPr>
          <w:rFonts w:ascii="Times New Roman" w:eastAsia="Times New Roman" w:hAnsi="Times New Roman" w:cs="Times New Roman"/>
          <w:i/>
          <w:iCs/>
          <w:sz w:val="24"/>
          <w:szCs w:val="24"/>
          <w:lang w:val="en-US" w:eastAsia="de-DE"/>
        </w:rPr>
        <w:t>t</w:t>
      </w:r>
      <w:r>
        <w:rPr>
          <w:rFonts w:ascii="Times New Roman" w:eastAsia="Times New Roman" w:hAnsi="Times New Roman" w:cs="Times New Roman"/>
          <w:iCs/>
          <w:sz w:val="24"/>
          <w:szCs w:val="24"/>
          <w:lang w:val="en-US" w:eastAsia="de-DE"/>
        </w:rPr>
        <w:t xml:space="preserve">(85) = 2.75, </w:t>
      </w:r>
      <w:r>
        <w:rPr>
          <w:rFonts w:ascii="Times New Roman" w:eastAsia="Times New Roman" w:hAnsi="Times New Roman" w:cs="Times New Roman"/>
          <w:i/>
          <w:iCs/>
          <w:sz w:val="24"/>
          <w:szCs w:val="24"/>
          <w:lang w:val="en-US" w:eastAsia="de-DE"/>
        </w:rPr>
        <w:t>p</w:t>
      </w:r>
      <w:r>
        <w:rPr>
          <w:rFonts w:ascii="Times New Roman" w:eastAsia="Times New Roman" w:hAnsi="Times New Roman" w:cs="Times New Roman"/>
          <w:iCs/>
          <w:sz w:val="24"/>
          <w:szCs w:val="24"/>
          <w:lang w:val="en-US" w:eastAsia="de-DE"/>
        </w:rPr>
        <w:t xml:space="preserve"> = .007, Cohen’s </w:t>
      </w:r>
      <w:r>
        <w:rPr>
          <w:rFonts w:ascii="Times New Roman" w:eastAsia="Times New Roman" w:hAnsi="Times New Roman" w:cs="Times New Roman"/>
          <w:i/>
          <w:iCs/>
          <w:sz w:val="24"/>
          <w:szCs w:val="24"/>
          <w:lang w:val="en-US" w:eastAsia="de-DE"/>
        </w:rPr>
        <w:t>f</w:t>
      </w:r>
      <w:r>
        <w:rPr>
          <w:rFonts w:ascii="Times New Roman" w:eastAsia="Times New Roman" w:hAnsi="Times New Roman" w:cs="Times New Roman"/>
          <w:iCs/>
          <w:sz w:val="24"/>
          <w:szCs w:val="24"/>
          <w:lang w:val="en-US" w:eastAsia="de-DE"/>
        </w:rPr>
        <w:t xml:space="preserve"> = .28). </w:t>
      </w:r>
    </w:p>
    <w:p>
      <w:pPr>
        <w:spacing w:after="0" w:line="480" w:lineRule="auto"/>
        <w:ind w:firstLine="708"/>
        <w:rPr>
          <w:rFonts w:ascii="Times New Roman" w:eastAsia="Times New Roman" w:hAnsi="Times New Roman" w:cs="Times New Roman"/>
          <w:iCs/>
          <w:sz w:val="24"/>
          <w:szCs w:val="24"/>
          <w:lang w:val="en-US" w:eastAsia="de-DE"/>
        </w:rPr>
      </w:pPr>
      <w:r>
        <w:rPr>
          <w:rFonts w:ascii="Times New Roman" w:eastAsia="Times New Roman" w:hAnsi="Times New Roman" w:cs="Times New Roman"/>
          <w:iCs/>
          <w:sz w:val="24"/>
          <w:szCs w:val="24"/>
          <w:lang w:val="en-US" w:eastAsia="de-DE"/>
        </w:rPr>
        <w:t>In contrast to the main analyses, no significant moderators were observed, except for a trend towards a significant moderator of engagement during VR session 1 (</w:t>
      </w:r>
      <w:r>
        <w:rPr>
          <w:rFonts w:ascii="Times New Roman" w:eastAsia="Times New Roman" w:hAnsi="Times New Roman" w:cs="Times New Roman"/>
          <w:i/>
          <w:iCs/>
          <w:sz w:val="24"/>
          <w:szCs w:val="24"/>
          <w:lang w:val="en-US" w:eastAsia="de-DE"/>
        </w:rPr>
        <w:t>b</w:t>
      </w:r>
      <w:r>
        <w:rPr>
          <w:rFonts w:ascii="Times New Roman" w:eastAsia="Times New Roman" w:hAnsi="Times New Roman" w:cs="Times New Roman"/>
          <w:iCs/>
          <w:sz w:val="24"/>
          <w:szCs w:val="24"/>
          <w:lang w:val="en-US" w:eastAsia="de-DE"/>
        </w:rPr>
        <w:t xml:space="preserve"> = -0.38, </w:t>
      </w:r>
      <w:r>
        <w:rPr>
          <w:rFonts w:ascii="Times New Roman" w:eastAsia="Times New Roman" w:hAnsi="Times New Roman" w:cs="Times New Roman"/>
          <w:i/>
          <w:iCs/>
          <w:sz w:val="24"/>
          <w:szCs w:val="24"/>
          <w:lang w:val="en-US" w:eastAsia="de-DE"/>
        </w:rPr>
        <w:t>t</w:t>
      </w:r>
      <w:r>
        <w:rPr>
          <w:rFonts w:ascii="Times New Roman" w:eastAsia="Times New Roman" w:hAnsi="Times New Roman" w:cs="Times New Roman"/>
          <w:iCs/>
          <w:sz w:val="24"/>
          <w:szCs w:val="24"/>
          <w:lang w:val="en-US" w:eastAsia="de-DE"/>
        </w:rPr>
        <w:t xml:space="preserve">(85) = -1.87, </w:t>
      </w:r>
      <w:r>
        <w:rPr>
          <w:rFonts w:ascii="Times New Roman" w:eastAsia="Times New Roman" w:hAnsi="Times New Roman" w:cs="Times New Roman"/>
          <w:i/>
          <w:iCs/>
          <w:sz w:val="24"/>
          <w:szCs w:val="24"/>
          <w:lang w:val="en-US" w:eastAsia="de-DE"/>
        </w:rPr>
        <w:t>p</w:t>
      </w:r>
      <w:r>
        <w:rPr>
          <w:rFonts w:ascii="Times New Roman" w:eastAsia="Times New Roman" w:hAnsi="Times New Roman" w:cs="Times New Roman"/>
          <w:iCs/>
          <w:sz w:val="24"/>
          <w:szCs w:val="24"/>
          <w:lang w:val="en-US" w:eastAsia="de-DE"/>
        </w:rPr>
        <w:t xml:space="preserve"> = .065, Cohen’s </w:t>
      </w:r>
      <w:r>
        <w:rPr>
          <w:rFonts w:ascii="Times New Roman" w:eastAsia="Times New Roman" w:hAnsi="Times New Roman" w:cs="Times New Roman"/>
          <w:i/>
          <w:iCs/>
          <w:sz w:val="24"/>
          <w:szCs w:val="24"/>
          <w:lang w:val="en-US" w:eastAsia="de-DE"/>
        </w:rPr>
        <w:t>f</w:t>
      </w:r>
      <w:r>
        <w:rPr>
          <w:rFonts w:ascii="Times New Roman" w:eastAsia="Times New Roman" w:hAnsi="Times New Roman" w:cs="Times New Roman"/>
          <w:i/>
          <w:iCs/>
          <w:sz w:val="24"/>
          <w:szCs w:val="24"/>
          <w:vertAlign w:val="superscript"/>
          <w:lang w:val="en-US" w:eastAsia="de-DE"/>
        </w:rPr>
        <w:t>2</w:t>
      </w:r>
      <w:r>
        <w:rPr>
          <w:rFonts w:ascii="Times New Roman" w:eastAsia="Times New Roman" w:hAnsi="Times New Roman" w:cs="Times New Roman"/>
          <w:iCs/>
          <w:sz w:val="24"/>
          <w:szCs w:val="24"/>
          <w:lang w:val="en-US" w:eastAsia="de-DE"/>
        </w:rPr>
        <w:t xml:space="preserve"> = -.17). As shown in Figure S1, change in vividness over time was least strong for the participants with the lowest levels of engagement.</w:t>
      </w:r>
    </w:p>
    <w:p>
      <w:pPr>
        <w:spacing w:after="0" w:line="480" w:lineRule="auto"/>
        <w:ind w:firstLine="708"/>
        <w:rPr>
          <w:rFonts w:ascii="Times New Roman" w:eastAsia="Times New Roman" w:hAnsi="Times New Roman" w:cs="Times New Roman"/>
          <w:iCs/>
          <w:sz w:val="24"/>
          <w:szCs w:val="24"/>
          <w:lang w:val="en-US" w:eastAsia="de-DE"/>
        </w:rPr>
      </w:pPr>
    </w:p>
    <w:p>
      <w:pPr>
        <w:spacing w:after="0" w:line="480" w:lineRule="auto"/>
        <w:ind w:firstLine="708"/>
        <w:rPr>
          <w:rFonts w:ascii="Times New Roman" w:eastAsia="Times New Roman" w:hAnsi="Times New Roman" w:cs="Times New Roman"/>
          <w:iCs/>
          <w:sz w:val="24"/>
          <w:szCs w:val="24"/>
          <w:lang w:val="en-US" w:eastAsia="de-DE"/>
        </w:rPr>
      </w:pPr>
      <w:r>
        <w:rPr>
          <w:rFonts w:ascii="Times New Roman" w:eastAsia="Times New Roman" w:hAnsi="Times New Roman" w:cs="Times New Roman"/>
          <w:i/>
          <w:iCs/>
          <w:sz w:val="24"/>
          <w:szCs w:val="24"/>
          <w:lang w:val="en-US" w:eastAsia="de-DE"/>
        </w:rPr>
        <w:t xml:space="preserve">Figure S1: </w:t>
      </w:r>
      <w:r>
        <w:rPr>
          <w:rFonts w:ascii="Times New Roman" w:eastAsia="Times New Roman" w:hAnsi="Times New Roman" w:cs="Times New Roman"/>
          <w:iCs/>
          <w:sz w:val="24"/>
          <w:szCs w:val="24"/>
          <w:lang w:val="en-US" w:eastAsia="de-DE"/>
        </w:rPr>
        <w:t xml:space="preserve">Plot of the trend towards a moderation effect of engagement in VR session 1. </w:t>
      </w:r>
    </w:p>
    <w:p>
      <w:pPr>
        <w:spacing w:after="0" w:line="480" w:lineRule="auto"/>
        <w:ind w:firstLine="708"/>
        <w:rPr>
          <w:rFonts w:ascii="Times New Roman" w:eastAsia="Times New Roman" w:hAnsi="Times New Roman" w:cs="Times New Roman"/>
          <w:i/>
          <w:iCs/>
          <w:sz w:val="24"/>
          <w:szCs w:val="24"/>
          <w:lang w:val="en-US" w:eastAsia="de-DE"/>
        </w:rPr>
      </w:pPr>
    </w:p>
    <w:p>
      <w:pPr>
        <w:spacing w:after="0" w:line="480" w:lineRule="auto"/>
        <w:ind w:firstLine="708"/>
        <w:rPr>
          <w:rFonts w:ascii="Times New Roman" w:eastAsia="Times New Roman" w:hAnsi="Times New Roman" w:cs="Times New Roman"/>
          <w:iCs/>
          <w:sz w:val="24"/>
          <w:szCs w:val="24"/>
          <w:lang w:val="en-US" w:eastAsia="de-DE"/>
        </w:rPr>
      </w:pPr>
      <w:r>
        <w:rPr>
          <w:noProof/>
        </w:rPr>
        <w:drawing>
          <wp:inline distT="0" distB="0" distL="0" distR="0">
            <wp:extent cx="2332355" cy="1439545"/>
            <wp:effectExtent l="0" t="0" r="0" b="8255"/>
            <wp:docPr id="8" name="Picture 8"/>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2332355" cy="1439545"/>
                    </a:xfrm>
                    <a:prstGeom prst="rect">
                      <a:avLst/>
                    </a:prstGeom>
                    <a:noFill/>
                    <a:ln>
                      <a:noFill/>
                    </a:ln>
                  </pic:spPr>
                </pic:pic>
              </a:graphicData>
            </a:graphic>
          </wp:inline>
        </w:drawing>
      </w:r>
    </w:p>
    <w:p>
      <w:pPr>
        <w:spacing w:after="0" w:line="480" w:lineRule="auto"/>
        <w:ind w:firstLine="708"/>
        <w:rPr>
          <w:rFonts w:ascii="Times New Roman" w:eastAsia="Times New Roman" w:hAnsi="Times New Roman" w:cs="Times New Roman"/>
          <w:iCs/>
          <w:sz w:val="24"/>
          <w:szCs w:val="24"/>
          <w:lang w:val="en-US" w:eastAsia="de-DE"/>
        </w:rPr>
      </w:pPr>
    </w:p>
    <w:p>
      <w:pPr>
        <w:rPr>
          <w:rFonts w:ascii="Times New Roman" w:eastAsia="Times New Roman" w:hAnsi="Times New Roman" w:cs="Times New Roman"/>
          <w:iCs/>
          <w:sz w:val="24"/>
          <w:szCs w:val="24"/>
          <w:lang w:val="en-US" w:eastAsia="de-DE"/>
        </w:rPr>
      </w:pPr>
    </w:p>
    <w:sectPr>
      <w:pgSz w:w="11906" w:h="16838" w:code="9"/>
      <w:pgMar w:top="1440" w:right="1440" w:bottom="1440" w:left="1440" w:header="709" w:footer="709" w:gutter="0"/>
      <w:lnNumType w:countBy="1" w:restart="continuous"/>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5780D6-758A-4275-85C7-52AF153B7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lang w:val="nl-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aliases w:val="APA"/>
    <w:basedOn w:val="Normal"/>
    <w:next w:val="Normal"/>
    <w:link w:val="CommentTextChar"/>
    <w:uiPriority w:val="99"/>
    <w:unhideWhenUsed/>
    <w:qFormat/>
    <w:pPr>
      <w:suppressAutoHyphens/>
      <w:spacing w:after="0" w:line="360" w:lineRule="auto"/>
    </w:pPr>
    <w:rPr>
      <w:rFonts w:ascii="Calibri Light" w:eastAsiaTheme="minorHAnsi" w:hAnsi="Calibri Light"/>
      <w:szCs w:val="20"/>
      <w:lang w:val="de-DE" w:eastAsia="en-US"/>
    </w:rPr>
  </w:style>
  <w:style w:type="character" w:customStyle="1" w:styleId="CommentTextChar">
    <w:name w:val="Comment Text Char"/>
    <w:aliases w:val="APA Char"/>
    <w:basedOn w:val="DefaultParagraphFont"/>
    <w:link w:val="CommentText"/>
    <w:uiPriority w:val="99"/>
    <w:qFormat/>
    <w:rPr>
      <w:rFonts w:ascii="Calibri Light" w:hAnsi="Calibri Light"/>
      <w:szCs w:val="20"/>
    </w:rPr>
  </w:style>
  <w:style w:type="character" w:customStyle="1" w:styleId="hgkelc">
    <w:name w:val="hgkelc"/>
    <w:basedOn w:val="DefaultParagraphFont"/>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0"/>
    <w:qFormat/>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lang w:val="nl-NL" w:eastAsia="zh-CN"/>
    </w:rPr>
  </w:style>
  <w:style w:type="character" w:styleId="LineNumber">
    <w:name w:val="line number"/>
    <w:basedOn w:val="DefaultParagraphFon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lang w:val="de-DE" w:eastAsia="de-DE"/>
    </w:rPr>
  </w:style>
  <w:style w:type="character" w:customStyle="1" w:styleId="lrzxr">
    <w:name w:val="lrzx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93969465">
      <w:bodyDiv w:val="1"/>
      <w:marLeft w:val="0"/>
      <w:marRight w:val="0"/>
      <w:marTop w:val="0"/>
      <w:marBottom w:val="0"/>
      <w:divBdr>
        <w:top w:val="none" w:sz="0" w:space="0" w:color="auto"/>
        <w:left w:val="none" w:sz="0" w:space="0" w:color="auto"/>
        <w:bottom w:val="none" w:sz="0" w:space="0" w:color="auto"/>
        <w:right w:val="none" w:sz="0" w:space="0" w:color="auto"/>
      </w:divBdr>
    </w:div>
    <w:div w:id="2015065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272</Words>
  <Characters>1718</Characters>
  <Application>Microsoft Office Word</Application>
  <DocSecurity>0</DocSecurity>
  <Lines>14</Lines>
  <Paragraphs>3</Paragraphs>
  <ScaleCrop>false</ScaleCrop>
  <Company/>
  <LinksUpToDate>false</LinksUpToDate>
  <CharactersWithSpaces>1987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Siezenga, Anne Marieke</dc:creator>
  <cp:keywords/>
  <dc:description/>
  <cp:lastModifiedBy>Siezenga, Anne Marieke</cp:lastModifiedBy>
  <cp:revision>3</cp:revision>
  <dcterms:created xsi:type="dcterms:W3CDTF">2025-02-19T12:43:00Z</dcterms:created>
  <dcterms:modified xsi:type="dcterms:W3CDTF">2025-02-19T14:08:00Z</dcterms:modified>
</cp:coreProperties>
</file>