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5B6B1" w14:textId="77777777" w:rsidR="00221BB9" w:rsidRDefault="00221BB9" w:rsidP="00221BB9">
      <w:pPr>
        <w:rPr>
          <w:rFonts w:ascii="Arial" w:hAnsi="Arial" w:cs="Arial"/>
          <w:b/>
          <w:sz w:val="24"/>
          <w:szCs w:val="24"/>
        </w:rPr>
      </w:pPr>
      <w:r>
        <w:rPr>
          <w:rFonts w:ascii="Arial" w:hAnsi="Arial" w:cs="Arial"/>
          <w:b/>
          <w:sz w:val="24"/>
          <w:szCs w:val="24"/>
        </w:rPr>
        <w:t>Methods</w:t>
      </w:r>
    </w:p>
    <w:p w14:paraId="21CE5A2D" w14:textId="77777777" w:rsidR="00221BB9" w:rsidRDefault="00221BB9" w:rsidP="00221BB9">
      <w:pPr>
        <w:rPr>
          <w:rFonts w:ascii="Arial" w:hAnsi="Arial" w:cs="Arial"/>
          <w:b/>
          <w:sz w:val="24"/>
          <w:szCs w:val="24"/>
        </w:rPr>
      </w:pPr>
    </w:p>
    <w:p w14:paraId="04663AD5" w14:textId="77777777" w:rsidR="00221BB9" w:rsidRDefault="00221BB9" w:rsidP="00221BB9">
      <w:pPr>
        <w:rPr>
          <w:rFonts w:ascii="Arial" w:hAnsi="Arial" w:cs="Arial"/>
          <w:b/>
          <w:sz w:val="24"/>
          <w:szCs w:val="24"/>
        </w:rPr>
      </w:pPr>
      <w:r>
        <w:rPr>
          <w:rFonts w:ascii="Arial" w:hAnsi="Arial" w:cs="Arial"/>
          <w:b/>
          <w:sz w:val="24"/>
          <w:szCs w:val="24"/>
        </w:rPr>
        <w:t>Tissue samples</w:t>
      </w:r>
    </w:p>
    <w:p w14:paraId="60EBAB1F" w14:textId="77777777" w:rsidR="00221BB9" w:rsidRDefault="00221BB9" w:rsidP="00221BB9">
      <w:pPr>
        <w:rPr>
          <w:b/>
          <w:sz w:val="24"/>
          <w:szCs w:val="24"/>
        </w:rPr>
      </w:pPr>
    </w:p>
    <w:p w14:paraId="4C10AD20" w14:textId="77777777" w:rsidR="00221BB9" w:rsidRDefault="00221BB9" w:rsidP="00221BB9">
      <w:pPr>
        <w:rPr>
          <w:sz w:val="24"/>
          <w:szCs w:val="24"/>
        </w:rPr>
      </w:pPr>
      <w:bookmarkStart w:id="0" w:name="OLE_LINK1"/>
      <w:r>
        <w:rPr>
          <w:sz w:val="24"/>
          <w:szCs w:val="24"/>
        </w:rPr>
        <w:t xml:space="preserve">42 pairs OS and adjacent tissues are collected from the Affiliated Hospital of Xuzhou Medical University. All patients with OS did not receive any radiotherapy and chemotherapy before the operation. All cases were confirmed by experienced pathologists, and clinical information is fully recorded. All patients provide written informed consent, and the study involving human specimens is approved </w:t>
      </w:r>
      <w:bookmarkStart w:id="1" w:name="_Hlk85231924"/>
      <w:r>
        <w:rPr>
          <w:sz w:val="24"/>
          <w:szCs w:val="24"/>
        </w:rPr>
        <w:t>by the Review Board of the Affiliated Hospital of Xuzhou Medical University.</w:t>
      </w:r>
    </w:p>
    <w:bookmarkEnd w:id="0"/>
    <w:bookmarkEnd w:id="1"/>
    <w:p w14:paraId="36CE7327" w14:textId="77777777" w:rsidR="00221BB9" w:rsidRDefault="00221BB9" w:rsidP="00221BB9">
      <w:pPr>
        <w:rPr>
          <w:sz w:val="24"/>
          <w:szCs w:val="24"/>
        </w:rPr>
      </w:pPr>
    </w:p>
    <w:p w14:paraId="2924606F" w14:textId="77777777" w:rsidR="00221BB9" w:rsidRDefault="00221BB9" w:rsidP="00221BB9">
      <w:pPr>
        <w:rPr>
          <w:rFonts w:ascii="Arial" w:hAnsi="Arial" w:cs="Arial"/>
          <w:b/>
          <w:sz w:val="24"/>
          <w:szCs w:val="24"/>
        </w:rPr>
      </w:pPr>
      <w:r>
        <w:rPr>
          <w:rFonts w:ascii="Arial" w:hAnsi="Arial" w:cs="Arial"/>
          <w:b/>
          <w:sz w:val="24"/>
          <w:szCs w:val="24"/>
        </w:rPr>
        <w:t>Cell culture and transfection</w:t>
      </w:r>
    </w:p>
    <w:p w14:paraId="73943DD1" w14:textId="77777777" w:rsidR="00221BB9" w:rsidRDefault="00221BB9" w:rsidP="00221BB9">
      <w:pPr>
        <w:rPr>
          <w:sz w:val="24"/>
          <w:szCs w:val="24"/>
        </w:rPr>
      </w:pPr>
      <w:r>
        <w:rPr>
          <w:sz w:val="24"/>
          <w:szCs w:val="24"/>
        </w:rPr>
        <w:t xml:space="preserve">Human OS cell lines (HOS, MG63, SaOS2, U2OS) and a normal osteoblast </w:t>
      </w:r>
      <w:proofErr w:type="spellStart"/>
      <w:r>
        <w:rPr>
          <w:sz w:val="24"/>
          <w:szCs w:val="24"/>
        </w:rPr>
        <w:t>Nhost</w:t>
      </w:r>
      <w:proofErr w:type="spellEnd"/>
      <w:r>
        <w:rPr>
          <w:sz w:val="24"/>
          <w:szCs w:val="24"/>
        </w:rPr>
        <w:t xml:space="preserve"> cell line were acquired from the Chinese Cell Bank of the Chinese Academy of Sciences (Shanghai, China). Cells were cultured in DMEM (Gibco, Grand Island, USA) supplemented with 10% fetal bovine serum (FBS). All cells were maintained at 37 °C with 5% CO</w:t>
      </w:r>
      <w:r>
        <w:rPr>
          <w:sz w:val="24"/>
          <w:szCs w:val="24"/>
          <w:vertAlign w:val="subscript"/>
        </w:rPr>
        <w:t>2</w:t>
      </w:r>
      <w:r>
        <w:rPr>
          <w:sz w:val="24"/>
          <w:szCs w:val="24"/>
        </w:rPr>
        <w:t xml:space="preserve">. </w:t>
      </w:r>
    </w:p>
    <w:p w14:paraId="19145D4F" w14:textId="77777777" w:rsidR="00221BB9" w:rsidRDefault="00221BB9" w:rsidP="00221BB9">
      <w:pPr>
        <w:rPr>
          <w:color w:val="FF0000"/>
          <w:sz w:val="24"/>
          <w:szCs w:val="24"/>
        </w:rPr>
      </w:pPr>
      <w:r>
        <w:rPr>
          <w:sz w:val="24"/>
          <w:szCs w:val="24"/>
        </w:rPr>
        <w:t>The plasmids of cDNAs expressing FTO, KLF3 and YTHDF1 and negative control (NC) were transiently transfected into OS cells by using Lipofectamine 2000 (Invitrogen, USA). siRNAs (</w:t>
      </w:r>
      <w:proofErr w:type="spellStart"/>
      <w:r>
        <w:rPr>
          <w:sz w:val="24"/>
          <w:szCs w:val="24"/>
        </w:rPr>
        <w:t>siFTO</w:t>
      </w:r>
      <w:proofErr w:type="spellEnd"/>
      <w:r>
        <w:rPr>
          <w:sz w:val="24"/>
          <w:szCs w:val="24"/>
        </w:rPr>
        <w:t xml:space="preserve"> and siYTHDF2) and negative control (</w:t>
      </w:r>
      <w:proofErr w:type="spellStart"/>
      <w:r>
        <w:rPr>
          <w:sz w:val="24"/>
          <w:szCs w:val="24"/>
        </w:rPr>
        <w:t>siNC</w:t>
      </w:r>
      <w:proofErr w:type="spellEnd"/>
      <w:r>
        <w:rPr>
          <w:sz w:val="24"/>
          <w:szCs w:val="24"/>
        </w:rPr>
        <w:t>) were transfected with using Lipofectamine 2000 (Invitrogen, USA). siRNA sequences were shown in Supplementary Table 1</w:t>
      </w:r>
      <w:r>
        <w:rPr>
          <w:sz w:val="24"/>
          <w:szCs w:val="24"/>
        </w:rPr>
        <w:fldChar w:fldCharType="begin">
          <w:fldData xml:space="preserve">PEVuZE5vdGU+PENpdGU+PEF1dGhvcj5XdTwvQXV0aG9yPjxZZWFyPjIwMTg8L1llYXI+PFJlY051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==
</w:fldData>
        </w:fldChar>
      </w:r>
      <w:r>
        <w:rPr>
          <w:sz w:val="24"/>
          <w:szCs w:val="24"/>
        </w:rPr>
        <w:instrText xml:space="preserve"> ADDIN EN.CITE </w:instrText>
      </w:r>
      <w:r>
        <w:rPr>
          <w:sz w:val="24"/>
          <w:szCs w:val="24"/>
        </w:rPr>
        <w:fldChar w:fldCharType="begin">
          <w:fldData xml:space="preserve">PEVuZE5vdGU+PENpdGU+PEF1dGhvcj5XdTwvQXV0aG9yPjxZZWFyPjIwMTg8L1llYXI+PFJlY051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==
</w:fldData>
        </w:fldChar>
      </w:r>
      <w:r>
        <w:rPr>
          <w:sz w:val="24"/>
          <w:szCs w:val="24"/>
        </w:rPr>
        <w:instrText xml:space="preserve"> ADDIN EN.CITE.DATA </w:instrText>
      </w:r>
      <w:r>
        <w:rPr>
          <w:sz w:val="24"/>
          <w:szCs w:val="24"/>
        </w:rPr>
      </w:r>
      <w:r>
        <w:rPr>
          <w:sz w:val="24"/>
          <w:szCs w:val="24"/>
        </w:rPr>
        <w:fldChar w:fldCharType="end"/>
      </w:r>
      <w:r>
        <w:rPr>
          <w:sz w:val="24"/>
          <w:szCs w:val="24"/>
        </w:rPr>
      </w:r>
      <w:r>
        <w:rPr>
          <w:sz w:val="24"/>
          <w:szCs w:val="24"/>
        </w:rPr>
        <w:fldChar w:fldCharType="separate"/>
      </w:r>
      <w:r>
        <w:rPr>
          <w:noProof/>
          <w:sz w:val="20"/>
          <w:szCs w:val="24"/>
        </w:rPr>
        <w:t>[</w:t>
      </w:r>
      <w:hyperlink r:id="rId6" w:anchor="_ENREF_20" w:tooltip="Wu, 2018 #816" w:history="1">
        <w:r>
          <w:rPr>
            <w:rStyle w:val="a7"/>
            <w:noProof/>
            <w:sz w:val="20"/>
            <w:szCs w:val="24"/>
          </w:rPr>
          <w:t>20</w:t>
        </w:r>
      </w:hyperlink>
      <w:r>
        <w:rPr>
          <w:noProof/>
          <w:sz w:val="20"/>
          <w:szCs w:val="24"/>
        </w:rPr>
        <w:t>]</w:t>
      </w:r>
      <w:r>
        <w:rPr>
          <w:sz w:val="24"/>
          <w:szCs w:val="24"/>
        </w:rPr>
        <w:fldChar w:fldCharType="end"/>
      </w:r>
      <w:r>
        <w:rPr>
          <w:sz w:val="24"/>
          <w:szCs w:val="24"/>
        </w:rPr>
        <w:t>.</w:t>
      </w:r>
    </w:p>
    <w:p w14:paraId="3D4C6635" w14:textId="77777777" w:rsidR="00221BB9" w:rsidRDefault="00221BB9" w:rsidP="00221BB9">
      <w:pPr>
        <w:rPr>
          <w:sz w:val="24"/>
          <w:szCs w:val="24"/>
        </w:rPr>
      </w:pPr>
    </w:p>
    <w:p w14:paraId="36F9D62C" w14:textId="77777777" w:rsidR="00221BB9" w:rsidRDefault="00221BB9" w:rsidP="00221BB9">
      <w:pPr>
        <w:rPr>
          <w:rFonts w:ascii="Arial" w:hAnsi="Arial" w:cs="Arial"/>
          <w:b/>
          <w:sz w:val="24"/>
          <w:szCs w:val="24"/>
        </w:rPr>
      </w:pPr>
      <w:r>
        <w:rPr>
          <w:rFonts w:ascii="Arial" w:hAnsi="Arial" w:cs="Arial"/>
          <w:b/>
          <w:sz w:val="24"/>
          <w:szCs w:val="24"/>
        </w:rPr>
        <w:t>Western blotting</w:t>
      </w:r>
    </w:p>
    <w:p w14:paraId="299A2470" w14:textId="77777777" w:rsidR="00221BB9" w:rsidRDefault="00221BB9" w:rsidP="00221BB9">
      <w:pPr>
        <w:rPr>
          <w:rFonts w:ascii="Arial" w:hAnsi="Arial" w:cs="Arial"/>
          <w:b/>
          <w:sz w:val="24"/>
          <w:szCs w:val="24"/>
        </w:rPr>
      </w:pPr>
    </w:p>
    <w:p w14:paraId="197496FC" w14:textId="77777777" w:rsidR="00221BB9" w:rsidRDefault="00221BB9" w:rsidP="00221BB9">
      <w:pPr>
        <w:rPr>
          <w:sz w:val="24"/>
          <w:szCs w:val="24"/>
        </w:rPr>
      </w:pPr>
      <w:r>
        <w:rPr>
          <w:sz w:val="24"/>
          <w:szCs w:val="24"/>
        </w:rPr>
        <w:t>Cells were lysed with RIPA buffer (</w:t>
      </w:r>
      <w:proofErr w:type="spellStart"/>
      <w:r>
        <w:rPr>
          <w:sz w:val="24"/>
          <w:szCs w:val="24"/>
        </w:rPr>
        <w:t>Beyotime</w:t>
      </w:r>
      <w:proofErr w:type="spellEnd"/>
      <w:r>
        <w:rPr>
          <w:sz w:val="24"/>
          <w:szCs w:val="24"/>
        </w:rPr>
        <w:t xml:space="preserve"> Biotechnology, Beijing, China). Protein sample was separated by 10% SDS-PAGE and transferred onto the nitrocellulose membrane. The membrane was blocked with 5% nonfat milk and incubated with primary antibodies listed in Supplementary Materials and methods.</w:t>
      </w:r>
      <w:r>
        <w:rPr>
          <w:color w:val="FF0000"/>
          <w:sz w:val="24"/>
          <w:szCs w:val="24"/>
        </w:rPr>
        <w:t xml:space="preserve"> </w:t>
      </w:r>
      <w:r>
        <w:rPr>
          <w:sz w:val="24"/>
          <w:szCs w:val="24"/>
        </w:rPr>
        <w:t>The membrane was probed with HRP-conjugated secondary antibody. Protein band was visualized by ECL Western Blotting Substrate (</w:t>
      </w:r>
      <w:proofErr w:type="spellStart"/>
      <w:r>
        <w:rPr>
          <w:sz w:val="24"/>
          <w:szCs w:val="24"/>
        </w:rPr>
        <w:t>Tanon</w:t>
      </w:r>
      <w:proofErr w:type="spellEnd"/>
      <w:r>
        <w:rPr>
          <w:sz w:val="24"/>
          <w:szCs w:val="24"/>
        </w:rPr>
        <w:t xml:space="preserve">, Shanghai, China). </w:t>
      </w:r>
    </w:p>
    <w:p w14:paraId="28D1012A" w14:textId="77777777" w:rsidR="00221BB9" w:rsidRDefault="00221BB9" w:rsidP="00221BB9">
      <w:pPr>
        <w:rPr>
          <w:sz w:val="24"/>
          <w:szCs w:val="24"/>
        </w:rPr>
      </w:pPr>
    </w:p>
    <w:p w14:paraId="752663E6" w14:textId="77777777" w:rsidR="00221BB9" w:rsidRDefault="00221BB9" w:rsidP="00221BB9">
      <w:pPr>
        <w:rPr>
          <w:rFonts w:ascii="Arial" w:hAnsi="Arial" w:cs="Arial"/>
          <w:b/>
          <w:sz w:val="24"/>
          <w:szCs w:val="24"/>
        </w:rPr>
      </w:pPr>
      <w:r>
        <w:rPr>
          <w:rFonts w:ascii="Arial" w:hAnsi="Arial" w:cs="Arial"/>
          <w:b/>
          <w:sz w:val="24"/>
          <w:szCs w:val="24"/>
        </w:rPr>
        <w:t>Quantitative real-time PCR (qPCR)</w:t>
      </w:r>
    </w:p>
    <w:p w14:paraId="5CD35EDF" w14:textId="77777777" w:rsidR="00221BB9" w:rsidRDefault="00221BB9" w:rsidP="00221BB9">
      <w:pPr>
        <w:rPr>
          <w:rFonts w:ascii="Arial" w:hAnsi="Arial" w:cs="Arial"/>
          <w:b/>
          <w:sz w:val="24"/>
          <w:szCs w:val="24"/>
        </w:rPr>
      </w:pPr>
    </w:p>
    <w:p w14:paraId="33EB75A4" w14:textId="77777777" w:rsidR="00221BB9" w:rsidRDefault="00221BB9" w:rsidP="00221BB9">
      <w:pPr>
        <w:rPr>
          <w:color w:val="FF0000"/>
          <w:sz w:val="24"/>
          <w:szCs w:val="24"/>
        </w:rPr>
      </w:pPr>
      <w:proofErr w:type="spellStart"/>
      <w:r>
        <w:rPr>
          <w:sz w:val="24"/>
          <w:szCs w:val="24"/>
        </w:rPr>
        <w:t>TRIzol</w:t>
      </w:r>
      <w:proofErr w:type="spellEnd"/>
      <w:r>
        <w:rPr>
          <w:sz w:val="24"/>
          <w:szCs w:val="24"/>
        </w:rPr>
        <w:t xml:space="preserve"> Reagent (</w:t>
      </w:r>
      <w:proofErr w:type="spellStart"/>
      <w:r>
        <w:rPr>
          <w:sz w:val="24"/>
          <w:szCs w:val="24"/>
        </w:rPr>
        <w:t>Vazyme</w:t>
      </w:r>
      <w:proofErr w:type="spellEnd"/>
      <w:r>
        <w:rPr>
          <w:sz w:val="24"/>
          <w:szCs w:val="24"/>
        </w:rPr>
        <w:t xml:space="preserve">) was employed to extract total RNA. </w:t>
      </w:r>
      <w:proofErr w:type="spellStart"/>
      <w:r>
        <w:rPr>
          <w:sz w:val="24"/>
          <w:szCs w:val="24"/>
        </w:rPr>
        <w:t>PrimeScript</w:t>
      </w:r>
      <w:proofErr w:type="spellEnd"/>
      <w:r>
        <w:rPr>
          <w:sz w:val="24"/>
          <w:szCs w:val="24"/>
        </w:rPr>
        <w:t xml:space="preserve"> RT reagent Kit (</w:t>
      </w:r>
      <w:proofErr w:type="spellStart"/>
      <w:r>
        <w:rPr>
          <w:sz w:val="24"/>
          <w:szCs w:val="24"/>
        </w:rPr>
        <w:t>Servicebio</w:t>
      </w:r>
      <w:proofErr w:type="spellEnd"/>
      <w:r>
        <w:rPr>
          <w:sz w:val="24"/>
          <w:szCs w:val="24"/>
        </w:rPr>
        <w:t>) was used to cDNA synthesis. RT-PCR reaction was performed using the SYBR Green PCR Kit (</w:t>
      </w:r>
      <w:proofErr w:type="spellStart"/>
      <w:r>
        <w:rPr>
          <w:sz w:val="24"/>
          <w:szCs w:val="24"/>
        </w:rPr>
        <w:t>Servicebio</w:t>
      </w:r>
      <w:proofErr w:type="spellEnd"/>
      <w:r>
        <w:rPr>
          <w:sz w:val="24"/>
          <w:szCs w:val="24"/>
        </w:rPr>
        <w:t xml:space="preserve">). All results were normalized to GAPDH. The relative expression of mRNAs was quantified using the 2- </w:t>
      </w:r>
      <w:r>
        <w:rPr>
          <w:rFonts w:hint="eastAsia"/>
          <w:sz w:val="24"/>
          <w:szCs w:val="24"/>
        </w:rPr>
        <w:t>△</w:t>
      </w:r>
      <w:r>
        <w:rPr>
          <w:sz w:val="24"/>
          <w:szCs w:val="24"/>
        </w:rPr>
        <w:t xml:space="preserve"> </w:t>
      </w:r>
      <w:r>
        <w:rPr>
          <w:rFonts w:hint="eastAsia"/>
          <w:sz w:val="24"/>
          <w:szCs w:val="24"/>
        </w:rPr>
        <w:t>△</w:t>
      </w:r>
      <w:r>
        <w:rPr>
          <w:sz w:val="24"/>
          <w:szCs w:val="24"/>
        </w:rPr>
        <w:t xml:space="preserve"> Ct method. Primer sequences were are shown in Supplementary Table 1.</w:t>
      </w:r>
      <w:r>
        <w:rPr>
          <w:color w:val="FF0000"/>
          <w:sz w:val="24"/>
          <w:szCs w:val="24"/>
        </w:rPr>
        <w:t xml:space="preserve"> </w:t>
      </w:r>
    </w:p>
    <w:p w14:paraId="6B0CEC3E" w14:textId="77777777" w:rsidR="00221BB9" w:rsidRDefault="00221BB9" w:rsidP="00221BB9">
      <w:pPr>
        <w:rPr>
          <w:color w:val="FF0000"/>
          <w:sz w:val="24"/>
          <w:szCs w:val="24"/>
        </w:rPr>
      </w:pPr>
    </w:p>
    <w:p w14:paraId="69CFF44B" w14:textId="77777777" w:rsidR="00221BB9" w:rsidRDefault="00221BB9" w:rsidP="00221BB9">
      <w:pPr>
        <w:rPr>
          <w:rFonts w:ascii="Arial" w:hAnsi="Arial" w:cs="Arial"/>
          <w:b/>
          <w:sz w:val="24"/>
          <w:szCs w:val="24"/>
        </w:rPr>
      </w:pPr>
      <w:r>
        <w:rPr>
          <w:rFonts w:ascii="Arial" w:hAnsi="Arial" w:cs="Arial"/>
          <w:b/>
          <w:sz w:val="24"/>
          <w:szCs w:val="24"/>
        </w:rPr>
        <w:t>Immunohistochemistry (IHC) assay</w:t>
      </w:r>
    </w:p>
    <w:p w14:paraId="69DBBF21" w14:textId="77777777" w:rsidR="00221BB9" w:rsidRDefault="00221BB9" w:rsidP="00221BB9">
      <w:pPr>
        <w:rPr>
          <w:rFonts w:ascii="Arial" w:hAnsi="Arial" w:cs="Arial"/>
          <w:b/>
          <w:sz w:val="24"/>
          <w:szCs w:val="24"/>
        </w:rPr>
      </w:pPr>
    </w:p>
    <w:p w14:paraId="2E4045AF" w14:textId="77777777" w:rsidR="00221BB9" w:rsidRDefault="00221BB9" w:rsidP="00221BB9">
      <w:pPr>
        <w:rPr>
          <w:color w:val="FF0000"/>
          <w:sz w:val="24"/>
          <w:szCs w:val="24"/>
        </w:rPr>
      </w:pPr>
      <w:r>
        <w:rPr>
          <w:sz w:val="24"/>
          <w:szCs w:val="24"/>
        </w:rPr>
        <w:t xml:space="preserve">IHC analysis was performed as previously reported </w:t>
      </w:r>
      <w:r>
        <w:rPr>
          <w:sz w:val="24"/>
          <w:szCs w:val="24"/>
        </w:rPr>
        <w:fldChar w:fldCharType="begin"/>
      </w:r>
      <w:r>
        <w:rPr>
          <w:sz w:val="24"/>
          <w:szCs w:val="24"/>
        </w:rPr>
        <w:instrText xml:space="preserve"> ADDIN EN.CITE &lt;EndNote&gt;&lt;Cite&gt;&lt;Author&gt;Huo&lt;/Author&gt;&lt;Year&gt;2021&lt;/Year&gt;&lt;RecNum&gt;817&lt;/RecNum&gt;&lt;DisplayText&gt;&lt;style size="10"&gt;[21]&lt;/style&gt;&lt;/DisplayText&gt;&lt;record&gt;&lt;rec-number&gt;817&lt;/rec-number&gt;&lt;foreign-keys&gt;&lt;key app="EN" db-id="9f0ffr2zivdwt2e5v5fxv5z30eprsp9t2z2x"&gt;817&lt;/key&gt;&lt;/foreign-keys&gt;&lt;ref-type name="Journal Article"&gt;17&lt;/ref-type&gt;&lt;contributors&gt;&lt;authors&gt;&lt;author&gt;Huo, F. C.&lt;/author&gt;&lt;author&gt;Zhu, Z. M.&lt;/author&gt;&lt;author&gt;Zhu, W. T.&lt;/author&gt;&lt;author&gt;Du, Q. Y.&lt;/author&gt;&lt;author&gt;Liang, J.&lt;/author&gt;&lt;author&gt;Mou, J.&lt;/author&gt;&lt;/authors&gt;&lt;/contributors&gt;&lt;auth-address&gt;Department of Pathology, Xuzhou Medical University, Xuzhou, Jiangsu, China.&amp;#xD;Department of Basic Medicine, Jiangsu College of Nursing, Huai&amp;apos;an, China.&amp;#xD;Department of Pathology, Xuzhou Medical University, Xuzhou, Jiangsu, China. mou.jie@xzhmu.edu.cn.&amp;#xD;Jiangsu Key Laboratory of New drug and Clinical Pharmacy, Xuzhou Medical University, Xuzhou, Jiangsu, China. mou.jie@xzhmu.edu.cn.&amp;#xD;School of Pharmacy, Xuzhou Medical University, Xuzhou, Jiangsu, China. mou.jie@xzhmu.edu.cn.&lt;/auth-address&gt;&lt;titles&gt;&lt;title&gt;METTL3-mediated m(6)A methylation of SPHK2 promotes gastric cancer progression by targeting KLF2&lt;/title&gt;&lt;secondary-title&gt;Oncogene&lt;/secondary-title&gt;&lt;alt-title&gt;Oncogene&lt;/alt-title&gt;&lt;/titles&gt;&lt;periodical&gt;&lt;full-title&gt;Oncogene&lt;/full-title&gt;&lt;abbr-1&gt;Oncogene&lt;/abbr-1&gt;&lt;/periodical&gt;&lt;alt-periodical&gt;&lt;full-title&gt;Oncogene&lt;/full-title&gt;&lt;abbr-1&gt;Oncogene&lt;/abbr-1&gt;&lt;/alt-periodical&gt;&lt;pages&gt;2968-2981&lt;/pages&gt;&lt;volume&gt;40&lt;/volume&gt;&lt;number&gt;16&lt;/number&gt;&lt;dates&gt;&lt;year&gt;2021&lt;/year&gt;&lt;pub-dates&gt;&lt;date&gt;Apr&lt;/date&gt;&lt;/pub-dates&gt;&lt;/dates&gt;&lt;isbn&gt;1476-5594 (Electronic)&amp;#xD;0950-9232 (Linking)&lt;/isbn&gt;&lt;accession-num&gt;33758320&lt;/accession-num&gt;&lt;urls&gt;&lt;related-urls&gt;&lt;url&gt;http://www.ncbi.nlm.nih.gov/pubmed/33758320&lt;/url&gt;&lt;/related-urls&gt;&lt;/urls&gt;&lt;electronic-resource-num&gt;10.1038/s41388-021-01753-1&lt;/electronic-resource-num&gt;&lt;/record&gt;&lt;/Cite&gt;&lt;/EndNote&gt;</w:instrText>
      </w:r>
      <w:r>
        <w:rPr>
          <w:sz w:val="24"/>
          <w:szCs w:val="24"/>
        </w:rPr>
        <w:fldChar w:fldCharType="separate"/>
      </w:r>
      <w:r>
        <w:rPr>
          <w:noProof/>
          <w:sz w:val="20"/>
          <w:szCs w:val="24"/>
        </w:rPr>
        <w:t>[</w:t>
      </w:r>
      <w:hyperlink r:id="rId7" w:anchor="_ENREF_21" w:tooltip="Huo, 2021 #817" w:history="1">
        <w:r>
          <w:rPr>
            <w:rStyle w:val="a7"/>
            <w:noProof/>
            <w:sz w:val="20"/>
            <w:szCs w:val="24"/>
          </w:rPr>
          <w:t>21</w:t>
        </w:r>
      </w:hyperlink>
      <w:r>
        <w:rPr>
          <w:noProof/>
          <w:sz w:val="20"/>
          <w:szCs w:val="24"/>
        </w:rPr>
        <w:t>]</w:t>
      </w:r>
      <w:r>
        <w:rPr>
          <w:sz w:val="24"/>
          <w:szCs w:val="24"/>
        </w:rPr>
        <w:fldChar w:fldCharType="end"/>
      </w:r>
      <w:r>
        <w:rPr>
          <w:sz w:val="24"/>
          <w:szCs w:val="24"/>
        </w:rPr>
        <w:t xml:space="preserve">. Briefly, tissue sections </w:t>
      </w:r>
      <w:proofErr w:type="gramStart"/>
      <w:r>
        <w:rPr>
          <w:sz w:val="24"/>
          <w:szCs w:val="24"/>
        </w:rPr>
        <w:t>were</w:t>
      </w:r>
      <w:proofErr w:type="gramEnd"/>
      <w:r>
        <w:rPr>
          <w:sz w:val="24"/>
          <w:szCs w:val="24"/>
        </w:rPr>
        <w:t xml:space="preserve"> sections were incubated with the primary antibody, incubated with secondary antibody </w:t>
      </w:r>
      <w:r>
        <w:rPr>
          <w:sz w:val="24"/>
          <w:szCs w:val="24"/>
        </w:rPr>
        <w:lastRenderedPageBreak/>
        <w:t>and then stained with 3, 3′-diaminobenzidine (Zhongshan biotech, Beijing, China). For the evaluation of IHC staining, it was shown in Supplementary Materials and methods.</w:t>
      </w:r>
    </w:p>
    <w:p w14:paraId="72BE053E" w14:textId="77777777" w:rsidR="00221BB9" w:rsidRDefault="00221BB9" w:rsidP="00221BB9">
      <w:pPr>
        <w:rPr>
          <w:rFonts w:ascii="Arial" w:hAnsi="Arial" w:cs="Arial"/>
          <w:sz w:val="24"/>
          <w:szCs w:val="24"/>
        </w:rPr>
      </w:pPr>
    </w:p>
    <w:p w14:paraId="7EDBFDFA" w14:textId="77777777" w:rsidR="00221BB9" w:rsidRDefault="00221BB9" w:rsidP="00221BB9">
      <w:pPr>
        <w:rPr>
          <w:rFonts w:ascii="Arial" w:hAnsi="Arial" w:cs="Arial"/>
          <w:b/>
          <w:sz w:val="24"/>
          <w:szCs w:val="24"/>
        </w:rPr>
      </w:pPr>
      <w:r>
        <w:rPr>
          <w:rFonts w:ascii="Arial" w:hAnsi="Arial" w:cs="Arial"/>
          <w:b/>
          <w:sz w:val="24"/>
          <w:szCs w:val="24"/>
        </w:rPr>
        <w:t>Cell proliferation assay</w:t>
      </w:r>
    </w:p>
    <w:p w14:paraId="58AB53BC" w14:textId="77777777" w:rsidR="00221BB9" w:rsidRDefault="00221BB9" w:rsidP="00221BB9">
      <w:pPr>
        <w:rPr>
          <w:b/>
          <w:sz w:val="24"/>
          <w:szCs w:val="24"/>
        </w:rPr>
      </w:pPr>
    </w:p>
    <w:p w14:paraId="3FB82D23" w14:textId="77777777" w:rsidR="00221BB9" w:rsidRDefault="00221BB9" w:rsidP="00221BB9">
      <w:pPr>
        <w:rPr>
          <w:sz w:val="24"/>
          <w:szCs w:val="24"/>
        </w:rPr>
      </w:pPr>
      <w:r>
        <w:rPr>
          <w:sz w:val="24"/>
          <w:szCs w:val="24"/>
        </w:rPr>
        <w:t>Transfected OS cells</w:t>
      </w:r>
      <w:r>
        <w:rPr>
          <w:color w:val="000000"/>
          <w:sz w:val="24"/>
          <w:szCs w:val="24"/>
        </w:rPr>
        <w:t xml:space="preserve"> (2 × 10</w:t>
      </w:r>
      <w:r>
        <w:rPr>
          <w:color w:val="000000"/>
          <w:sz w:val="24"/>
          <w:szCs w:val="24"/>
          <w:vertAlign w:val="superscript"/>
        </w:rPr>
        <w:t>3</w:t>
      </w:r>
      <w:r>
        <w:rPr>
          <w:color w:val="000000"/>
          <w:sz w:val="24"/>
          <w:szCs w:val="24"/>
        </w:rPr>
        <w:t xml:space="preserve"> cells/well) w</w:t>
      </w:r>
      <w:r>
        <w:rPr>
          <w:sz w:val="24"/>
          <w:szCs w:val="24"/>
        </w:rPr>
        <w:t>ere plated in 96-well plates. 10 µl cell counting kit-8 (CCK-8) solution (</w:t>
      </w:r>
      <w:proofErr w:type="spellStart"/>
      <w:r>
        <w:rPr>
          <w:sz w:val="24"/>
          <w:szCs w:val="24"/>
        </w:rPr>
        <w:t>Vicmed</w:t>
      </w:r>
      <w:proofErr w:type="spellEnd"/>
      <w:r>
        <w:rPr>
          <w:sz w:val="24"/>
          <w:szCs w:val="24"/>
        </w:rPr>
        <w:t>, Xuzhou, China) was added to each well at 24h, 48h and 72h. Cell proliferation was detected by measuring the absorbance at 450nm. The experiment was performed in triplicate.</w:t>
      </w:r>
    </w:p>
    <w:p w14:paraId="17A86964" w14:textId="77777777" w:rsidR="00221BB9" w:rsidRDefault="00221BB9" w:rsidP="00221BB9">
      <w:pPr>
        <w:rPr>
          <w:sz w:val="24"/>
          <w:szCs w:val="24"/>
        </w:rPr>
      </w:pPr>
    </w:p>
    <w:p w14:paraId="32DFD45B" w14:textId="77777777" w:rsidR="00221BB9" w:rsidRDefault="00221BB9" w:rsidP="00221BB9">
      <w:pPr>
        <w:rPr>
          <w:rFonts w:ascii="Arial" w:hAnsi="Arial" w:cs="Arial"/>
          <w:b/>
          <w:sz w:val="24"/>
          <w:szCs w:val="24"/>
        </w:rPr>
      </w:pPr>
      <w:r>
        <w:rPr>
          <w:rFonts w:ascii="Arial" w:hAnsi="Arial" w:cs="Arial"/>
          <w:b/>
          <w:sz w:val="24"/>
          <w:szCs w:val="24"/>
        </w:rPr>
        <w:t xml:space="preserve">Invasion assay </w:t>
      </w:r>
    </w:p>
    <w:p w14:paraId="4FE27548" w14:textId="77777777" w:rsidR="00221BB9" w:rsidRDefault="00221BB9" w:rsidP="00221BB9">
      <w:pPr>
        <w:rPr>
          <w:b/>
          <w:sz w:val="24"/>
          <w:szCs w:val="24"/>
        </w:rPr>
      </w:pPr>
    </w:p>
    <w:p w14:paraId="3DBA3D46" w14:textId="77777777" w:rsidR="00221BB9" w:rsidRDefault="00221BB9" w:rsidP="00221BB9">
      <w:pPr>
        <w:rPr>
          <w:sz w:val="24"/>
          <w:szCs w:val="24"/>
        </w:rPr>
      </w:pPr>
      <w:proofErr w:type="spellStart"/>
      <w:r>
        <w:rPr>
          <w:sz w:val="24"/>
          <w:szCs w:val="24"/>
        </w:rPr>
        <w:t>Transwell</w:t>
      </w:r>
      <w:proofErr w:type="spellEnd"/>
      <w:r>
        <w:rPr>
          <w:sz w:val="24"/>
          <w:szCs w:val="24"/>
        </w:rPr>
        <w:t xml:space="preserve"> chambers containing 8-mm pores were coated with </w:t>
      </w:r>
      <w:proofErr w:type="spellStart"/>
      <w:r>
        <w:rPr>
          <w:sz w:val="24"/>
          <w:szCs w:val="24"/>
        </w:rPr>
        <w:t>matrigel</w:t>
      </w:r>
      <w:proofErr w:type="spellEnd"/>
      <w:r>
        <w:rPr>
          <w:sz w:val="24"/>
          <w:szCs w:val="24"/>
        </w:rPr>
        <w:t>. Cell suspension (2</w:t>
      </w:r>
      <w:r>
        <w:rPr>
          <w:color w:val="000000"/>
          <w:sz w:val="20"/>
          <w:szCs w:val="20"/>
        </w:rPr>
        <w:t>×</w:t>
      </w:r>
      <w:r>
        <w:rPr>
          <w:color w:val="000000"/>
          <w:sz w:val="24"/>
          <w:szCs w:val="24"/>
        </w:rPr>
        <w:t>10</w:t>
      </w:r>
      <w:r>
        <w:rPr>
          <w:color w:val="000000"/>
          <w:sz w:val="24"/>
          <w:szCs w:val="24"/>
          <w:vertAlign w:val="superscript"/>
        </w:rPr>
        <w:t>5</w:t>
      </w:r>
      <w:r>
        <w:rPr>
          <w:color w:val="000000"/>
          <w:sz w:val="24"/>
          <w:szCs w:val="24"/>
        </w:rPr>
        <w:t xml:space="preserve"> cells)</w:t>
      </w:r>
      <w:r>
        <w:rPr>
          <w:sz w:val="24"/>
          <w:szCs w:val="24"/>
        </w:rPr>
        <w:t xml:space="preserve"> with serum was inoculated into the top compartment of the chamber, and 400μl of medium with FBS was added into the lower chamber. After the incubation of 24 h, invasive cells were fixed, </w:t>
      </w:r>
      <w:r>
        <w:rPr>
          <w:rFonts w:ascii="TimesNewRomanPSMT" w:hAnsi="TimesNewRomanPSMT"/>
          <w:color w:val="000000"/>
          <w:sz w:val="24"/>
          <w:szCs w:val="24"/>
        </w:rPr>
        <w:t xml:space="preserve">stained and photographed. </w:t>
      </w:r>
      <w:r>
        <w:rPr>
          <w:sz w:val="24"/>
          <w:szCs w:val="24"/>
        </w:rPr>
        <w:t>The experiment was performed in triplicate.</w:t>
      </w:r>
    </w:p>
    <w:p w14:paraId="2CCD7269" w14:textId="77777777" w:rsidR="00221BB9" w:rsidRDefault="00221BB9" w:rsidP="00221BB9">
      <w:pPr>
        <w:rPr>
          <w:sz w:val="24"/>
          <w:szCs w:val="24"/>
        </w:rPr>
      </w:pPr>
    </w:p>
    <w:p w14:paraId="60AAE0A9" w14:textId="77777777" w:rsidR="00221BB9" w:rsidRDefault="00221BB9" w:rsidP="00221BB9">
      <w:pPr>
        <w:rPr>
          <w:rFonts w:ascii="Arial" w:hAnsi="Arial" w:cs="Arial"/>
          <w:b/>
          <w:sz w:val="24"/>
          <w:szCs w:val="24"/>
        </w:rPr>
      </w:pPr>
      <w:r>
        <w:rPr>
          <w:rFonts w:ascii="Arial" w:hAnsi="Arial" w:cs="Arial"/>
          <w:b/>
          <w:sz w:val="24"/>
          <w:szCs w:val="24"/>
        </w:rPr>
        <w:t>Wound healing assay</w:t>
      </w:r>
    </w:p>
    <w:p w14:paraId="1679AE48" w14:textId="77777777" w:rsidR="00221BB9" w:rsidRDefault="00221BB9" w:rsidP="00221BB9">
      <w:pPr>
        <w:rPr>
          <w:b/>
          <w:sz w:val="24"/>
          <w:szCs w:val="24"/>
        </w:rPr>
      </w:pPr>
    </w:p>
    <w:p w14:paraId="551FAF6F" w14:textId="77777777" w:rsidR="00221BB9" w:rsidRDefault="00221BB9" w:rsidP="00221BB9">
      <w:pPr>
        <w:rPr>
          <w:sz w:val="24"/>
          <w:szCs w:val="24"/>
        </w:rPr>
      </w:pPr>
      <w:r>
        <w:rPr>
          <w:sz w:val="24"/>
          <w:szCs w:val="24"/>
        </w:rPr>
        <w:t>Cells were seeded in 6-well plates. Scratch was produced by a pipette tip. After the incubation of 24 h, wound healing was observed and photographed.</w:t>
      </w:r>
    </w:p>
    <w:p w14:paraId="3B9A26C4" w14:textId="77777777" w:rsidR="00221BB9" w:rsidRDefault="00221BB9" w:rsidP="00221BB9">
      <w:pPr>
        <w:rPr>
          <w:sz w:val="24"/>
          <w:szCs w:val="24"/>
        </w:rPr>
      </w:pPr>
    </w:p>
    <w:p w14:paraId="23CE0732" w14:textId="77777777" w:rsidR="00221BB9" w:rsidRDefault="00221BB9" w:rsidP="00221BB9">
      <w:pPr>
        <w:rPr>
          <w:rFonts w:ascii="Arial" w:hAnsi="Arial" w:cs="Arial"/>
          <w:b/>
          <w:sz w:val="24"/>
          <w:szCs w:val="24"/>
        </w:rPr>
      </w:pPr>
      <w:r>
        <w:rPr>
          <w:rFonts w:ascii="Arial" w:hAnsi="Arial" w:cs="Arial"/>
          <w:b/>
          <w:sz w:val="24"/>
          <w:szCs w:val="24"/>
        </w:rPr>
        <w:t>Cloning formation assay</w:t>
      </w:r>
    </w:p>
    <w:p w14:paraId="31F6C269" w14:textId="77777777" w:rsidR="00221BB9" w:rsidRDefault="00221BB9" w:rsidP="00221BB9">
      <w:pPr>
        <w:rPr>
          <w:b/>
          <w:sz w:val="24"/>
          <w:szCs w:val="24"/>
        </w:rPr>
      </w:pPr>
    </w:p>
    <w:p w14:paraId="628D074A" w14:textId="77777777" w:rsidR="00221BB9" w:rsidRDefault="00221BB9" w:rsidP="00221BB9">
      <w:pPr>
        <w:rPr>
          <w:sz w:val="24"/>
          <w:szCs w:val="24"/>
        </w:rPr>
      </w:pPr>
      <w:r>
        <w:rPr>
          <w:sz w:val="24"/>
          <w:szCs w:val="24"/>
        </w:rPr>
        <w:t>Cells (2 × 10</w:t>
      </w:r>
      <w:r>
        <w:rPr>
          <w:sz w:val="24"/>
          <w:szCs w:val="24"/>
          <w:vertAlign w:val="superscript"/>
        </w:rPr>
        <w:t>3</w:t>
      </w:r>
      <w:r>
        <w:rPr>
          <w:sz w:val="24"/>
          <w:szCs w:val="24"/>
        </w:rPr>
        <w:t>/well) were seeded in 6-well plates for 14 days. The cloning formation of OS cells was fixed using paraformaldehyde and stained with crystal violet. Cloning formation efficiencies were counted.</w:t>
      </w:r>
    </w:p>
    <w:p w14:paraId="575D9738" w14:textId="77777777" w:rsidR="00221BB9" w:rsidRDefault="00221BB9" w:rsidP="00221BB9">
      <w:pPr>
        <w:rPr>
          <w:sz w:val="24"/>
          <w:szCs w:val="24"/>
        </w:rPr>
      </w:pPr>
    </w:p>
    <w:p w14:paraId="3C7F2A6B" w14:textId="77777777" w:rsidR="00221BB9" w:rsidRDefault="00221BB9" w:rsidP="00221BB9">
      <w:pPr>
        <w:rPr>
          <w:rFonts w:ascii="Arial" w:hAnsi="Arial" w:cs="Arial"/>
          <w:b/>
          <w:sz w:val="24"/>
          <w:szCs w:val="24"/>
        </w:rPr>
      </w:pPr>
      <w:r>
        <w:rPr>
          <w:rFonts w:ascii="Arial" w:hAnsi="Arial" w:cs="Arial"/>
          <w:b/>
          <w:sz w:val="24"/>
          <w:szCs w:val="24"/>
        </w:rPr>
        <w:t xml:space="preserve">Flow cytometry-based apoptosis detection </w:t>
      </w:r>
    </w:p>
    <w:p w14:paraId="758B1400" w14:textId="77777777" w:rsidR="00221BB9" w:rsidRDefault="00221BB9" w:rsidP="00221BB9">
      <w:pPr>
        <w:rPr>
          <w:b/>
          <w:sz w:val="24"/>
          <w:szCs w:val="24"/>
        </w:rPr>
      </w:pPr>
    </w:p>
    <w:p w14:paraId="738B28A0" w14:textId="77777777" w:rsidR="00221BB9" w:rsidRDefault="00221BB9" w:rsidP="00221BB9">
      <w:pPr>
        <w:rPr>
          <w:sz w:val="24"/>
          <w:szCs w:val="24"/>
        </w:rPr>
      </w:pPr>
      <w:r>
        <w:rPr>
          <w:color w:val="000000"/>
          <w:sz w:val="24"/>
          <w:szCs w:val="24"/>
        </w:rPr>
        <w:t>Fluorescein Annexin V-FITC/PI double labeling</w:t>
      </w:r>
      <w:r>
        <w:rPr>
          <w:sz w:val="24"/>
          <w:szCs w:val="24"/>
        </w:rPr>
        <w:t xml:space="preserve"> was performed using Annexin V-FITC/PI Apoptosis Detection Kit (</w:t>
      </w:r>
      <w:proofErr w:type="spellStart"/>
      <w:r>
        <w:rPr>
          <w:sz w:val="24"/>
          <w:szCs w:val="24"/>
        </w:rPr>
        <w:t>Elabscience</w:t>
      </w:r>
      <w:proofErr w:type="spellEnd"/>
      <w:r>
        <w:rPr>
          <w:sz w:val="24"/>
          <w:szCs w:val="24"/>
        </w:rPr>
        <w:t xml:space="preserve"> Biotechnology, Wuhan, China) to detect the apoptotic cells. The cells were stained according to the manufacturer’s instructions and the apoptotic cells were determined with a flow cytometer (BD Biosciences, US) and analyzed with </w:t>
      </w:r>
      <w:proofErr w:type="spellStart"/>
      <w:r>
        <w:rPr>
          <w:sz w:val="24"/>
          <w:szCs w:val="24"/>
        </w:rPr>
        <w:t>FlowJo</w:t>
      </w:r>
      <w:proofErr w:type="spellEnd"/>
      <w:r>
        <w:rPr>
          <w:sz w:val="24"/>
          <w:szCs w:val="24"/>
        </w:rPr>
        <w:t xml:space="preserve"> 10 Software (</w:t>
      </w:r>
      <w:proofErr w:type="spellStart"/>
      <w:r>
        <w:rPr>
          <w:sz w:val="24"/>
          <w:szCs w:val="24"/>
        </w:rPr>
        <w:t>FlowJo</w:t>
      </w:r>
      <w:proofErr w:type="spellEnd"/>
      <w:r>
        <w:rPr>
          <w:sz w:val="24"/>
          <w:szCs w:val="24"/>
        </w:rPr>
        <w:t xml:space="preserve"> Systems, Tree Star, OR).</w:t>
      </w:r>
    </w:p>
    <w:p w14:paraId="3CA2803B" w14:textId="77777777" w:rsidR="00221BB9" w:rsidRDefault="00221BB9" w:rsidP="00221BB9">
      <w:pPr>
        <w:rPr>
          <w:sz w:val="24"/>
          <w:szCs w:val="24"/>
        </w:rPr>
      </w:pPr>
    </w:p>
    <w:p w14:paraId="411E25E2" w14:textId="77777777" w:rsidR="00221BB9" w:rsidRDefault="00221BB9" w:rsidP="00221BB9">
      <w:pPr>
        <w:rPr>
          <w:rFonts w:ascii="Arial" w:hAnsi="Arial" w:cs="Arial"/>
          <w:b/>
          <w:sz w:val="24"/>
          <w:szCs w:val="24"/>
        </w:rPr>
      </w:pPr>
      <w:r>
        <w:rPr>
          <w:rFonts w:ascii="Arial" w:hAnsi="Arial" w:cs="Arial"/>
          <w:b/>
          <w:sz w:val="24"/>
          <w:szCs w:val="24"/>
        </w:rPr>
        <w:t>m6A quantification assay</w:t>
      </w:r>
    </w:p>
    <w:p w14:paraId="3CA02FC2" w14:textId="77777777" w:rsidR="00221BB9" w:rsidRDefault="00221BB9" w:rsidP="00221BB9">
      <w:pPr>
        <w:rPr>
          <w:b/>
          <w:sz w:val="24"/>
          <w:szCs w:val="24"/>
        </w:rPr>
      </w:pPr>
    </w:p>
    <w:p w14:paraId="68550B74" w14:textId="77777777" w:rsidR="00221BB9" w:rsidRDefault="00221BB9" w:rsidP="00221BB9">
      <w:pPr>
        <w:rPr>
          <w:sz w:val="24"/>
          <w:szCs w:val="24"/>
        </w:rPr>
      </w:pPr>
      <w:r>
        <w:rPr>
          <w:sz w:val="24"/>
          <w:szCs w:val="24"/>
        </w:rPr>
        <w:t xml:space="preserve">RNA was extracted with </w:t>
      </w:r>
      <w:proofErr w:type="spellStart"/>
      <w:r>
        <w:rPr>
          <w:sz w:val="24"/>
          <w:szCs w:val="24"/>
        </w:rPr>
        <w:t>Trizol</w:t>
      </w:r>
      <w:proofErr w:type="spellEnd"/>
      <w:r>
        <w:rPr>
          <w:sz w:val="24"/>
          <w:szCs w:val="24"/>
        </w:rPr>
        <w:t xml:space="preserve"> reagent (</w:t>
      </w:r>
      <w:proofErr w:type="spellStart"/>
      <w:r>
        <w:rPr>
          <w:sz w:val="24"/>
          <w:szCs w:val="24"/>
        </w:rPr>
        <w:t>Vazyme</w:t>
      </w:r>
      <w:proofErr w:type="spellEnd"/>
      <w:r>
        <w:rPr>
          <w:sz w:val="24"/>
          <w:szCs w:val="24"/>
        </w:rPr>
        <w:t>) according to manufacturer’s instructions. The m6A RNA methylation quantification kit (Abcam) was used to measure the m6A content of total RNA following the manufacturer’s instructions. A standard curve was built from synthetic RNAs provided in the kit to infer the m6A levels.</w:t>
      </w:r>
    </w:p>
    <w:p w14:paraId="21A54326" w14:textId="77777777" w:rsidR="00221BB9" w:rsidRDefault="00221BB9" w:rsidP="00221BB9">
      <w:pPr>
        <w:rPr>
          <w:sz w:val="24"/>
          <w:szCs w:val="24"/>
        </w:rPr>
      </w:pPr>
    </w:p>
    <w:p w14:paraId="5C0DD2C2" w14:textId="77777777" w:rsidR="00221BB9" w:rsidRDefault="00221BB9" w:rsidP="00221BB9">
      <w:pPr>
        <w:rPr>
          <w:rFonts w:ascii="Arial" w:hAnsi="Arial" w:cs="Arial"/>
          <w:b/>
          <w:sz w:val="24"/>
          <w:szCs w:val="24"/>
        </w:rPr>
      </w:pPr>
      <w:r>
        <w:rPr>
          <w:rFonts w:ascii="Arial" w:hAnsi="Arial" w:cs="Arial"/>
          <w:b/>
          <w:sz w:val="24"/>
          <w:szCs w:val="24"/>
        </w:rPr>
        <w:t>Dot blot assay</w:t>
      </w:r>
    </w:p>
    <w:p w14:paraId="195B4108" w14:textId="77777777" w:rsidR="00221BB9" w:rsidRDefault="00221BB9" w:rsidP="00221BB9">
      <w:pPr>
        <w:rPr>
          <w:b/>
          <w:color w:val="000000"/>
          <w:sz w:val="24"/>
          <w:szCs w:val="24"/>
        </w:rPr>
      </w:pPr>
    </w:p>
    <w:p w14:paraId="5CDAA09A" w14:textId="77777777" w:rsidR="00221BB9" w:rsidRDefault="00221BB9" w:rsidP="00221BB9">
      <w:pPr>
        <w:rPr>
          <w:sz w:val="24"/>
          <w:szCs w:val="24"/>
        </w:rPr>
      </w:pPr>
      <w:r>
        <w:rPr>
          <w:sz w:val="24"/>
          <w:szCs w:val="24"/>
        </w:rPr>
        <w:t>Total RNA was mixed in incubation buffer and denatured. Samples mixed with SSC buffer were spotted to a nitrocellulose filter membrane. After ultraviolet crosslinking, the membrane was stained, incubated with m6A antibody. Detailed process was shown in Supplementary Materials and methods.</w:t>
      </w:r>
    </w:p>
    <w:p w14:paraId="4A5025D6" w14:textId="77777777" w:rsidR="00221BB9" w:rsidRDefault="00221BB9" w:rsidP="00221BB9">
      <w:pPr>
        <w:rPr>
          <w:color w:val="0000FF"/>
          <w:sz w:val="24"/>
          <w:szCs w:val="24"/>
        </w:rPr>
      </w:pPr>
    </w:p>
    <w:p w14:paraId="7FC8602D" w14:textId="77777777" w:rsidR="00221BB9" w:rsidRDefault="00221BB9" w:rsidP="00221BB9">
      <w:pPr>
        <w:rPr>
          <w:rFonts w:ascii="Arial" w:hAnsi="Arial" w:cs="Arial"/>
          <w:b/>
          <w:color w:val="000000"/>
          <w:sz w:val="24"/>
          <w:szCs w:val="24"/>
        </w:rPr>
      </w:pPr>
      <w:r>
        <w:rPr>
          <w:rFonts w:ascii="Arial" w:hAnsi="Arial" w:cs="Arial"/>
          <w:b/>
          <w:color w:val="000000"/>
          <w:sz w:val="24"/>
          <w:szCs w:val="24"/>
        </w:rPr>
        <w:t>RNA immunoprecipitation (RIP) assay</w:t>
      </w:r>
    </w:p>
    <w:p w14:paraId="451E8B98" w14:textId="77777777" w:rsidR="00221BB9" w:rsidRDefault="00221BB9" w:rsidP="00221BB9">
      <w:pPr>
        <w:rPr>
          <w:b/>
          <w:color w:val="000000"/>
          <w:sz w:val="24"/>
          <w:szCs w:val="24"/>
        </w:rPr>
      </w:pPr>
    </w:p>
    <w:p w14:paraId="3FDE19C4" w14:textId="77777777" w:rsidR="00221BB9" w:rsidRDefault="00221BB9" w:rsidP="00221BB9">
      <w:pPr>
        <w:rPr>
          <w:color w:val="000000"/>
          <w:sz w:val="24"/>
          <w:szCs w:val="24"/>
        </w:rPr>
      </w:pPr>
      <w:r>
        <w:rPr>
          <w:color w:val="000000"/>
          <w:sz w:val="24"/>
          <w:szCs w:val="24"/>
        </w:rPr>
        <w:t>RIP assay performed using the Magna RIP™ RNA-binding protein immunoprecipitation kit (Millipore, Bedford, MA, USA) according to the manufacturer’ s instruction. The antibodies against YTHDF2 (</w:t>
      </w:r>
      <w:proofErr w:type="spellStart"/>
      <w:r>
        <w:rPr>
          <w:color w:val="000000"/>
          <w:sz w:val="24"/>
          <w:szCs w:val="24"/>
        </w:rPr>
        <w:t>Proteintech</w:t>
      </w:r>
      <w:proofErr w:type="spellEnd"/>
      <w:r>
        <w:rPr>
          <w:color w:val="000000"/>
          <w:sz w:val="24"/>
          <w:szCs w:val="24"/>
        </w:rPr>
        <w:t>) and IgG control (</w:t>
      </w:r>
      <w:proofErr w:type="spellStart"/>
      <w:r>
        <w:rPr>
          <w:color w:val="000000"/>
          <w:sz w:val="24"/>
          <w:szCs w:val="24"/>
        </w:rPr>
        <w:t>Beyotime</w:t>
      </w:r>
      <w:proofErr w:type="spellEnd"/>
      <w:r>
        <w:rPr>
          <w:color w:val="000000"/>
          <w:sz w:val="24"/>
          <w:szCs w:val="24"/>
        </w:rPr>
        <w:t xml:space="preserve"> Biotechnology) were applied for precipitating target RNAs. After incubation with Protein-A/G beads, co-precipitated RNAs were reverse-transcribed and detected by </w:t>
      </w:r>
      <w:proofErr w:type="spellStart"/>
      <w:r>
        <w:rPr>
          <w:color w:val="000000"/>
          <w:sz w:val="24"/>
          <w:szCs w:val="24"/>
        </w:rPr>
        <w:t>qRT</w:t>
      </w:r>
      <w:proofErr w:type="spellEnd"/>
      <w:r>
        <w:rPr>
          <w:color w:val="000000"/>
          <w:sz w:val="24"/>
          <w:szCs w:val="24"/>
        </w:rPr>
        <w:t>-PCR.</w:t>
      </w:r>
    </w:p>
    <w:p w14:paraId="468F3BFC" w14:textId="77777777" w:rsidR="00221BB9" w:rsidRDefault="00221BB9" w:rsidP="00221BB9">
      <w:pPr>
        <w:rPr>
          <w:rFonts w:ascii="Arial" w:hAnsi="Arial" w:cs="Arial"/>
          <w:color w:val="000000"/>
          <w:sz w:val="24"/>
          <w:szCs w:val="24"/>
        </w:rPr>
      </w:pPr>
    </w:p>
    <w:p w14:paraId="7FFD0CD5" w14:textId="77777777" w:rsidR="00221BB9" w:rsidRDefault="00221BB9" w:rsidP="00221BB9">
      <w:pPr>
        <w:rPr>
          <w:rFonts w:ascii="Arial" w:hAnsi="Arial" w:cs="Arial"/>
          <w:b/>
          <w:color w:val="000000"/>
          <w:sz w:val="24"/>
          <w:szCs w:val="24"/>
        </w:rPr>
      </w:pPr>
      <w:r>
        <w:rPr>
          <w:rFonts w:ascii="Arial" w:hAnsi="Arial" w:cs="Arial"/>
          <w:b/>
          <w:color w:val="000000"/>
          <w:sz w:val="24"/>
          <w:szCs w:val="24"/>
        </w:rPr>
        <w:t>Methylated-RNA immune precipitation (Me-RIP) assay</w:t>
      </w:r>
    </w:p>
    <w:p w14:paraId="29E242DD" w14:textId="77777777" w:rsidR="00221BB9" w:rsidRDefault="00221BB9" w:rsidP="00221BB9">
      <w:pPr>
        <w:rPr>
          <w:b/>
          <w:color w:val="000000"/>
          <w:sz w:val="24"/>
          <w:szCs w:val="24"/>
        </w:rPr>
      </w:pPr>
    </w:p>
    <w:p w14:paraId="682BD8F2" w14:textId="77777777" w:rsidR="00221BB9" w:rsidRDefault="00221BB9" w:rsidP="00221BB9">
      <w:pPr>
        <w:rPr>
          <w:color w:val="000000"/>
          <w:sz w:val="24"/>
          <w:szCs w:val="24"/>
        </w:rPr>
      </w:pPr>
      <w:r>
        <w:rPr>
          <w:color w:val="000000"/>
          <w:sz w:val="24"/>
          <w:szCs w:val="24"/>
        </w:rPr>
        <w:t>Me-RIP assay was carried out using Magna Me-RIP</w:t>
      </w:r>
      <w:r>
        <w:rPr>
          <w:color w:val="000000"/>
          <w:sz w:val="24"/>
          <w:szCs w:val="24"/>
          <w:vertAlign w:val="superscript"/>
        </w:rPr>
        <w:t>TM</w:t>
      </w:r>
      <w:r>
        <w:rPr>
          <w:color w:val="000000"/>
          <w:sz w:val="24"/>
          <w:szCs w:val="24"/>
        </w:rPr>
        <w:t xml:space="preserve"> m6A Kit (Millipore) according to standard protocol. Briefly, total RNAs were extracted. Chemically fragmented RNA (~100 nucleotides) was incubated with anti-m6A antibody for m6A immunoprecipitation. After washing with IP buffer, RNA was eluted and subjected to ethanol precipitation. Finally, enrichment of m6A containing mRNA was analyzed by </w:t>
      </w:r>
      <w:proofErr w:type="spellStart"/>
      <w:r>
        <w:rPr>
          <w:color w:val="000000"/>
          <w:sz w:val="24"/>
          <w:szCs w:val="24"/>
        </w:rPr>
        <w:t>qRT</w:t>
      </w:r>
      <w:proofErr w:type="spellEnd"/>
      <w:r>
        <w:rPr>
          <w:color w:val="000000"/>
          <w:sz w:val="24"/>
          <w:szCs w:val="24"/>
        </w:rPr>
        <w:t>-PCR and calculated by normalizing to the input.</w:t>
      </w:r>
    </w:p>
    <w:p w14:paraId="752EB2BF" w14:textId="77777777" w:rsidR="00221BB9" w:rsidRDefault="00221BB9" w:rsidP="00221BB9">
      <w:pPr>
        <w:rPr>
          <w:color w:val="000000"/>
          <w:sz w:val="24"/>
          <w:szCs w:val="24"/>
        </w:rPr>
      </w:pPr>
    </w:p>
    <w:p w14:paraId="1B8C4CBD" w14:textId="77777777" w:rsidR="00221BB9" w:rsidRDefault="00221BB9" w:rsidP="00221BB9">
      <w:pPr>
        <w:rPr>
          <w:rFonts w:ascii="Arial" w:hAnsi="Arial" w:cs="Arial"/>
          <w:b/>
          <w:sz w:val="24"/>
          <w:szCs w:val="24"/>
        </w:rPr>
      </w:pPr>
      <w:r>
        <w:rPr>
          <w:rFonts w:ascii="Arial" w:hAnsi="Arial" w:cs="Arial"/>
          <w:b/>
          <w:sz w:val="24"/>
          <w:szCs w:val="24"/>
        </w:rPr>
        <w:t>Statistical analysis</w:t>
      </w:r>
    </w:p>
    <w:p w14:paraId="7068B22B" w14:textId="77777777" w:rsidR="00221BB9" w:rsidRDefault="00221BB9" w:rsidP="00221BB9">
      <w:pPr>
        <w:rPr>
          <w:b/>
          <w:sz w:val="24"/>
          <w:szCs w:val="24"/>
        </w:rPr>
      </w:pPr>
    </w:p>
    <w:p w14:paraId="7B880EB5" w14:textId="77777777" w:rsidR="00221BB9" w:rsidRDefault="00221BB9" w:rsidP="00221BB9">
      <w:pPr>
        <w:rPr>
          <w:sz w:val="24"/>
          <w:szCs w:val="24"/>
        </w:rPr>
      </w:pPr>
      <w:r>
        <w:rPr>
          <w:sz w:val="24"/>
          <w:szCs w:val="24"/>
        </w:rPr>
        <w:t xml:space="preserve">All data were presented as the mean ± SD from three independent experiments. Unpaired Student’s t tests and one-way ANOVA were used for two groups and multiple comparisons, respectively. Chi-square was applied to evaluate the relationship between FTO expression and OS clinicopathological features. Survival curves were generated with the Kaplan-Meier method and log-rank test. </w:t>
      </w:r>
      <w:r>
        <w:rPr>
          <w:color w:val="000000"/>
          <w:sz w:val="24"/>
          <w:szCs w:val="24"/>
        </w:rPr>
        <w:t xml:space="preserve">Correlation analysis FTO and KLF3 mRNA expressions in OS tissues was evaluated by the Pearson correlation test. </w:t>
      </w:r>
      <w:r>
        <w:rPr>
          <w:sz w:val="24"/>
          <w:szCs w:val="24"/>
        </w:rPr>
        <w:t>Two-sided P values &lt; 0.05 were considered statistically significant.</w:t>
      </w:r>
    </w:p>
    <w:p w14:paraId="7BC29111" w14:textId="77777777" w:rsidR="00D37EBF" w:rsidRDefault="00D37EBF"/>
    <w:sectPr w:rsidR="00D37E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04EABC" w14:textId="77777777" w:rsidR="00917B94" w:rsidRDefault="00917B94" w:rsidP="00221BB9">
      <w:r>
        <w:separator/>
      </w:r>
    </w:p>
  </w:endnote>
  <w:endnote w:type="continuationSeparator" w:id="0">
    <w:p w14:paraId="52FC9514" w14:textId="77777777" w:rsidR="00917B94" w:rsidRDefault="00917B94" w:rsidP="00221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F2095" w14:textId="77777777" w:rsidR="00917B94" w:rsidRDefault="00917B94" w:rsidP="00221BB9">
      <w:r>
        <w:separator/>
      </w:r>
    </w:p>
  </w:footnote>
  <w:footnote w:type="continuationSeparator" w:id="0">
    <w:p w14:paraId="5FE58340" w14:textId="77777777" w:rsidR="00917B94" w:rsidRDefault="00917B94" w:rsidP="00221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D73"/>
    <w:rsid w:val="0005070F"/>
    <w:rsid w:val="00077F83"/>
    <w:rsid w:val="00221BB9"/>
    <w:rsid w:val="00232039"/>
    <w:rsid w:val="002C6AEC"/>
    <w:rsid w:val="00433D73"/>
    <w:rsid w:val="00917B94"/>
    <w:rsid w:val="00D37EBF"/>
    <w:rsid w:val="00DF03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CED986"/>
  <w15:chartTrackingRefBased/>
  <w15:docId w15:val="{EB946735-9E9B-4B08-BFA8-27581490B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1BB9"/>
    <w:pPr>
      <w:widowControl w:val="0"/>
      <w:jc w:val="both"/>
    </w:pPr>
    <w:rPr>
      <w:rFonts w:ascii="Times New Roman" w:eastAsia="宋体" w:hAnsi="Times New Roman" w:cs="Times New Roman"/>
      <w:color w:val="131413"/>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21BB9"/>
    <w:pPr>
      <w:pBdr>
        <w:bottom w:val="single" w:sz="6" w:space="1" w:color="auto"/>
      </w:pBdr>
      <w:tabs>
        <w:tab w:val="center" w:pos="4153"/>
        <w:tab w:val="right" w:pos="8306"/>
      </w:tabs>
      <w:snapToGrid w:val="0"/>
      <w:jc w:val="center"/>
    </w:pPr>
    <w:rPr>
      <w:rFonts w:asciiTheme="minorHAnsi" w:eastAsiaTheme="minorEastAsia" w:hAnsiTheme="minorHAnsi" w:cstheme="minorBidi"/>
      <w:color w:val="auto"/>
    </w:rPr>
  </w:style>
  <w:style w:type="character" w:customStyle="1" w:styleId="a4">
    <w:name w:val="页眉 字符"/>
    <w:basedOn w:val="a0"/>
    <w:link w:val="a3"/>
    <w:uiPriority w:val="99"/>
    <w:rsid w:val="00221BB9"/>
    <w:rPr>
      <w:sz w:val="18"/>
      <w:szCs w:val="18"/>
    </w:rPr>
  </w:style>
  <w:style w:type="paragraph" w:styleId="a5">
    <w:name w:val="footer"/>
    <w:basedOn w:val="a"/>
    <w:link w:val="a6"/>
    <w:uiPriority w:val="99"/>
    <w:unhideWhenUsed/>
    <w:rsid w:val="00221BB9"/>
    <w:pPr>
      <w:tabs>
        <w:tab w:val="center" w:pos="4153"/>
        <w:tab w:val="right" w:pos="8306"/>
      </w:tabs>
      <w:snapToGrid w:val="0"/>
      <w:jc w:val="left"/>
    </w:pPr>
    <w:rPr>
      <w:rFonts w:asciiTheme="minorHAnsi" w:eastAsiaTheme="minorEastAsia" w:hAnsiTheme="minorHAnsi" w:cstheme="minorBidi"/>
      <w:color w:val="auto"/>
    </w:rPr>
  </w:style>
  <w:style w:type="character" w:customStyle="1" w:styleId="a6">
    <w:name w:val="页脚 字符"/>
    <w:basedOn w:val="a0"/>
    <w:link w:val="a5"/>
    <w:uiPriority w:val="99"/>
    <w:rsid w:val="00221BB9"/>
    <w:rPr>
      <w:sz w:val="18"/>
      <w:szCs w:val="18"/>
    </w:rPr>
  </w:style>
  <w:style w:type="character" w:styleId="a7">
    <w:name w:val="Hyperlink"/>
    <w:basedOn w:val="a0"/>
    <w:uiPriority w:val="99"/>
    <w:semiHidden/>
    <w:unhideWhenUsed/>
    <w:rsid w:val="00221B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824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file:///C:\Users\16389\Desktop\SCI\Drugs&#25237;&#31295;\Manuscript.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16389\Desktop\SCI\Drugs&#25237;&#31295;\Manuscript.doc"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1242</Words>
  <Characters>7084</Characters>
  <Application>Microsoft Office Word</Application>
  <DocSecurity>0</DocSecurity>
  <Lines>59</Lines>
  <Paragraphs>16</Paragraphs>
  <ScaleCrop>false</ScaleCrop>
  <Company/>
  <LinksUpToDate>false</LinksUpToDate>
  <CharactersWithSpaces>8310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4</cp:revision>
  <dcterms:created xsi:type="dcterms:W3CDTF">2021-10-06T11:10:00Z</dcterms:created>
  <dcterms:modified xsi:type="dcterms:W3CDTF">2021-10-15T15:22:00Z</dcterms:modified>
</cp:coreProperties>
</file>