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F2" w:rsidRPr="00360F0F" w:rsidRDefault="00B3086F" w:rsidP="001964F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1</w:t>
      </w:r>
      <w:bookmarkStart w:id="0" w:name="_GoBack"/>
      <w:bookmarkEnd w:id="0"/>
      <w:r w:rsidR="001964F2" w:rsidRPr="00360F0F">
        <w:rPr>
          <w:rFonts w:ascii="Times New Roman" w:hAnsi="Times New Roman" w:cs="Times New Roman"/>
        </w:rPr>
        <w:t>. Longitudinal clinical and biomarker changes</w:t>
      </w: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172"/>
        <w:gridCol w:w="2380"/>
        <w:gridCol w:w="2380"/>
        <w:gridCol w:w="841"/>
      </w:tblGrid>
      <w:tr w:rsidR="0096169C" w:rsidRPr="00360F0F" w:rsidTr="00562871">
        <w:trPr>
          <w:tblHeader/>
        </w:trPr>
        <w:tc>
          <w:tcPr>
            <w:tcW w:w="1977" w:type="dxa"/>
            <w:vAlign w:val="center"/>
            <w:hideMark/>
          </w:tcPr>
          <w:p w:rsidR="0096169C" w:rsidRPr="00360F0F" w:rsidRDefault="0096169C" w:rsidP="0096169C">
            <w:pPr>
              <w:rPr>
                <w:rFonts w:ascii="Times New Roman" w:hAnsi="Times New Roman" w:cs="Times New Roman"/>
                <w:b/>
                <w:bCs/>
              </w:rPr>
            </w:pPr>
            <w:r w:rsidRPr="00360F0F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172" w:type="dxa"/>
            <w:vAlign w:val="center"/>
            <w:hideMark/>
          </w:tcPr>
          <w:p w:rsidR="0096169C" w:rsidRPr="00360F0F" w:rsidRDefault="0096169C" w:rsidP="0096169C">
            <w:pPr>
              <w:rPr>
                <w:rFonts w:ascii="Times New Roman" w:hAnsi="Times New Roman" w:cs="Times New Roman"/>
                <w:b/>
                <w:bCs/>
              </w:rPr>
            </w:pPr>
            <w:r w:rsidRPr="00360F0F">
              <w:rPr>
                <w:rFonts w:ascii="Times New Roman" w:hAnsi="Times New Roman" w:cs="Times New Roman"/>
                <w:b/>
                <w:bCs/>
              </w:rPr>
              <w:t>Time point</w:t>
            </w:r>
          </w:p>
        </w:tc>
        <w:tc>
          <w:tcPr>
            <w:tcW w:w="2380" w:type="dxa"/>
            <w:vAlign w:val="center"/>
            <w:hideMark/>
          </w:tcPr>
          <w:p w:rsidR="0096169C" w:rsidRPr="00360F0F" w:rsidRDefault="0096169C" w:rsidP="0096169C">
            <w:pPr>
              <w:rPr>
                <w:rFonts w:ascii="Times New Roman" w:hAnsi="Times New Roman" w:cs="Times New Roman"/>
                <w:b/>
                <w:bCs/>
              </w:rPr>
            </w:pPr>
            <w:r w:rsidRPr="00360F0F">
              <w:rPr>
                <w:rFonts w:ascii="Times New Roman" w:hAnsi="Times New Roman" w:cs="Times New Roman"/>
                <w:b/>
                <w:bCs/>
              </w:rPr>
              <w:t>HBP</w:t>
            </w:r>
          </w:p>
        </w:tc>
        <w:tc>
          <w:tcPr>
            <w:tcW w:w="2380" w:type="dxa"/>
            <w:vAlign w:val="center"/>
            <w:hideMark/>
          </w:tcPr>
          <w:p w:rsidR="0096169C" w:rsidRPr="00360F0F" w:rsidRDefault="0096169C" w:rsidP="0096169C">
            <w:pPr>
              <w:rPr>
                <w:rFonts w:ascii="Times New Roman" w:hAnsi="Times New Roman" w:cs="Times New Roman"/>
                <w:b/>
                <w:bCs/>
              </w:rPr>
            </w:pPr>
            <w:r w:rsidRPr="00360F0F">
              <w:rPr>
                <w:rFonts w:ascii="Times New Roman" w:hAnsi="Times New Roman" w:cs="Times New Roman"/>
                <w:b/>
                <w:bCs/>
              </w:rPr>
              <w:t>LBBP</w:t>
            </w:r>
          </w:p>
        </w:tc>
        <w:tc>
          <w:tcPr>
            <w:tcW w:w="841" w:type="dxa"/>
            <w:vAlign w:val="center"/>
            <w:hideMark/>
          </w:tcPr>
          <w:p w:rsidR="0096169C" w:rsidRPr="00360F0F" w:rsidRDefault="0096169C" w:rsidP="0096169C">
            <w:pPr>
              <w:rPr>
                <w:rFonts w:ascii="Times New Roman" w:hAnsi="Times New Roman" w:cs="Times New Roman"/>
                <w:b/>
                <w:bCs/>
              </w:rPr>
            </w:pPr>
            <w:r w:rsidRPr="00360F0F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62871" w:rsidRPr="00360F0F" w:rsidTr="00562871">
        <w:tc>
          <w:tcPr>
            <w:tcW w:w="1977" w:type="dxa"/>
            <w:vMerge w:val="restart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  <w:b/>
                <w:bCs/>
              </w:rPr>
              <w:t>NYHA class</w:t>
            </w:r>
          </w:p>
        </w:tc>
        <w:tc>
          <w:tcPr>
            <w:tcW w:w="1172" w:type="dxa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Implant</w:t>
            </w:r>
          </w:p>
        </w:tc>
        <w:tc>
          <w:tcPr>
            <w:tcW w:w="2380" w:type="dxa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2.6 ± 0.5, n=75</w:t>
            </w:r>
          </w:p>
        </w:tc>
        <w:tc>
          <w:tcPr>
            <w:tcW w:w="2380" w:type="dxa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2.7 ± 0.6, n=92</w:t>
            </w:r>
          </w:p>
        </w:tc>
        <w:tc>
          <w:tcPr>
            <w:tcW w:w="841" w:type="dxa"/>
            <w:vAlign w:val="center"/>
            <w:hideMark/>
          </w:tcPr>
          <w:p w:rsidR="00562871" w:rsidRPr="00360F0F" w:rsidRDefault="00BA3732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0.245</w:t>
            </w:r>
          </w:p>
        </w:tc>
      </w:tr>
      <w:tr w:rsidR="00562871" w:rsidRPr="00360F0F" w:rsidTr="00562871">
        <w:tc>
          <w:tcPr>
            <w:tcW w:w="1977" w:type="dxa"/>
            <w:vMerge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6 months</w:t>
            </w:r>
          </w:p>
        </w:tc>
        <w:tc>
          <w:tcPr>
            <w:tcW w:w="2380" w:type="dxa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1.8 ± 0.6, n=73</w:t>
            </w:r>
          </w:p>
        </w:tc>
        <w:tc>
          <w:tcPr>
            <w:tcW w:w="2380" w:type="dxa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1.6 ± 0.5, n=90</w:t>
            </w:r>
          </w:p>
        </w:tc>
        <w:tc>
          <w:tcPr>
            <w:tcW w:w="841" w:type="dxa"/>
            <w:vAlign w:val="center"/>
            <w:hideMark/>
          </w:tcPr>
          <w:p w:rsidR="00562871" w:rsidRPr="00360F0F" w:rsidRDefault="00BA3732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0.042</w:t>
            </w:r>
          </w:p>
        </w:tc>
      </w:tr>
      <w:tr w:rsidR="00562871" w:rsidRPr="00360F0F" w:rsidTr="00562871">
        <w:tc>
          <w:tcPr>
            <w:tcW w:w="1977" w:type="dxa"/>
            <w:vMerge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12 months</w:t>
            </w:r>
          </w:p>
        </w:tc>
        <w:tc>
          <w:tcPr>
            <w:tcW w:w="2380" w:type="dxa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1.7 ± 0.5, n=72</w:t>
            </w:r>
          </w:p>
        </w:tc>
        <w:tc>
          <w:tcPr>
            <w:tcW w:w="2380" w:type="dxa"/>
            <w:vAlign w:val="center"/>
            <w:hideMark/>
          </w:tcPr>
          <w:p w:rsidR="00562871" w:rsidRPr="00360F0F" w:rsidRDefault="00562871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1.4 ± 0.5, n=88</w:t>
            </w:r>
          </w:p>
        </w:tc>
        <w:tc>
          <w:tcPr>
            <w:tcW w:w="841" w:type="dxa"/>
            <w:vAlign w:val="center"/>
            <w:hideMark/>
          </w:tcPr>
          <w:p w:rsidR="00562871" w:rsidRPr="00360F0F" w:rsidRDefault="00BA3732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0.015</w:t>
            </w:r>
          </w:p>
        </w:tc>
      </w:tr>
      <w:tr w:rsidR="00C80EEA" w:rsidRPr="00360F0F" w:rsidTr="00562871">
        <w:tc>
          <w:tcPr>
            <w:tcW w:w="1977" w:type="dxa"/>
            <w:vMerge w:val="restart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  <w:b/>
                <w:bCs/>
              </w:rPr>
              <w:t>NT-proBNP, pg/mL</w:t>
            </w:r>
          </w:p>
        </w:tc>
        <w:tc>
          <w:tcPr>
            <w:tcW w:w="1172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Implant</w:t>
            </w:r>
          </w:p>
        </w:tc>
        <w:tc>
          <w:tcPr>
            <w:tcW w:w="2380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109.3 (66.4–388.4), n=75</w:t>
            </w:r>
          </w:p>
        </w:tc>
        <w:tc>
          <w:tcPr>
            <w:tcW w:w="2380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122.4 (64.4–435.0), n=92</w:t>
            </w:r>
          </w:p>
        </w:tc>
        <w:tc>
          <w:tcPr>
            <w:tcW w:w="841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0.542</w:t>
            </w:r>
          </w:p>
        </w:tc>
      </w:tr>
      <w:tr w:rsidR="00C80EEA" w:rsidRPr="00360F0F" w:rsidTr="00562871">
        <w:tc>
          <w:tcPr>
            <w:tcW w:w="1977" w:type="dxa"/>
            <w:vMerge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6 months</w:t>
            </w:r>
          </w:p>
        </w:tc>
        <w:tc>
          <w:tcPr>
            <w:tcW w:w="2380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85.5 (55.0–210.0), n=73</w:t>
            </w:r>
          </w:p>
        </w:tc>
        <w:tc>
          <w:tcPr>
            <w:tcW w:w="2380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82.0 (50.0–190.0), n=90</w:t>
            </w:r>
          </w:p>
        </w:tc>
        <w:tc>
          <w:tcPr>
            <w:tcW w:w="841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0.380</w:t>
            </w:r>
          </w:p>
        </w:tc>
      </w:tr>
      <w:tr w:rsidR="00C80EEA" w:rsidRPr="00360F0F" w:rsidTr="00562871">
        <w:tc>
          <w:tcPr>
            <w:tcW w:w="1977" w:type="dxa"/>
            <w:vMerge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12 months</w:t>
            </w:r>
          </w:p>
        </w:tc>
        <w:tc>
          <w:tcPr>
            <w:tcW w:w="2380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88.0 (58.0–225.0), n=72</w:t>
            </w:r>
          </w:p>
        </w:tc>
        <w:tc>
          <w:tcPr>
            <w:tcW w:w="2380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78.5 (48.0–185.0), n=88</w:t>
            </w:r>
          </w:p>
        </w:tc>
        <w:tc>
          <w:tcPr>
            <w:tcW w:w="841" w:type="dxa"/>
            <w:vAlign w:val="center"/>
            <w:hideMark/>
          </w:tcPr>
          <w:p w:rsidR="00C80EEA" w:rsidRPr="00360F0F" w:rsidRDefault="00C80EEA" w:rsidP="0096169C">
            <w:pPr>
              <w:rPr>
                <w:rFonts w:ascii="Times New Roman" w:hAnsi="Times New Roman" w:cs="Times New Roman"/>
              </w:rPr>
            </w:pPr>
            <w:r w:rsidRPr="00360F0F">
              <w:rPr>
                <w:rFonts w:ascii="Times New Roman" w:hAnsi="Times New Roman" w:cs="Times New Roman"/>
              </w:rPr>
              <w:t>0.045</w:t>
            </w:r>
          </w:p>
        </w:tc>
      </w:tr>
    </w:tbl>
    <w:p w:rsidR="00876331" w:rsidRPr="00360F0F" w:rsidRDefault="00876331" w:rsidP="00876331">
      <w:pPr>
        <w:rPr>
          <w:rFonts w:ascii="Times New Roman" w:hAnsi="Times New Roman" w:cs="Times New Roman"/>
        </w:rPr>
      </w:pPr>
      <w:r w:rsidRPr="00360F0F">
        <w:rPr>
          <w:rFonts w:ascii="Times New Roman" w:hAnsi="Times New Roman" w:cs="Times New Roman"/>
        </w:rPr>
        <w:t>Table note:</w:t>
      </w:r>
    </w:p>
    <w:p w:rsidR="001964F2" w:rsidRPr="00360F0F" w:rsidRDefault="002646CE" w:rsidP="00876331">
      <w:pPr>
        <w:rPr>
          <w:rFonts w:ascii="Times New Roman" w:hAnsi="Times New Roman" w:cs="Times New Roman"/>
        </w:rPr>
      </w:pPr>
      <w:r w:rsidRPr="00360F0F">
        <w:rPr>
          <w:rFonts w:ascii="Times New Roman" w:hAnsi="Times New Roman" w:cs="Times New Roman"/>
        </w:rPr>
        <w:t>Values are presented as mean ± standard deviation for NYHA class and median (interquartile range) for NT-proBNP. P-values represent between-group comparisons at each time point. Comparisons were performed using the independent-samples t-test or Mann–Whitney U test, as appropriate. Device and clinical follow-up data were available in 75, 73, and 72 patients in the HBP group and in 92, 90, and 88 patients in the LBBP group at implantation, 6 months, and 12 months, respectively. NYHA, New York Heart Association; NT-proBNP, N-terminal pro–B-type natriuretic peptide; HBP, His bundle pacing; LBBP, left bundle branch pacing.</w:t>
      </w:r>
    </w:p>
    <w:sectPr w:rsidR="001964F2" w:rsidRPr="00360F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68BA"/>
    <w:rsid w:val="00034616"/>
    <w:rsid w:val="000549D5"/>
    <w:rsid w:val="0006063C"/>
    <w:rsid w:val="00073627"/>
    <w:rsid w:val="000B233E"/>
    <w:rsid w:val="000F64C4"/>
    <w:rsid w:val="000F6F61"/>
    <w:rsid w:val="0013786F"/>
    <w:rsid w:val="001411CE"/>
    <w:rsid w:val="00147EA3"/>
    <w:rsid w:val="0015074B"/>
    <w:rsid w:val="00154821"/>
    <w:rsid w:val="001600C5"/>
    <w:rsid w:val="001844CC"/>
    <w:rsid w:val="001964F2"/>
    <w:rsid w:val="00253290"/>
    <w:rsid w:val="002646CE"/>
    <w:rsid w:val="00273570"/>
    <w:rsid w:val="00284EFD"/>
    <w:rsid w:val="0029639D"/>
    <w:rsid w:val="00296852"/>
    <w:rsid w:val="002A755A"/>
    <w:rsid w:val="002E76DD"/>
    <w:rsid w:val="002F38D0"/>
    <w:rsid w:val="00326F90"/>
    <w:rsid w:val="00360F0F"/>
    <w:rsid w:val="003877D7"/>
    <w:rsid w:val="00392577"/>
    <w:rsid w:val="003F744A"/>
    <w:rsid w:val="0043359A"/>
    <w:rsid w:val="00437308"/>
    <w:rsid w:val="00474802"/>
    <w:rsid w:val="00477D99"/>
    <w:rsid w:val="004A1472"/>
    <w:rsid w:val="004A3A0E"/>
    <w:rsid w:val="00527265"/>
    <w:rsid w:val="00533E61"/>
    <w:rsid w:val="00562871"/>
    <w:rsid w:val="005857D6"/>
    <w:rsid w:val="00590BFC"/>
    <w:rsid w:val="005A1DA5"/>
    <w:rsid w:val="005B7B00"/>
    <w:rsid w:val="005C05F4"/>
    <w:rsid w:val="005D4F97"/>
    <w:rsid w:val="00654AF6"/>
    <w:rsid w:val="00656991"/>
    <w:rsid w:val="006C268C"/>
    <w:rsid w:val="006E2172"/>
    <w:rsid w:val="006E2B39"/>
    <w:rsid w:val="0071503D"/>
    <w:rsid w:val="00725A98"/>
    <w:rsid w:val="007F4670"/>
    <w:rsid w:val="00806870"/>
    <w:rsid w:val="008222C7"/>
    <w:rsid w:val="00836178"/>
    <w:rsid w:val="00876331"/>
    <w:rsid w:val="00905D8D"/>
    <w:rsid w:val="00930CB6"/>
    <w:rsid w:val="00947704"/>
    <w:rsid w:val="00953FD2"/>
    <w:rsid w:val="00954621"/>
    <w:rsid w:val="0096169C"/>
    <w:rsid w:val="00966D41"/>
    <w:rsid w:val="00976D2A"/>
    <w:rsid w:val="009811DA"/>
    <w:rsid w:val="009A3403"/>
    <w:rsid w:val="009A671C"/>
    <w:rsid w:val="00A048BA"/>
    <w:rsid w:val="00A109F4"/>
    <w:rsid w:val="00A25CD9"/>
    <w:rsid w:val="00A90A54"/>
    <w:rsid w:val="00AA1D8D"/>
    <w:rsid w:val="00AC3122"/>
    <w:rsid w:val="00AD10E4"/>
    <w:rsid w:val="00B11585"/>
    <w:rsid w:val="00B2195F"/>
    <w:rsid w:val="00B26F02"/>
    <w:rsid w:val="00B3086F"/>
    <w:rsid w:val="00B47730"/>
    <w:rsid w:val="00BA3732"/>
    <w:rsid w:val="00BB4F1D"/>
    <w:rsid w:val="00BB69B9"/>
    <w:rsid w:val="00BC0A77"/>
    <w:rsid w:val="00BE2950"/>
    <w:rsid w:val="00C26927"/>
    <w:rsid w:val="00C80EEA"/>
    <w:rsid w:val="00CB0664"/>
    <w:rsid w:val="00CE32BD"/>
    <w:rsid w:val="00D11D80"/>
    <w:rsid w:val="00D32117"/>
    <w:rsid w:val="00D350AF"/>
    <w:rsid w:val="00D675CC"/>
    <w:rsid w:val="00D80D34"/>
    <w:rsid w:val="00D82E56"/>
    <w:rsid w:val="00DA26E9"/>
    <w:rsid w:val="00DF3E77"/>
    <w:rsid w:val="00E036A4"/>
    <w:rsid w:val="00E30F9C"/>
    <w:rsid w:val="00E454FA"/>
    <w:rsid w:val="00E4664E"/>
    <w:rsid w:val="00EB3102"/>
    <w:rsid w:val="00F62409"/>
    <w:rsid w:val="00F64DF6"/>
    <w:rsid w:val="00F87C6F"/>
    <w:rsid w:val="00F96C89"/>
    <w:rsid w:val="00FA174D"/>
    <w:rsid w:val="00FA2CA1"/>
    <w:rsid w:val="00FB554F"/>
    <w:rsid w:val="00FC0366"/>
    <w:rsid w:val="00FC3A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2E67A"/>
  <w14:defaultImageDpi w14:val="300"/>
  <w15:docId w15:val="{CC18BEB8-E0D8-46FE-AABD-FBE3E033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49EFFF-2A37-4DF9-83FC-F9D5C889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Nguyen Quang Minh</cp:lastModifiedBy>
  <cp:revision>4</cp:revision>
  <dcterms:created xsi:type="dcterms:W3CDTF">2026-05-25T05:41:00Z</dcterms:created>
  <dcterms:modified xsi:type="dcterms:W3CDTF">2026-05-25T05:42:00Z</dcterms:modified>
  <cp:category/>
</cp:coreProperties>
</file>