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6B633" w14:textId="77777777" w:rsidR="00DB1CE4" w:rsidRPr="00885D95" w:rsidRDefault="00DB1CE4" w:rsidP="00DB1CE4">
      <w:pPr>
        <w:widowControl/>
        <w:jc w:val="center"/>
        <w:rPr>
          <w:rFonts w:ascii="Arial" w:hAnsi="Arial" w:cs="Arial"/>
          <w:b/>
          <w:bCs/>
        </w:rPr>
      </w:pPr>
    </w:p>
    <w:p w14:paraId="36B65B5A" w14:textId="40D0F5E9" w:rsidR="00DB1CE4" w:rsidRPr="00885D95" w:rsidRDefault="00DB1CE4" w:rsidP="00DB1CE4">
      <w:pPr>
        <w:widowControl/>
        <w:jc w:val="center"/>
        <w:rPr>
          <w:rFonts w:ascii="Arial" w:hAnsi="Arial" w:cs="Arial"/>
          <w:b/>
          <w:bCs/>
        </w:rPr>
      </w:pPr>
      <w:r w:rsidRPr="00885D95">
        <w:rPr>
          <w:rFonts w:ascii="Arial" w:hAnsi="Arial" w:cs="Arial"/>
          <w:b/>
          <w:bCs/>
        </w:rPr>
        <w:t>Table 1 Geographical, climatic and vegetation for the grassland sites under undegraded and degraded states</w:t>
      </w:r>
    </w:p>
    <w:tbl>
      <w:tblPr>
        <w:tblStyle w:val="af2"/>
        <w:tblpPr w:leftFromText="180" w:rightFromText="180" w:vertAnchor="text" w:horzAnchor="margin" w:tblpXSpec="center" w:tblpY="374"/>
        <w:tblW w:w="963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134"/>
        <w:gridCol w:w="1134"/>
        <w:gridCol w:w="1276"/>
        <w:gridCol w:w="1134"/>
        <w:gridCol w:w="851"/>
        <w:gridCol w:w="708"/>
        <w:gridCol w:w="1134"/>
        <w:gridCol w:w="1134"/>
        <w:gridCol w:w="1134"/>
      </w:tblGrid>
      <w:tr w:rsidR="00DB1CE4" w:rsidRPr="00885D95" w14:paraId="29B415FF" w14:textId="77777777">
        <w:trPr>
          <w:cantSplit/>
          <w:trHeight w:val="963"/>
        </w:trPr>
        <w:tc>
          <w:tcPr>
            <w:tcW w:w="1134" w:type="dxa"/>
            <w:tcBorders>
              <w:top w:val="single" w:sz="12" w:space="0" w:color="auto"/>
              <w:left w:val="nil"/>
              <w:bottom w:val="single" w:sz="12" w:space="0" w:color="auto"/>
              <w:right w:val="nil"/>
            </w:tcBorders>
            <w:vAlign w:val="center"/>
          </w:tcPr>
          <w:p w14:paraId="0CDB6550"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Site</w:t>
            </w:r>
          </w:p>
        </w:tc>
        <w:tc>
          <w:tcPr>
            <w:tcW w:w="1134" w:type="dxa"/>
            <w:tcBorders>
              <w:top w:val="single" w:sz="12" w:space="0" w:color="auto"/>
              <w:left w:val="nil"/>
              <w:bottom w:val="single" w:sz="12" w:space="0" w:color="auto"/>
              <w:right w:val="nil"/>
            </w:tcBorders>
            <w:vAlign w:val="center"/>
          </w:tcPr>
          <w:p w14:paraId="57CA6AD4"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Latitude</w:t>
            </w:r>
          </w:p>
          <w:p w14:paraId="0B712CC6"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(°N)</w:t>
            </w:r>
          </w:p>
        </w:tc>
        <w:tc>
          <w:tcPr>
            <w:tcW w:w="1276" w:type="dxa"/>
            <w:tcBorders>
              <w:top w:val="single" w:sz="12" w:space="0" w:color="auto"/>
              <w:left w:val="nil"/>
              <w:bottom w:val="single" w:sz="12" w:space="0" w:color="auto"/>
              <w:right w:val="nil"/>
            </w:tcBorders>
            <w:vAlign w:val="center"/>
          </w:tcPr>
          <w:p w14:paraId="0FCF4EAC"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Longitude</w:t>
            </w:r>
          </w:p>
          <w:p w14:paraId="1F09CC71"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(°E)</w:t>
            </w:r>
          </w:p>
        </w:tc>
        <w:tc>
          <w:tcPr>
            <w:tcW w:w="1134" w:type="dxa"/>
            <w:tcBorders>
              <w:top w:val="single" w:sz="12" w:space="0" w:color="auto"/>
              <w:left w:val="nil"/>
              <w:bottom w:val="single" w:sz="12" w:space="0" w:color="auto"/>
              <w:right w:val="nil"/>
            </w:tcBorders>
            <w:vAlign w:val="center"/>
          </w:tcPr>
          <w:p w14:paraId="55F4C81E"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Elevation(m)</w:t>
            </w:r>
          </w:p>
        </w:tc>
        <w:tc>
          <w:tcPr>
            <w:tcW w:w="851" w:type="dxa"/>
            <w:tcBorders>
              <w:top w:val="single" w:sz="12" w:space="0" w:color="auto"/>
              <w:left w:val="nil"/>
              <w:bottom w:val="single" w:sz="12" w:space="0" w:color="auto"/>
              <w:right w:val="nil"/>
            </w:tcBorders>
            <w:vAlign w:val="center"/>
          </w:tcPr>
          <w:p w14:paraId="2AAE022A"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MAP</w:t>
            </w:r>
          </w:p>
          <w:p w14:paraId="7095C1DF"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(mm)</w:t>
            </w:r>
          </w:p>
        </w:tc>
        <w:tc>
          <w:tcPr>
            <w:tcW w:w="708" w:type="dxa"/>
            <w:tcBorders>
              <w:left w:val="nil"/>
              <w:bottom w:val="single" w:sz="12" w:space="0" w:color="auto"/>
              <w:right w:val="nil"/>
            </w:tcBorders>
            <w:vAlign w:val="center"/>
          </w:tcPr>
          <w:p w14:paraId="3C3B8631"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MAT</w:t>
            </w:r>
          </w:p>
          <w:p w14:paraId="5297DB25"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w:t>
            </w:r>
            <w:r w:rsidRPr="00885D95">
              <w:rPr>
                <w:rFonts w:ascii="Cambria Math" w:eastAsia="宋体" w:hAnsi="Cambria Math" w:cs="Cambria Math"/>
                <w:sz w:val="21"/>
                <w:szCs w:val="21"/>
              </w:rPr>
              <w:t>℃</w:t>
            </w:r>
            <w:r w:rsidRPr="00885D95">
              <w:rPr>
                <w:rFonts w:ascii="Arial" w:eastAsia="宋体" w:hAnsi="Arial" w:cs="Arial"/>
                <w:sz w:val="21"/>
                <w:szCs w:val="21"/>
              </w:rPr>
              <w:t>)</w:t>
            </w:r>
          </w:p>
        </w:tc>
        <w:tc>
          <w:tcPr>
            <w:tcW w:w="1134" w:type="dxa"/>
            <w:tcBorders>
              <w:top w:val="single" w:sz="12" w:space="0" w:color="auto"/>
              <w:left w:val="nil"/>
              <w:bottom w:val="single" w:sz="12" w:space="0" w:color="auto"/>
              <w:right w:val="nil"/>
            </w:tcBorders>
            <w:vAlign w:val="center"/>
          </w:tcPr>
          <w:p w14:paraId="26BEF003"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Height</w:t>
            </w:r>
          </w:p>
          <w:p w14:paraId="060A6734"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(cm)</w:t>
            </w:r>
          </w:p>
        </w:tc>
        <w:tc>
          <w:tcPr>
            <w:tcW w:w="1134" w:type="dxa"/>
            <w:tcBorders>
              <w:top w:val="single" w:sz="12" w:space="0" w:color="auto"/>
              <w:left w:val="nil"/>
              <w:bottom w:val="single" w:sz="12" w:space="0" w:color="auto"/>
              <w:right w:val="nil"/>
            </w:tcBorders>
            <w:vAlign w:val="center"/>
          </w:tcPr>
          <w:p w14:paraId="5825EDA3"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Coverage</w:t>
            </w:r>
          </w:p>
          <w:p w14:paraId="421A6573"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w:t>
            </w:r>
          </w:p>
        </w:tc>
        <w:tc>
          <w:tcPr>
            <w:tcW w:w="1134" w:type="dxa"/>
            <w:tcBorders>
              <w:left w:val="nil"/>
              <w:bottom w:val="single" w:sz="12" w:space="0" w:color="auto"/>
              <w:right w:val="nil"/>
            </w:tcBorders>
            <w:vAlign w:val="center"/>
          </w:tcPr>
          <w:p w14:paraId="09B2C173"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Species richness</w:t>
            </w:r>
          </w:p>
        </w:tc>
      </w:tr>
      <w:tr w:rsidR="00DB1CE4" w:rsidRPr="00885D95" w14:paraId="4FD8E438" w14:textId="77777777">
        <w:trPr>
          <w:cantSplit/>
          <w:trHeight w:val="1020"/>
        </w:trPr>
        <w:tc>
          <w:tcPr>
            <w:tcW w:w="1134" w:type="dxa"/>
            <w:tcBorders>
              <w:top w:val="single" w:sz="12" w:space="0" w:color="auto"/>
              <w:left w:val="nil"/>
              <w:bottom w:val="nil"/>
              <w:right w:val="nil"/>
            </w:tcBorders>
            <w:vAlign w:val="center"/>
          </w:tcPr>
          <w:p w14:paraId="7CBC9A78"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EQM-UD</w:t>
            </w:r>
          </w:p>
        </w:tc>
        <w:tc>
          <w:tcPr>
            <w:tcW w:w="1134" w:type="dxa"/>
            <w:tcBorders>
              <w:top w:val="single" w:sz="12" w:space="0" w:color="auto"/>
              <w:left w:val="nil"/>
              <w:bottom w:val="nil"/>
              <w:right w:val="nil"/>
            </w:tcBorders>
            <w:vAlign w:val="center"/>
          </w:tcPr>
          <w:p w14:paraId="6A7EEEB1"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100.4627</w:t>
            </w:r>
          </w:p>
        </w:tc>
        <w:tc>
          <w:tcPr>
            <w:tcW w:w="1276" w:type="dxa"/>
            <w:tcBorders>
              <w:top w:val="single" w:sz="12" w:space="0" w:color="auto"/>
              <w:left w:val="nil"/>
              <w:bottom w:val="nil"/>
              <w:right w:val="nil"/>
            </w:tcBorders>
            <w:vAlign w:val="center"/>
          </w:tcPr>
          <w:p w14:paraId="2297FB4E"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38.0456</w:t>
            </w:r>
          </w:p>
        </w:tc>
        <w:tc>
          <w:tcPr>
            <w:tcW w:w="1134" w:type="dxa"/>
            <w:tcBorders>
              <w:top w:val="single" w:sz="12" w:space="0" w:color="auto"/>
              <w:left w:val="nil"/>
              <w:bottom w:val="nil"/>
              <w:right w:val="nil"/>
            </w:tcBorders>
            <w:vAlign w:val="center"/>
          </w:tcPr>
          <w:p w14:paraId="3B90B49B"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2980</w:t>
            </w:r>
          </w:p>
        </w:tc>
        <w:tc>
          <w:tcPr>
            <w:tcW w:w="851" w:type="dxa"/>
            <w:tcBorders>
              <w:top w:val="single" w:sz="12" w:space="0" w:color="auto"/>
              <w:left w:val="nil"/>
              <w:bottom w:val="nil"/>
              <w:right w:val="nil"/>
            </w:tcBorders>
            <w:vAlign w:val="center"/>
          </w:tcPr>
          <w:p w14:paraId="396D6CE9"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303.3</w:t>
            </w:r>
          </w:p>
        </w:tc>
        <w:tc>
          <w:tcPr>
            <w:tcW w:w="708" w:type="dxa"/>
            <w:tcBorders>
              <w:top w:val="single" w:sz="12" w:space="0" w:color="auto"/>
              <w:left w:val="nil"/>
              <w:bottom w:val="nil"/>
              <w:right w:val="nil"/>
            </w:tcBorders>
            <w:vAlign w:val="center"/>
          </w:tcPr>
          <w:p w14:paraId="35F7EEE0"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-0.12</w:t>
            </w:r>
          </w:p>
        </w:tc>
        <w:tc>
          <w:tcPr>
            <w:tcW w:w="1134" w:type="dxa"/>
            <w:tcBorders>
              <w:top w:val="single" w:sz="12" w:space="0" w:color="auto"/>
              <w:left w:val="nil"/>
              <w:bottom w:val="nil"/>
              <w:right w:val="nil"/>
            </w:tcBorders>
            <w:vAlign w:val="center"/>
          </w:tcPr>
          <w:p w14:paraId="0393E51D"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17.6±0.9</w:t>
            </w:r>
            <w:r w:rsidRPr="00885D95">
              <w:rPr>
                <w:rFonts w:ascii="Arial" w:eastAsia="宋体" w:hAnsi="Arial" w:cs="Arial"/>
                <w:sz w:val="21"/>
                <w:szCs w:val="21"/>
                <w:vertAlign w:val="superscript"/>
              </w:rPr>
              <w:t>a</w:t>
            </w:r>
          </w:p>
        </w:tc>
        <w:tc>
          <w:tcPr>
            <w:tcW w:w="1134" w:type="dxa"/>
            <w:tcBorders>
              <w:top w:val="single" w:sz="12" w:space="0" w:color="auto"/>
              <w:left w:val="nil"/>
              <w:bottom w:val="nil"/>
              <w:right w:val="nil"/>
            </w:tcBorders>
            <w:vAlign w:val="center"/>
          </w:tcPr>
          <w:p w14:paraId="5BC945ED"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97.5±0.9</w:t>
            </w:r>
            <w:r w:rsidRPr="00885D95">
              <w:rPr>
                <w:rFonts w:ascii="Arial" w:eastAsia="宋体" w:hAnsi="Arial" w:cs="Arial"/>
                <w:sz w:val="21"/>
                <w:szCs w:val="21"/>
                <w:vertAlign w:val="superscript"/>
              </w:rPr>
              <w:t>b</w:t>
            </w:r>
          </w:p>
        </w:tc>
        <w:tc>
          <w:tcPr>
            <w:tcW w:w="1134" w:type="dxa"/>
            <w:tcBorders>
              <w:top w:val="single" w:sz="12" w:space="0" w:color="auto"/>
              <w:left w:val="nil"/>
              <w:bottom w:val="nil"/>
              <w:right w:val="nil"/>
            </w:tcBorders>
            <w:vAlign w:val="center"/>
          </w:tcPr>
          <w:p w14:paraId="538C7E5F"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9.6±0.5</w:t>
            </w:r>
            <w:r w:rsidRPr="00885D95">
              <w:rPr>
                <w:rFonts w:ascii="Arial" w:eastAsia="宋体" w:hAnsi="Arial" w:cs="Arial"/>
                <w:sz w:val="21"/>
                <w:szCs w:val="21"/>
                <w:vertAlign w:val="superscript"/>
              </w:rPr>
              <w:t>a</w:t>
            </w:r>
          </w:p>
        </w:tc>
      </w:tr>
      <w:tr w:rsidR="00DB1CE4" w:rsidRPr="00885D95" w14:paraId="2820E1AE" w14:textId="77777777">
        <w:trPr>
          <w:cantSplit/>
          <w:trHeight w:val="1020"/>
        </w:trPr>
        <w:tc>
          <w:tcPr>
            <w:tcW w:w="1134" w:type="dxa"/>
            <w:tcBorders>
              <w:top w:val="nil"/>
              <w:left w:val="nil"/>
              <w:bottom w:val="nil"/>
              <w:right w:val="nil"/>
            </w:tcBorders>
            <w:vAlign w:val="center"/>
          </w:tcPr>
          <w:p w14:paraId="4EB80CCA"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EQM-D</w:t>
            </w:r>
          </w:p>
        </w:tc>
        <w:tc>
          <w:tcPr>
            <w:tcW w:w="1134" w:type="dxa"/>
            <w:tcBorders>
              <w:top w:val="nil"/>
              <w:left w:val="nil"/>
              <w:bottom w:val="nil"/>
              <w:right w:val="nil"/>
            </w:tcBorders>
            <w:vAlign w:val="center"/>
          </w:tcPr>
          <w:p w14:paraId="05CF7010"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100.9240</w:t>
            </w:r>
          </w:p>
        </w:tc>
        <w:tc>
          <w:tcPr>
            <w:tcW w:w="1276" w:type="dxa"/>
            <w:tcBorders>
              <w:top w:val="nil"/>
              <w:left w:val="nil"/>
              <w:bottom w:val="nil"/>
              <w:right w:val="nil"/>
            </w:tcBorders>
            <w:vAlign w:val="center"/>
          </w:tcPr>
          <w:p w14:paraId="020ABEA7"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37.9492</w:t>
            </w:r>
          </w:p>
        </w:tc>
        <w:tc>
          <w:tcPr>
            <w:tcW w:w="1134" w:type="dxa"/>
            <w:tcBorders>
              <w:top w:val="nil"/>
              <w:left w:val="nil"/>
              <w:bottom w:val="nil"/>
              <w:right w:val="nil"/>
            </w:tcBorders>
            <w:vAlign w:val="center"/>
          </w:tcPr>
          <w:p w14:paraId="7140BFEB"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3315</w:t>
            </w:r>
          </w:p>
        </w:tc>
        <w:tc>
          <w:tcPr>
            <w:tcW w:w="851" w:type="dxa"/>
            <w:tcBorders>
              <w:top w:val="nil"/>
              <w:left w:val="nil"/>
              <w:bottom w:val="nil"/>
              <w:right w:val="nil"/>
            </w:tcBorders>
            <w:vAlign w:val="center"/>
          </w:tcPr>
          <w:p w14:paraId="5C0F7D81"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400</w:t>
            </w:r>
          </w:p>
        </w:tc>
        <w:tc>
          <w:tcPr>
            <w:tcW w:w="708" w:type="dxa"/>
            <w:tcBorders>
              <w:top w:val="nil"/>
              <w:left w:val="nil"/>
              <w:bottom w:val="nil"/>
              <w:right w:val="nil"/>
            </w:tcBorders>
            <w:vAlign w:val="center"/>
          </w:tcPr>
          <w:p w14:paraId="594E9441"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-0.5</w:t>
            </w:r>
          </w:p>
        </w:tc>
        <w:tc>
          <w:tcPr>
            <w:tcW w:w="1134" w:type="dxa"/>
            <w:tcBorders>
              <w:top w:val="nil"/>
              <w:left w:val="nil"/>
              <w:bottom w:val="nil"/>
              <w:right w:val="nil"/>
            </w:tcBorders>
            <w:vAlign w:val="center"/>
          </w:tcPr>
          <w:p w14:paraId="369A6C03"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4.0±0.1</w:t>
            </w:r>
            <w:r w:rsidRPr="00885D95">
              <w:rPr>
                <w:rFonts w:ascii="Arial" w:eastAsia="宋体" w:hAnsi="Arial" w:cs="Arial"/>
                <w:sz w:val="21"/>
                <w:szCs w:val="21"/>
                <w:vertAlign w:val="superscript"/>
              </w:rPr>
              <w:t>d</w:t>
            </w:r>
          </w:p>
        </w:tc>
        <w:tc>
          <w:tcPr>
            <w:tcW w:w="1134" w:type="dxa"/>
            <w:tcBorders>
              <w:top w:val="nil"/>
              <w:left w:val="nil"/>
              <w:bottom w:val="nil"/>
              <w:right w:val="nil"/>
            </w:tcBorders>
            <w:vAlign w:val="center"/>
          </w:tcPr>
          <w:p w14:paraId="5D2E863B"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95.4±0.2</w:t>
            </w:r>
            <w:r w:rsidRPr="00885D95">
              <w:rPr>
                <w:rFonts w:ascii="Arial" w:eastAsia="宋体" w:hAnsi="Arial" w:cs="Arial"/>
                <w:sz w:val="21"/>
                <w:szCs w:val="21"/>
                <w:vertAlign w:val="superscript"/>
              </w:rPr>
              <w:t>c</w:t>
            </w:r>
          </w:p>
        </w:tc>
        <w:tc>
          <w:tcPr>
            <w:tcW w:w="1134" w:type="dxa"/>
            <w:tcBorders>
              <w:top w:val="nil"/>
              <w:left w:val="nil"/>
              <w:bottom w:val="nil"/>
              <w:right w:val="nil"/>
            </w:tcBorders>
            <w:vAlign w:val="center"/>
          </w:tcPr>
          <w:p w14:paraId="5CE068C9"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8.3±0.3</w:t>
            </w:r>
            <w:r w:rsidRPr="00885D95">
              <w:rPr>
                <w:rFonts w:ascii="Arial" w:eastAsia="宋体" w:hAnsi="Arial" w:cs="Arial"/>
                <w:sz w:val="21"/>
                <w:szCs w:val="21"/>
                <w:vertAlign w:val="superscript"/>
              </w:rPr>
              <w:t>b</w:t>
            </w:r>
          </w:p>
        </w:tc>
      </w:tr>
      <w:tr w:rsidR="00DB1CE4" w:rsidRPr="00885D95" w14:paraId="419D81C3" w14:textId="77777777">
        <w:trPr>
          <w:cantSplit/>
          <w:trHeight w:val="1020"/>
        </w:trPr>
        <w:tc>
          <w:tcPr>
            <w:tcW w:w="1134" w:type="dxa"/>
            <w:tcBorders>
              <w:top w:val="nil"/>
              <w:left w:val="nil"/>
              <w:bottom w:val="nil"/>
              <w:right w:val="nil"/>
            </w:tcBorders>
            <w:vAlign w:val="center"/>
          </w:tcPr>
          <w:p w14:paraId="107E90F4"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DS-UD</w:t>
            </w:r>
          </w:p>
        </w:tc>
        <w:tc>
          <w:tcPr>
            <w:tcW w:w="1134" w:type="dxa"/>
            <w:tcBorders>
              <w:top w:val="nil"/>
              <w:left w:val="nil"/>
              <w:bottom w:val="nil"/>
              <w:right w:val="nil"/>
            </w:tcBorders>
            <w:vAlign w:val="center"/>
          </w:tcPr>
          <w:p w14:paraId="628B91B8"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98.9452</w:t>
            </w:r>
          </w:p>
        </w:tc>
        <w:tc>
          <w:tcPr>
            <w:tcW w:w="1276" w:type="dxa"/>
            <w:tcBorders>
              <w:top w:val="nil"/>
              <w:left w:val="nil"/>
              <w:bottom w:val="nil"/>
              <w:right w:val="nil"/>
            </w:tcBorders>
            <w:vAlign w:val="center"/>
          </w:tcPr>
          <w:p w14:paraId="1F6218B6"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38.8395</w:t>
            </w:r>
          </w:p>
        </w:tc>
        <w:tc>
          <w:tcPr>
            <w:tcW w:w="1134" w:type="dxa"/>
            <w:tcBorders>
              <w:top w:val="nil"/>
              <w:left w:val="nil"/>
              <w:bottom w:val="nil"/>
              <w:right w:val="nil"/>
            </w:tcBorders>
            <w:vAlign w:val="center"/>
          </w:tcPr>
          <w:p w14:paraId="115AC1EE"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3738</w:t>
            </w:r>
          </w:p>
        </w:tc>
        <w:tc>
          <w:tcPr>
            <w:tcW w:w="851" w:type="dxa"/>
            <w:tcBorders>
              <w:top w:val="nil"/>
              <w:left w:val="nil"/>
              <w:bottom w:val="nil"/>
              <w:right w:val="nil"/>
            </w:tcBorders>
            <w:vAlign w:val="center"/>
          </w:tcPr>
          <w:p w14:paraId="61CE89B2"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373.9</w:t>
            </w:r>
          </w:p>
        </w:tc>
        <w:tc>
          <w:tcPr>
            <w:tcW w:w="708" w:type="dxa"/>
            <w:tcBorders>
              <w:top w:val="nil"/>
              <w:left w:val="nil"/>
              <w:bottom w:val="nil"/>
              <w:right w:val="nil"/>
            </w:tcBorders>
            <w:vAlign w:val="center"/>
          </w:tcPr>
          <w:p w14:paraId="4B856162"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-3.89</w:t>
            </w:r>
          </w:p>
        </w:tc>
        <w:tc>
          <w:tcPr>
            <w:tcW w:w="1134" w:type="dxa"/>
            <w:tcBorders>
              <w:top w:val="nil"/>
              <w:left w:val="nil"/>
              <w:bottom w:val="nil"/>
              <w:right w:val="nil"/>
            </w:tcBorders>
            <w:vAlign w:val="center"/>
          </w:tcPr>
          <w:p w14:paraId="56F5BFC5"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12.9±1.0</w:t>
            </w:r>
            <w:r w:rsidRPr="00885D95">
              <w:rPr>
                <w:rFonts w:ascii="Arial" w:eastAsia="宋体" w:hAnsi="Arial" w:cs="Arial"/>
                <w:sz w:val="21"/>
                <w:szCs w:val="21"/>
                <w:vertAlign w:val="superscript"/>
              </w:rPr>
              <w:t>b</w:t>
            </w:r>
          </w:p>
        </w:tc>
        <w:tc>
          <w:tcPr>
            <w:tcW w:w="1134" w:type="dxa"/>
            <w:tcBorders>
              <w:top w:val="nil"/>
              <w:left w:val="nil"/>
              <w:bottom w:val="nil"/>
              <w:right w:val="nil"/>
            </w:tcBorders>
            <w:vAlign w:val="center"/>
          </w:tcPr>
          <w:p w14:paraId="2CCADA3C"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99.0±0.4</w:t>
            </w:r>
            <w:r w:rsidRPr="00885D95">
              <w:rPr>
                <w:rFonts w:ascii="Arial" w:eastAsia="宋体" w:hAnsi="Arial" w:cs="Arial"/>
                <w:sz w:val="21"/>
                <w:szCs w:val="21"/>
                <w:vertAlign w:val="superscript"/>
              </w:rPr>
              <w:t>a</w:t>
            </w:r>
          </w:p>
        </w:tc>
        <w:tc>
          <w:tcPr>
            <w:tcW w:w="1134" w:type="dxa"/>
            <w:tcBorders>
              <w:top w:val="nil"/>
              <w:left w:val="nil"/>
              <w:bottom w:val="nil"/>
              <w:right w:val="nil"/>
            </w:tcBorders>
            <w:vAlign w:val="center"/>
          </w:tcPr>
          <w:p w14:paraId="7D22F853"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7.4±0.7</w:t>
            </w:r>
            <w:r w:rsidRPr="00885D95">
              <w:rPr>
                <w:rFonts w:ascii="Arial" w:eastAsia="宋体" w:hAnsi="Arial" w:cs="Arial"/>
                <w:sz w:val="21"/>
                <w:szCs w:val="21"/>
                <w:vertAlign w:val="superscript"/>
              </w:rPr>
              <w:t>c</w:t>
            </w:r>
          </w:p>
        </w:tc>
      </w:tr>
      <w:tr w:rsidR="00DB1CE4" w:rsidRPr="00885D95" w14:paraId="7BEBCD2B" w14:textId="77777777">
        <w:trPr>
          <w:cantSplit/>
          <w:trHeight w:val="1020"/>
        </w:trPr>
        <w:tc>
          <w:tcPr>
            <w:tcW w:w="1134" w:type="dxa"/>
            <w:tcBorders>
              <w:top w:val="nil"/>
              <w:left w:val="nil"/>
              <w:bottom w:val="nil"/>
              <w:right w:val="nil"/>
            </w:tcBorders>
            <w:vAlign w:val="center"/>
          </w:tcPr>
          <w:p w14:paraId="5287E82F"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DS-D</w:t>
            </w:r>
          </w:p>
        </w:tc>
        <w:tc>
          <w:tcPr>
            <w:tcW w:w="1134" w:type="dxa"/>
            <w:tcBorders>
              <w:top w:val="nil"/>
              <w:left w:val="nil"/>
              <w:bottom w:val="nil"/>
              <w:right w:val="nil"/>
            </w:tcBorders>
            <w:vAlign w:val="center"/>
          </w:tcPr>
          <w:p w14:paraId="42E344D1"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98.9452</w:t>
            </w:r>
          </w:p>
        </w:tc>
        <w:tc>
          <w:tcPr>
            <w:tcW w:w="1276" w:type="dxa"/>
            <w:tcBorders>
              <w:top w:val="nil"/>
              <w:left w:val="nil"/>
              <w:bottom w:val="nil"/>
              <w:right w:val="nil"/>
            </w:tcBorders>
            <w:vAlign w:val="center"/>
          </w:tcPr>
          <w:p w14:paraId="23D3D56D"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38.8395</w:t>
            </w:r>
          </w:p>
        </w:tc>
        <w:tc>
          <w:tcPr>
            <w:tcW w:w="1134" w:type="dxa"/>
            <w:tcBorders>
              <w:top w:val="nil"/>
              <w:left w:val="nil"/>
              <w:bottom w:val="nil"/>
              <w:right w:val="nil"/>
            </w:tcBorders>
            <w:vAlign w:val="center"/>
          </w:tcPr>
          <w:p w14:paraId="10AF85BA"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3738</w:t>
            </w:r>
          </w:p>
        </w:tc>
        <w:tc>
          <w:tcPr>
            <w:tcW w:w="851" w:type="dxa"/>
            <w:tcBorders>
              <w:top w:val="nil"/>
              <w:left w:val="nil"/>
              <w:bottom w:val="nil"/>
              <w:right w:val="nil"/>
            </w:tcBorders>
            <w:vAlign w:val="center"/>
          </w:tcPr>
          <w:p w14:paraId="38A9DCDB"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373.9</w:t>
            </w:r>
          </w:p>
        </w:tc>
        <w:tc>
          <w:tcPr>
            <w:tcW w:w="708" w:type="dxa"/>
            <w:tcBorders>
              <w:top w:val="nil"/>
              <w:left w:val="nil"/>
              <w:bottom w:val="nil"/>
              <w:right w:val="nil"/>
            </w:tcBorders>
            <w:vAlign w:val="center"/>
          </w:tcPr>
          <w:p w14:paraId="678A7E72"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-3.89</w:t>
            </w:r>
          </w:p>
        </w:tc>
        <w:tc>
          <w:tcPr>
            <w:tcW w:w="1134" w:type="dxa"/>
            <w:tcBorders>
              <w:top w:val="nil"/>
              <w:left w:val="nil"/>
              <w:bottom w:val="nil"/>
              <w:right w:val="nil"/>
            </w:tcBorders>
            <w:vAlign w:val="center"/>
          </w:tcPr>
          <w:p w14:paraId="4721C0CB"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3.5±0.3</w:t>
            </w:r>
            <w:r w:rsidRPr="00885D95">
              <w:rPr>
                <w:rFonts w:ascii="Arial" w:eastAsia="宋体" w:hAnsi="Arial" w:cs="Arial"/>
                <w:sz w:val="21"/>
                <w:szCs w:val="21"/>
                <w:vertAlign w:val="superscript"/>
              </w:rPr>
              <w:t>e</w:t>
            </w:r>
          </w:p>
        </w:tc>
        <w:tc>
          <w:tcPr>
            <w:tcW w:w="1134" w:type="dxa"/>
            <w:tcBorders>
              <w:top w:val="nil"/>
              <w:left w:val="nil"/>
              <w:bottom w:val="nil"/>
              <w:right w:val="nil"/>
            </w:tcBorders>
            <w:vAlign w:val="center"/>
          </w:tcPr>
          <w:p w14:paraId="74EDFC5E"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72.2±5.2</w:t>
            </w:r>
            <w:r w:rsidRPr="00885D95">
              <w:rPr>
                <w:rFonts w:ascii="Arial" w:eastAsia="宋体" w:hAnsi="Arial" w:cs="Arial"/>
                <w:sz w:val="21"/>
                <w:szCs w:val="21"/>
                <w:vertAlign w:val="superscript"/>
              </w:rPr>
              <w:t>d</w:t>
            </w:r>
          </w:p>
        </w:tc>
        <w:tc>
          <w:tcPr>
            <w:tcW w:w="1134" w:type="dxa"/>
            <w:tcBorders>
              <w:top w:val="nil"/>
              <w:left w:val="nil"/>
              <w:bottom w:val="nil"/>
              <w:right w:val="nil"/>
            </w:tcBorders>
            <w:vAlign w:val="center"/>
          </w:tcPr>
          <w:p w14:paraId="68F78D12"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7.6±0.4</w:t>
            </w:r>
            <w:r w:rsidRPr="00885D95">
              <w:rPr>
                <w:rFonts w:ascii="Arial" w:eastAsia="宋体" w:hAnsi="Arial" w:cs="Arial"/>
                <w:sz w:val="21"/>
                <w:szCs w:val="21"/>
                <w:vertAlign w:val="superscript"/>
              </w:rPr>
              <w:t>c</w:t>
            </w:r>
          </w:p>
        </w:tc>
      </w:tr>
      <w:tr w:rsidR="00DB1CE4" w:rsidRPr="00885D95" w14:paraId="262C9710" w14:textId="77777777">
        <w:trPr>
          <w:cantSplit/>
          <w:trHeight w:val="1020"/>
        </w:trPr>
        <w:tc>
          <w:tcPr>
            <w:tcW w:w="1134" w:type="dxa"/>
            <w:tcBorders>
              <w:top w:val="nil"/>
              <w:left w:val="nil"/>
              <w:bottom w:val="nil"/>
              <w:right w:val="nil"/>
            </w:tcBorders>
            <w:vAlign w:val="center"/>
          </w:tcPr>
          <w:p w14:paraId="202ADE76"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CL-UD</w:t>
            </w:r>
          </w:p>
        </w:tc>
        <w:tc>
          <w:tcPr>
            <w:tcW w:w="1134" w:type="dxa"/>
            <w:tcBorders>
              <w:top w:val="nil"/>
              <w:left w:val="nil"/>
              <w:bottom w:val="nil"/>
              <w:right w:val="nil"/>
            </w:tcBorders>
            <w:vAlign w:val="center"/>
          </w:tcPr>
          <w:p w14:paraId="27A527D1"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81.4990</w:t>
            </w:r>
          </w:p>
        </w:tc>
        <w:tc>
          <w:tcPr>
            <w:tcW w:w="1276" w:type="dxa"/>
            <w:tcBorders>
              <w:top w:val="nil"/>
              <w:left w:val="nil"/>
              <w:bottom w:val="nil"/>
              <w:right w:val="nil"/>
            </w:tcBorders>
            <w:vAlign w:val="center"/>
          </w:tcPr>
          <w:p w14:paraId="05F53354"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36.8707</w:t>
            </w:r>
          </w:p>
        </w:tc>
        <w:tc>
          <w:tcPr>
            <w:tcW w:w="1134" w:type="dxa"/>
            <w:tcBorders>
              <w:top w:val="nil"/>
              <w:left w:val="nil"/>
              <w:bottom w:val="nil"/>
              <w:right w:val="nil"/>
            </w:tcBorders>
            <w:vAlign w:val="center"/>
          </w:tcPr>
          <w:p w14:paraId="2ABECC0C"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1434</w:t>
            </w:r>
          </w:p>
        </w:tc>
        <w:tc>
          <w:tcPr>
            <w:tcW w:w="851" w:type="dxa"/>
            <w:tcBorders>
              <w:top w:val="nil"/>
              <w:left w:val="nil"/>
              <w:bottom w:val="nil"/>
              <w:right w:val="nil"/>
            </w:tcBorders>
            <w:vAlign w:val="center"/>
          </w:tcPr>
          <w:p w14:paraId="74A6BA7A"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35.1</w:t>
            </w:r>
          </w:p>
        </w:tc>
        <w:tc>
          <w:tcPr>
            <w:tcW w:w="708" w:type="dxa"/>
            <w:tcBorders>
              <w:top w:val="nil"/>
              <w:left w:val="nil"/>
              <w:bottom w:val="nil"/>
              <w:right w:val="nil"/>
            </w:tcBorders>
            <w:vAlign w:val="center"/>
          </w:tcPr>
          <w:p w14:paraId="3B4CDD85"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11.9</w:t>
            </w:r>
          </w:p>
        </w:tc>
        <w:tc>
          <w:tcPr>
            <w:tcW w:w="1134" w:type="dxa"/>
            <w:tcBorders>
              <w:top w:val="nil"/>
              <w:left w:val="nil"/>
              <w:bottom w:val="nil"/>
              <w:right w:val="nil"/>
            </w:tcBorders>
            <w:vAlign w:val="center"/>
          </w:tcPr>
          <w:p w14:paraId="0EDB1342"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3.6±0.1</w:t>
            </w:r>
            <w:r w:rsidRPr="00885D95">
              <w:rPr>
                <w:rFonts w:ascii="Arial" w:eastAsia="宋体" w:hAnsi="Arial" w:cs="Arial"/>
                <w:sz w:val="21"/>
                <w:szCs w:val="21"/>
                <w:vertAlign w:val="superscript"/>
              </w:rPr>
              <w:t>e</w:t>
            </w:r>
          </w:p>
        </w:tc>
        <w:tc>
          <w:tcPr>
            <w:tcW w:w="1134" w:type="dxa"/>
            <w:tcBorders>
              <w:top w:val="nil"/>
              <w:left w:val="nil"/>
              <w:bottom w:val="nil"/>
              <w:right w:val="nil"/>
            </w:tcBorders>
            <w:vAlign w:val="center"/>
          </w:tcPr>
          <w:p w14:paraId="057E7996"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67.2±3.3</w:t>
            </w:r>
            <w:r w:rsidRPr="00885D95">
              <w:rPr>
                <w:rFonts w:ascii="Arial" w:eastAsia="宋体" w:hAnsi="Arial" w:cs="Arial"/>
                <w:sz w:val="21"/>
                <w:szCs w:val="21"/>
                <w:vertAlign w:val="superscript"/>
              </w:rPr>
              <w:t>d</w:t>
            </w:r>
          </w:p>
        </w:tc>
        <w:tc>
          <w:tcPr>
            <w:tcW w:w="1134" w:type="dxa"/>
            <w:tcBorders>
              <w:top w:val="nil"/>
              <w:left w:val="nil"/>
              <w:bottom w:val="nil"/>
              <w:right w:val="nil"/>
            </w:tcBorders>
            <w:vAlign w:val="center"/>
          </w:tcPr>
          <w:p w14:paraId="600B2238"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6.4±0.2</w:t>
            </w:r>
            <w:r w:rsidRPr="00885D95">
              <w:rPr>
                <w:rFonts w:ascii="Arial" w:eastAsia="宋体" w:hAnsi="Arial" w:cs="Arial"/>
                <w:sz w:val="21"/>
                <w:szCs w:val="21"/>
                <w:vertAlign w:val="superscript"/>
              </w:rPr>
              <w:t>c</w:t>
            </w:r>
          </w:p>
        </w:tc>
      </w:tr>
      <w:tr w:rsidR="00DB1CE4" w:rsidRPr="00885D95" w14:paraId="709165C8" w14:textId="77777777">
        <w:trPr>
          <w:cantSplit/>
          <w:trHeight w:val="1020"/>
        </w:trPr>
        <w:tc>
          <w:tcPr>
            <w:tcW w:w="1134" w:type="dxa"/>
            <w:tcBorders>
              <w:top w:val="nil"/>
              <w:left w:val="nil"/>
              <w:bottom w:val="single" w:sz="12" w:space="0" w:color="auto"/>
              <w:right w:val="nil"/>
            </w:tcBorders>
            <w:vAlign w:val="center"/>
          </w:tcPr>
          <w:p w14:paraId="17ABF6B0"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CL-D</w:t>
            </w:r>
          </w:p>
        </w:tc>
        <w:tc>
          <w:tcPr>
            <w:tcW w:w="1134" w:type="dxa"/>
            <w:tcBorders>
              <w:top w:val="nil"/>
              <w:left w:val="nil"/>
              <w:bottom w:val="single" w:sz="12" w:space="0" w:color="auto"/>
              <w:right w:val="nil"/>
            </w:tcBorders>
            <w:vAlign w:val="center"/>
          </w:tcPr>
          <w:p w14:paraId="3B23886B"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81.4990</w:t>
            </w:r>
          </w:p>
        </w:tc>
        <w:tc>
          <w:tcPr>
            <w:tcW w:w="1276" w:type="dxa"/>
            <w:tcBorders>
              <w:top w:val="nil"/>
              <w:left w:val="nil"/>
              <w:bottom w:val="single" w:sz="12" w:space="0" w:color="auto"/>
              <w:right w:val="nil"/>
            </w:tcBorders>
            <w:vAlign w:val="center"/>
          </w:tcPr>
          <w:p w14:paraId="5D35397A"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36.8707</w:t>
            </w:r>
          </w:p>
        </w:tc>
        <w:tc>
          <w:tcPr>
            <w:tcW w:w="1134" w:type="dxa"/>
            <w:tcBorders>
              <w:top w:val="nil"/>
              <w:left w:val="nil"/>
              <w:bottom w:val="single" w:sz="12" w:space="0" w:color="auto"/>
              <w:right w:val="nil"/>
            </w:tcBorders>
            <w:vAlign w:val="center"/>
          </w:tcPr>
          <w:p w14:paraId="5DEAD788"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1434</w:t>
            </w:r>
          </w:p>
        </w:tc>
        <w:tc>
          <w:tcPr>
            <w:tcW w:w="851" w:type="dxa"/>
            <w:tcBorders>
              <w:top w:val="nil"/>
              <w:left w:val="nil"/>
              <w:bottom w:val="single" w:sz="12" w:space="0" w:color="auto"/>
              <w:right w:val="nil"/>
            </w:tcBorders>
            <w:vAlign w:val="center"/>
          </w:tcPr>
          <w:p w14:paraId="155B70EC"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35.1</w:t>
            </w:r>
          </w:p>
        </w:tc>
        <w:tc>
          <w:tcPr>
            <w:tcW w:w="708" w:type="dxa"/>
            <w:tcBorders>
              <w:top w:val="nil"/>
              <w:left w:val="nil"/>
              <w:bottom w:val="single" w:sz="12" w:space="0" w:color="auto"/>
              <w:right w:val="nil"/>
            </w:tcBorders>
            <w:vAlign w:val="center"/>
          </w:tcPr>
          <w:p w14:paraId="7007D284"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11.9</w:t>
            </w:r>
          </w:p>
        </w:tc>
        <w:tc>
          <w:tcPr>
            <w:tcW w:w="1134" w:type="dxa"/>
            <w:tcBorders>
              <w:top w:val="nil"/>
              <w:left w:val="nil"/>
              <w:bottom w:val="single" w:sz="12" w:space="0" w:color="auto"/>
              <w:right w:val="nil"/>
            </w:tcBorders>
            <w:vAlign w:val="center"/>
          </w:tcPr>
          <w:p w14:paraId="77240869"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5.2±0.3</w:t>
            </w:r>
            <w:r w:rsidRPr="00885D95">
              <w:rPr>
                <w:rFonts w:ascii="Arial" w:eastAsia="宋体" w:hAnsi="Arial" w:cs="Arial"/>
                <w:sz w:val="21"/>
                <w:szCs w:val="21"/>
                <w:vertAlign w:val="superscript"/>
              </w:rPr>
              <w:t>c</w:t>
            </w:r>
          </w:p>
        </w:tc>
        <w:tc>
          <w:tcPr>
            <w:tcW w:w="1134" w:type="dxa"/>
            <w:tcBorders>
              <w:top w:val="nil"/>
              <w:left w:val="nil"/>
              <w:bottom w:val="single" w:sz="12" w:space="0" w:color="auto"/>
              <w:right w:val="nil"/>
            </w:tcBorders>
            <w:vAlign w:val="center"/>
          </w:tcPr>
          <w:p w14:paraId="3C63AB17"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59.4±5.2</w:t>
            </w:r>
            <w:r w:rsidRPr="00885D95">
              <w:rPr>
                <w:rFonts w:ascii="Arial" w:eastAsia="宋体" w:hAnsi="Arial" w:cs="Arial"/>
                <w:sz w:val="21"/>
                <w:szCs w:val="21"/>
                <w:vertAlign w:val="superscript"/>
              </w:rPr>
              <w:t>d</w:t>
            </w:r>
          </w:p>
        </w:tc>
        <w:tc>
          <w:tcPr>
            <w:tcW w:w="1134" w:type="dxa"/>
            <w:tcBorders>
              <w:top w:val="nil"/>
              <w:left w:val="nil"/>
              <w:right w:val="nil"/>
            </w:tcBorders>
            <w:vAlign w:val="center"/>
          </w:tcPr>
          <w:p w14:paraId="56A77070" w14:textId="77777777" w:rsidR="00DB1CE4" w:rsidRPr="00885D95" w:rsidRDefault="00DB1CE4">
            <w:pPr>
              <w:jc w:val="center"/>
              <w:rPr>
                <w:rFonts w:ascii="Arial" w:eastAsia="宋体" w:hAnsi="Arial" w:cs="Arial"/>
                <w:sz w:val="21"/>
                <w:szCs w:val="21"/>
              </w:rPr>
            </w:pPr>
            <w:r w:rsidRPr="00885D95">
              <w:rPr>
                <w:rFonts w:ascii="Arial" w:eastAsia="宋体" w:hAnsi="Arial" w:cs="Arial"/>
                <w:sz w:val="21"/>
                <w:szCs w:val="21"/>
              </w:rPr>
              <w:t>3.8±0.4</w:t>
            </w:r>
            <w:r w:rsidRPr="00885D95">
              <w:rPr>
                <w:rFonts w:ascii="Arial" w:eastAsia="宋体" w:hAnsi="Arial" w:cs="Arial"/>
                <w:sz w:val="21"/>
                <w:szCs w:val="21"/>
                <w:vertAlign w:val="superscript"/>
              </w:rPr>
              <w:t>d</w:t>
            </w:r>
          </w:p>
        </w:tc>
      </w:tr>
    </w:tbl>
    <w:p w14:paraId="3CD46F2E" w14:textId="77777777" w:rsidR="007F225F" w:rsidRPr="00885D95" w:rsidRDefault="007F225F">
      <w:pPr>
        <w:rPr>
          <w:rFonts w:ascii="Arial" w:hAnsi="Arial" w:cs="Arial"/>
        </w:rPr>
      </w:pPr>
    </w:p>
    <w:p w14:paraId="0C36F402" w14:textId="542EC8A4" w:rsidR="0093088C" w:rsidRPr="00885D95" w:rsidRDefault="00DB1CE4" w:rsidP="00885D95">
      <w:pPr>
        <w:spacing w:line="360" w:lineRule="auto"/>
        <w:ind w:firstLine="420"/>
        <w:rPr>
          <w:rFonts w:ascii="Arial" w:hAnsi="Arial" w:cs="Arial"/>
        </w:rPr>
      </w:pPr>
      <w:r w:rsidRPr="00885D95">
        <w:rPr>
          <w:rFonts w:ascii="Arial" w:eastAsia="微软雅黑" w:hAnsi="Arial" w:cs="Arial"/>
          <w:szCs w:val="21"/>
        </w:rPr>
        <w:t>The classification of undegraded (UD) and degraded (D) plots at each site was based on objective, measurable declines in key vegetation and soil properties (Table 1). At the Eastern Qilian Mountains (EQM) alpine meadow site, plots were categorized as degraded primarily based on pronounced reductions in vegetation structure and soil nitrogen availability. Compared to UD plots, D plots exhibited a 72% decrease in mean vegetation height (from 17.6 cm to 4.0 cm) and a 64% reduction in soil NO</w:t>
      </w:r>
      <w:r w:rsidR="00885D95" w:rsidRPr="00885D95">
        <w:rPr>
          <w:rFonts w:ascii="Arial" w:eastAsia="微软雅黑" w:hAnsi="Arial" w:cs="Arial" w:hint="eastAsia"/>
          <w:szCs w:val="21"/>
          <w:vertAlign w:val="subscript"/>
        </w:rPr>
        <w:t>3</w:t>
      </w:r>
      <w:r w:rsidR="00885D95" w:rsidRPr="00885D95">
        <w:rPr>
          <w:rFonts w:ascii="Arial" w:eastAsia="微软雅黑" w:hAnsi="Arial" w:cs="Arial" w:hint="eastAsia"/>
          <w:szCs w:val="21"/>
          <w:vertAlign w:val="superscript"/>
        </w:rPr>
        <w:t>-</w:t>
      </w:r>
      <w:r w:rsidRPr="00885D95">
        <w:rPr>
          <w:rFonts w:ascii="Arial" w:eastAsia="微软雅黑" w:hAnsi="Arial" w:cs="Arial"/>
          <w:szCs w:val="21"/>
        </w:rPr>
        <w:t>–N concentration (from 44.8 mg·kg</w:t>
      </w:r>
      <w:r w:rsidRPr="00885D95">
        <w:rPr>
          <w:rFonts w:ascii="Cambria Math" w:eastAsia="微软雅黑" w:hAnsi="Cambria Math" w:cs="Cambria Math"/>
          <w:szCs w:val="21"/>
        </w:rPr>
        <w:t>⁻</w:t>
      </w:r>
      <w:r w:rsidRPr="00885D95">
        <w:rPr>
          <w:rFonts w:ascii="Arial" w:eastAsia="微软雅黑" w:hAnsi="Arial" w:cs="Arial"/>
          <w:szCs w:val="21"/>
        </w:rPr>
        <w:t>¹ to 15.9 mg·kg</w:t>
      </w:r>
      <w:r w:rsidRPr="00885D95">
        <w:rPr>
          <w:rFonts w:ascii="Cambria Math" w:eastAsia="微软雅黑" w:hAnsi="Cambria Math" w:cs="Cambria Math"/>
          <w:szCs w:val="21"/>
        </w:rPr>
        <w:t>⁻</w:t>
      </w:r>
      <w:r w:rsidRPr="00885D95">
        <w:rPr>
          <w:rFonts w:ascii="Arial" w:eastAsia="微软雅黑" w:hAnsi="Arial" w:cs="Arial"/>
          <w:szCs w:val="21"/>
        </w:rPr>
        <w:t xml:space="preserve">¹). Plant cover remained high (~97%) in both states. At the Dashalong (DS) marsh meadow site, degradation classification was strongly supported by changes in vegetation structure. Degraded plots showed a 73% reduction in mean height (from 12.9 cm to 3.5 cm) and a 27% decrease in plant cover (from 99% to 72%). In contrast, species richness and soil nitrogen concentrations </w:t>
      </w:r>
      <w:r w:rsidRPr="00885D95">
        <w:rPr>
          <w:rFonts w:ascii="Arial" w:eastAsia="微软雅黑" w:hAnsi="Arial" w:cs="Arial"/>
          <w:szCs w:val="21"/>
        </w:rPr>
        <w:lastRenderedPageBreak/>
        <w:t>exhibited no consistent directional change between UD and D plots. At the Cele (CL) mountain steppe site, degradation was characterized by the most comprehensive set of indicators, including: (i) a complete shift in dominant species composition, (ii) a 41% reduction in species richness (from 6.4 to 3.8), (iii) reduced plant cover, and (iv) significant declines in both NH</w:t>
      </w:r>
      <w:r w:rsidRPr="00885D95">
        <w:rPr>
          <w:rFonts w:ascii="Cambria Math" w:eastAsia="微软雅黑" w:hAnsi="Cambria Math" w:cs="Cambria Math"/>
          <w:szCs w:val="21"/>
        </w:rPr>
        <w:t>₄⁺</w:t>
      </w:r>
      <w:r w:rsidRPr="00885D95">
        <w:rPr>
          <w:rFonts w:ascii="Arial" w:eastAsia="微软雅黑" w:hAnsi="Arial" w:cs="Arial"/>
          <w:szCs w:val="21"/>
        </w:rPr>
        <w:t>–N (39% decrease) and NO</w:t>
      </w:r>
      <w:r w:rsidRPr="00885D95">
        <w:rPr>
          <w:rFonts w:ascii="Cambria Math" w:eastAsia="微软雅黑" w:hAnsi="Cambria Math" w:cs="Cambria Math"/>
          <w:szCs w:val="21"/>
        </w:rPr>
        <w:t>₃⁻</w:t>
      </w:r>
      <w:r w:rsidRPr="00885D95">
        <w:rPr>
          <w:rFonts w:ascii="Arial" w:eastAsia="微软雅黑" w:hAnsi="Arial" w:cs="Arial"/>
          <w:szCs w:val="21"/>
        </w:rPr>
        <w:t>–N (42% decrease). Collectively, these criteria ensured that the UD/D classification was robustly underpinned by quantifiable, site-specific deterioration in core ecosystem attributes, thereby providing a reliable basis for subsequent comparative analyses.</w:t>
      </w:r>
    </w:p>
    <w:p w14:paraId="2E43384E" w14:textId="77777777" w:rsidR="0093088C" w:rsidRPr="00885D95" w:rsidRDefault="0093088C" w:rsidP="0093088C">
      <w:pPr>
        <w:spacing w:line="360" w:lineRule="auto"/>
        <w:rPr>
          <w:rFonts w:ascii="Arial" w:eastAsia="微软雅黑" w:hAnsi="Arial" w:cs="Arial"/>
          <w:szCs w:val="21"/>
        </w:rPr>
      </w:pPr>
      <w:r w:rsidRPr="00885D95">
        <w:rPr>
          <w:rFonts w:ascii="Arial" w:eastAsia="微软雅黑" w:hAnsi="Arial" w:cs="Arial"/>
          <w:noProof/>
          <w:szCs w:val="21"/>
        </w:rPr>
        <w:drawing>
          <wp:inline distT="0" distB="0" distL="0" distR="0" wp14:anchorId="4F2351DA" wp14:editId="1907F4E2">
            <wp:extent cx="5274310" cy="1476375"/>
            <wp:effectExtent l="0" t="0" r="0" b="0"/>
            <wp:docPr id="166297893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978937" name="图片 1662978937"/>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1476375"/>
                    </a:xfrm>
                    <a:prstGeom prst="rect">
                      <a:avLst/>
                    </a:prstGeom>
                  </pic:spPr>
                </pic:pic>
              </a:graphicData>
            </a:graphic>
          </wp:inline>
        </w:drawing>
      </w:r>
    </w:p>
    <w:p w14:paraId="63D3CB18" w14:textId="6D089216" w:rsidR="0093088C" w:rsidRPr="00885D95" w:rsidRDefault="0093088C" w:rsidP="0093088C">
      <w:pPr>
        <w:spacing w:line="360" w:lineRule="auto"/>
        <w:rPr>
          <w:rFonts w:ascii="Arial" w:eastAsia="微软雅黑" w:hAnsi="Arial" w:cs="Arial"/>
          <w:szCs w:val="21"/>
        </w:rPr>
      </w:pPr>
      <w:r w:rsidRPr="00885D95">
        <w:rPr>
          <w:rFonts w:ascii="Arial" w:eastAsia="微软雅黑" w:hAnsi="Arial" w:cs="Arial"/>
          <w:szCs w:val="21"/>
        </w:rPr>
        <w:t>Fig. S1 Differential effects of grassland degradation on plant community α- and β-diversity across an aridity gradient. (a) Shannon diversity index, (b) Simpson's diversity index, and (c) Inter-group β-diversity (Bray-Curtis dissimilarity) between undegraded (UD) and degraded (D) states at the three study sites (EQM, DS, CL). Values are means ± SE.</w:t>
      </w:r>
    </w:p>
    <w:p w14:paraId="112C38F5" w14:textId="77777777" w:rsidR="005947DD" w:rsidRPr="00885D95" w:rsidRDefault="005947DD" w:rsidP="005947DD">
      <w:pPr>
        <w:spacing w:line="360" w:lineRule="auto"/>
        <w:rPr>
          <w:rFonts w:ascii="Arial" w:eastAsia="微软雅黑" w:hAnsi="Arial" w:cs="Arial"/>
          <w:b/>
          <w:bCs/>
          <w:szCs w:val="21"/>
        </w:rPr>
      </w:pPr>
      <w:r w:rsidRPr="00885D95">
        <w:rPr>
          <w:rFonts w:ascii="Arial" w:eastAsia="微软雅黑" w:hAnsi="Arial" w:cs="Arial"/>
          <w:b/>
          <w:bCs/>
          <w:szCs w:val="21"/>
        </w:rPr>
        <w:t>Plant Community Composition and Diversity</w:t>
      </w:r>
    </w:p>
    <w:p w14:paraId="6891C7F2" w14:textId="2678A188" w:rsidR="005947DD" w:rsidRPr="00885D95" w:rsidRDefault="005947DD" w:rsidP="005947DD">
      <w:pPr>
        <w:spacing w:line="360" w:lineRule="auto"/>
        <w:ind w:firstLine="420"/>
        <w:rPr>
          <w:rFonts w:ascii="Arial" w:eastAsia="微软雅黑" w:hAnsi="Arial" w:cs="Arial"/>
          <w:szCs w:val="21"/>
        </w:rPr>
      </w:pPr>
      <w:r w:rsidRPr="00885D95">
        <w:rPr>
          <w:rFonts w:ascii="Arial" w:eastAsia="微软雅黑" w:hAnsi="Arial" w:cs="Arial"/>
          <w:szCs w:val="21"/>
        </w:rPr>
        <w:t>Plant community surveys were conducted concurrently with biomass sampling. Within each of the five 50 cm × 50 cm quadrats per plot, all vascular plant species were identified, and their percent cover was visually cross-estimated by two researchers. From the species cover data, α-diversity including species richness (S), Shannon-Wiener index (H' = -</w:t>
      </w:r>
      <w:proofErr w:type="spellStart"/>
      <w:r w:rsidRPr="00885D95">
        <w:rPr>
          <w:rFonts w:ascii="Arial" w:eastAsia="微软雅黑" w:hAnsi="Arial" w:cs="Arial"/>
          <w:szCs w:val="21"/>
        </w:rPr>
        <w:t>Σp</w:t>
      </w:r>
      <w:proofErr w:type="spellEnd"/>
      <w:r w:rsidRPr="00885D95">
        <w:rPr>
          <w:rFonts w:ascii="Arial" w:eastAsia="微软雅黑" w:hAnsi="Arial" w:cs="Arial"/>
          <w:szCs w:val="21"/>
        </w:rPr>
        <w:t xml:space="preserve">ᵢ ln pᵢ); and Simpson's Index (D = 1 - Σpᵢ²) were computed. Where pᵢ is the relative cover of species </w:t>
      </w:r>
      <w:proofErr w:type="spellStart"/>
      <w:r w:rsidRPr="00885D95">
        <w:rPr>
          <w:rFonts w:ascii="Arial" w:eastAsia="微软雅黑" w:hAnsi="Arial" w:cs="Arial"/>
          <w:szCs w:val="21"/>
        </w:rPr>
        <w:t>i</w:t>
      </w:r>
      <w:proofErr w:type="spellEnd"/>
      <w:r w:rsidRPr="00885D95">
        <w:rPr>
          <w:rFonts w:ascii="Arial" w:eastAsia="微软雅黑" w:hAnsi="Arial" w:cs="Arial"/>
          <w:szCs w:val="21"/>
        </w:rPr>
        <w:t>. The mean value of the five quadrats was used for the plot-level analysis. β-diversity was calculated</w:t>
      </w:r>
      <w:r w:rsidRPr="00885D95">
        <w:rPr>
          <w:rFonts w:ascii="Arial" w:hAnsi="Arial" w:cs="Arial"/>
        </w:rPr>
        <w:t xml:space="preserve"> </w:t>
      </w:r>
      <w:r w:rsidRPr="00885D95">
        <w:rPr>
          <w:rFonts w:ascii="Arial" w:eastAsia="微软雅黑" w:hAnsi="Arial" w:cs="Arial"/>
          <w:szCs w:val="21"/>
        </w:rPr>
        <w:t>to quantify and test the overall differences in plant community composition between the UD and D states, based on Bray-</w:t>
      </w:r>
      <w:r w:rsidR="00885D95" w:rsidRPr="00885D95">
        <w:rPr>
          <w:rFonts w:ascii="Arial" w:eastAsia="微软雅黑" w:hAnsi="Arial" w:cs="Arial"/>
          <w:szCs w:val="21"/>
        </w:rPr>
        <w:t>Curti’s</w:t>
      </w:r>
      <w:r w:rsidRPr="00885D95">
        <w:rPr>
          <w:rFonts w:ascii="Arial" w:eastAsia="微软雅黑" w:hAnsi="Arial" w:cs="Arial"/>
          <w:szCs w:val="21"/>
        </w:rPr>
        <w:t xml:space="preserve"> dissimilarity matrix.</w:t>
      </w:r>
    </w:p>
    <w:p w14:paraId="11A155DE" w14:textId="77777777" w:rsidR="0093088C" w:rsidRPr="00885D95" w:rsidRDefault="0093088C">
      <w:pPr>
        <w:rPr>
          <w:rFonts w:ascii="Arial" w:hAnsi="Arial" w:cs="Arial"/>
        </w:rPr>
      </w:pPr>
    </w:p>
    <w:sectPr w:rsidR="0093088C" w:rsidRPr="00885D9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E7DD0" w14:textId="77777777" w:rsidR="004E4250" w:rsidRDefault="004E4250" w:rsidP="00DB1CE4">
      <w:pPr>
        <w:rPr>
          <w:rFonts w:hint="eastAsia"/>
        </w:rPr>
      </w:pPr>
      <w:r>
        <w:separator/>
      </w:r>
    </w:p>
  </w:endnote>
  <w:endnote w:type="continuationSeparator" w:id="0">
    <w:p w14:paraId="3255FE13" w14:textId="77777777" w:rsidR="004E4250" w:rsidRDefault="004E4250" w:rsidP="00DB1CE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0FD5D" w14:textId="77777777" w:rsidR="004E4250" w:rsidRDefault="004E4250" w:rsidP="00DB1CE4">
      <w:pPr>
        <w:rPr>
          <w:rFonts w:hint="eastAsia"/>
        </w:rPr>
      </w:pPr>
      <w:r>
        <w:separator/>
      </w:r>
    </w:p>
  </w:footnote>
  <w:footnote w:type="continuationSeparator" w:id="0">
    <w:p w14:paraId="0B96F117" w14:textId="77777777" w:rsidR="004E4250" w:rsidRDefault="004E4250" w:rsidP="00DB1CE4">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94992"/>
    <w:rsid w:val="000F777F"/>
    <w:rsid w:val="00224ECE"/>
    <w:rsid w:val="00306B8F"/>
    <w:rsid w:val="00315DEB"/>
    <w:rsid w:val="004E4250"/>
    <w:rsid w:val="005947DD"/>
    <w:rsid w:val="006D0B8B"/>
    <w:rsid w:val="007F225F"/>
    <w:rsid w:val="00885D95"/>
    <w:rsid w:val="0093088C"/>
    <w:rsid w:val="00962886"/>
    <w:rsid w:val="00B9321B"/>
    <w:rsid w:val="00B94992"/>
    <w:rsid w:val="00DB1CE4"/>
    <w:rsid w:val="00DD3043"/>
    <w:rsid w:val="00F27A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75A47"/>
  <w15:chartTrackingRefBased/>
  <w15:docId w15:val="{B063B1E8-FF50-47D2-84E4-3141414B9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1CE4"/>
    <w:pPr>
      <w:widowControl w:val="0"/>
      <w:jc w:val="both"/>
    </w:pPr>
  </w:style>
  <w:style w:type="paragraph" w:styleId="1">
    <w:name w:val="heading 1"/>
    <w:basedOn w:val="a"/>
    <w:next w:val="a"/>
    <w:link w:val="10"/>
    <w:uiPriority w:val="9"/>
    <w:qFormat/>
    <w:rsid w:val="00B94992"/>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B94992"/>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B94992"/>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B94992"/>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B94992"/>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B94992"/>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B94992"/>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94992"/>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B94992"/>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94992"/>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B94992"/>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B94992"/>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B94992"/>
    <w:rPr>
      <w:rFonts w:cstheme="majorBidi"/>
      <w:color w:val="0F4761" w:themeColor="accent1" w:themeShade="BF"/>
      <w:sz w:val="28"/>
      <w:szCs w:val="28"/>
    </w:rPr>
  </w:style>
  <w:style w:type="character" w:customStyle="1" w:styleId="50">
    <w:name w:val="标题 5 字符"/>
    <w:basedOn w:val="a0"/>
    <w:link w:val="5"/>
    <w:uiPriority w:val="9"/>
    <w:semiHidden/>
    <w:rsid w:val="00B94992"/>
    <w:rPr>
      <w:rFonts w:cstheme="majorBidi"/>
      <w:color w:val="0F4761" w:themeColor="accent1" w:themeShade="BF"/>
      <w:sz w:val="24"/>
      <w:szCs w:val="24"/>
    </w:rPr>
  </w:style>
  <w:style w:type="character" w:customStyle="1" w:styleId="60">
    <w:name w:val="标题 6 字符"/>
    <w:basedOn w:val="a0"/>
    <w:link w:val="6"/>
    <w:uiPriority w:val="9"/>
    <w:semiHidden/>
    <w:rsid w:val="00B94992"/>
    <w:rPr>
      <w:rFonts w:cstheme="majorBidi"/>
      <w:b/>
      <w:bCs/>
      <w:color w:val="0F4761" w:themeColor="accent1" w:themeShade="BF"/>
    </w:rPr>
  </w:style>
  <w:style w:type="character" w:customStyle="1" w:styleId="70">
    <w:name w:val="标题 7 字符"/>
    <w:basedOn w:val="a0"/>
    <w:link w:val="7"/>
    <w:uiPriority w:val="9"/>
    <w:semiHidden/>
    <w:rsid w:val="00B94992"/>
    <w:rPr>
      <w:rFonts w:cstheme="majorBidi"/>
      <w:b/>
      <w:bCs/>
      <w:color w:val="595959" w:themeColor="text1" w:themeTint="A6"/>
    </w:rPr>
  </w:style>
  <w:style w:type="character" w:customStyle="1" w:styleId="80">
    <w:name w:val="标题 8 字符"/>
    <w:basedOn w:val="a0"/>
    <w:link w:val="8"/>
    <w:uiPriority w:val="9"/>
    <w:semiHidden/>
    <w:rsid w:val="00B94992"/>
    <w:rPr>
      <w:rFonts w:cstheme="majorBidi"/>
      <w:color w:val="595959" w:themeColor="text1" w:themeTint="A6"/>
    </w:rPr>
  </w:style>
  <w:style w:type="character" w:customStyle="1" w:styleId="90">
    <w:name w:val="标题 9 字符"/>
    <w:basedOn w:val="a0"/>
    <w:link w:val="9"/>
    <w:uiPriority w:val="9"/>
    <w:semiHidden/>
    <w:rsid w:val="00B94992"/>
    <w:rPr>
      <w:rFonts w:eastAsiaTheme="majorEastAsia" w:cstheme="majorBidi"/>
      <w:color w:val="595959" w:themeColor="text1" w:themeTint="A6"/>
    </w:rPr>
  </w:style>
  <w:style w:type="paragraph" w:styleId="a3">
    <w:name w:val="Title"/>
    <w:basedOn w:val="a"/>
    <w:next w:val="a"/>
    <w:link w:val="a4"/>
    <w:uiPriority w:val="10"/>
    <w:qFormat/>
    <w:rsid w:val="00B9499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9499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9499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9499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94992"/>
    <w:pPr>
      <w:spacing w:before="160" w:after="160"/>
      <w:jc w:val="center"/>
    </w:pPr>
    <w:rPr>
      <w:i/>
      <w:iCs/>
      <w:color w:val="404040" w:themeColor="text1" w:themeTint="BF"/>
    </w:rPr>
  </w:style>
  <w:style w:type="character" w:customStyle="1" w:styleId="a8">
    <w:name w:val="引用 字符"/>
    <w:basedOn w:val="a0"/>
    <w:link w:val="a7"/>
    <w:uiPriority w:val="29"/>
    <w:rsid w:val="00B94992"/>
    <w:rPr>
      <w:i/>
      <w:iCs/>
      <w:color w:val="404040" w:themeColor="text1" w:themeTint="BF"/>
    </w:rPr>
  </w:style>
  <w:style w:type="paragraph" w:styleId="a9">
    <w:name w:val="List Paragraph"/>
    <w:basedOn w:val="a"/>
    <w:uiPriority w:val="34"/>
    <w:qFormat/>
    <w:rsid w:val="00B94992"/>
    <w:pPr>
      <w:ind w:left="720"/>
      <w:contextualSpacing/>
    </w:pPr>
  </w:style>
  <w:style w:type="character" w:styleId="aa">
    <w:name w:val="Intense Emphasis"/>
    <w:basedOn w:val="a0"/>
    <w:uiPriority w:val="21"/>
    <w:qFormat/>
    <w:rsid w:val="00B94992"/>
    <w:rPr>
      <w:i/>
      <w:iCs/>
      <w:color w:val="0F4761" w:themeColor="accent1" w:themeShade="BF"/>
    </w:rPr>
  </w:style>
  <w:style w:type="paragraph" w:styleId="ab">
    <w:name w:val="Intense Quote"/>
    <w:basedOn w:val="a"/>
    <w:next w:val="a"/>
    <w:link w:val="ac"/>
    <w:uiPriority w:val="30"/>
    <w:qFormat/>
    <w:rsid w:val="00B949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B94992"/>
    <w:rPr>
      <w:i/>
      <w:iCs/>
      <w:color w:val="0F4761" w:themeColor="accent1" w:themeShade="BF"/>
    </w:rPr>
  </w:style>
  <w:style w:type="character" w:styleId="ad">
    <w:name w:val="Intense Reference"/>
    <w:basedOn w:val="a0"/>
    <w:uiPriority w:val="32"/>
    <w:qFormat/>
    <w:rsid w:val="00B94992"/>
    <w:rPr>
      <w:b/>
      <w:bCs/>
      <w:smallCaps/>
      <w:color w:val="0F4761" w:themeColor="accent1" w:themeShade="BF"/>
      <w:spacing w:val="5"/>
    </w:rPr>
  </w:style>
  <w:style w:type="paragraph" w:styleId="ae">
    <w:name w:val="header"/>
    <w:basedOn w:val="a"/>
    <w:link w:val="af"/>
    <w:uiPriority w:val="99"/>
    <w:unhideWhenUsed/>
    <w:rsid w:val="00DB1CE4"/>
    <w:pPr>
      <w:tabs>
        <w:tab w:val="center" w:pos="4153"/>
        <w:tab w:val="right" w:pos="8306"/>
      </w:tabs>
      <w:snapToGrid w:val="0"/>
      <w:jc w:val="center"/>
    </w:pPr>
    <w:rPr>
      <w:sz w:val="18"/>
      <w:szCs w:val="18"/>
    </w:rPr>
  </w:style>
  <w:style w:type="character" w:customStyle="1" w:styleId="af">
    <w:name w:val="页眉 字符"/>
    <w:basedOn w:val="a0"/>
    <w:link w:val="ae"/>
    <w:uiPriority w:val="99"/>
    <w:rsid w:val="00DB1CE4"/>
    <w:rPr>
      <w:sz w:val="18"/>
      <w:szCs w:val="18"/>
    </w:rPr>
  </w:style>
  <w:style w:type="paragraph" w:styleId="af0">
    <w:name w:val="footer"/>
    <w:basedOn w:val="a"/>
    <w:link w:val="af1"/>
    <w:uiPriority w:val="99"/>
    <w:unhideWhenUsed/>
    <w:rsid w:val="00DB1CE4"/>
    <w:pPr>
      <w:tabs>
        <w:tab w:val="center" w:pos="4153"/>
        <w:tab w:val="right" w:pos="8306"/>
      </w:tabs>
      <w:snapToGrid w:val="0"/>
      <w:jc w:val="left"/>
    </w:pPr>
    <w:rPr>
      <w:sz w:val="18"/>
      <w:szCs w:val="18"/>
    </w:rPr>
  </w:style>
  <w:style w:type="character" w:customStyle="1" w:styleId="af1">
    <w:name w:val="页脚 字符"/>
    <w:basedOn w:val="a0"/>
    <w:link w:val="af0"/>
    <w:uiPriority w:val="99"/>
    <w:rsid w:val="00DB1CE4"/>
    <w:rPr>
      <w:sz w:val="18"/>
      <w:szCs w:val="18"/>
    </w:rPr>
  </w:style>
  <w:style w:type="table" w:styleId="af2">
    <w:name w:val="Table Grid"/>
    <w:basedOn w:val="a1"/>
    <w:uiPriority w:val="39"/>
    <w:rsid w:val="00DB1CE4"/>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9308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500</Words>
  <Characters>2800</Characters>
  <Application>Microsoft Office Word</Application>
  <DocSecurity>0</DocSecurity>
  <Lines>93</Lines>
  <Paragraphs>63</Paragraphs>
  <ScaleCrop>false</ScaleCrop>
  <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建波 孙</dc:creator>
  <cp:keywords/>
  <dc:description/>
  <cp:lastModifiedBy>建波 孙</cp:lastModifiedBy>
  <cp:revision>4</cp:revision>
  <dcterms:created xsi:type="dcterms:W3CDTF">2026-03-26T07:25:00Z</dcterms:created>
  <dcterms:modified xsi:type="dcterms:W3CDTF">2026-04-27T01:14:00Z</dcterms:modified>
</cp:coreProperties>
</file>