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9371" w:type="dxa"/>
        <w:tblLook w:val="0420" w:firstRow="1" w:lastRow="0" w:firstColumn="0" w:lastColumn="0" w:noHBand="0" w:noVBand="1"/>
      </w:tblPr>
      <w:tblGrid>
        <w:gridCol w:w="5958"/>
        <w:gridCol w:w="3413"/>
      </w:tblGrid>
      <w:tr w:rsidR="00E541CE" w:rsidRPr="0076448E" w14:paraId="17D14521" w14:textId="77777777" w:rsidTr="00E24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"/>
        </w:trPr>
        <w:tc>
          <w:tcPr>
            <w:tcW w:w="937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D70B17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FFFF" w:themeColor="background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Table 1: Baseline Characteristics (n = 153)</w:t>
            </w:r>
          </w:p>
        </w:tc>
      </w:tr>
      <w:tr w:rsidR="00E541CE" w:rsidRPr="0076448E" w14:paraId="17136328" w14:textId="77777777" w:rsidTr="00E24549">
        <w:trPr>
          <w:trHeight w:val="169"/>
        </w:trPr>
        <w:tc>
          <w:tcPr>
            <w:tcW w:w="5958" w:type="dxa"/>
            <w:tcBorders>
              <w:top w:val="single" w:sz="4" w:space="0" w:color="auto"/>
              <w:left w:val="single" w:sz="18" w:space="0" w:color="auto"/>
            </w:tcBorders>
            <w:hideMark/>
          </w:tcPr>
          <w:p w14:paraId="5255B94F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Female – No. (%)</w:t>
            </w:r>
          </w:p>
        </w:tc>
        <w:tc>
          <w:tcPr>
            <w:tcW w:w="3413" w:type="dxa"/>
            <w:tcBorders>
              <w:top w:val="single" w:sz="4" w:space="0" w:color="auto"/>
              <w:right w:val="single" w:sz="18" w:space="0" w:color="auto"/>
            </w:tcBorders>
            <w:hideMark/>
          </w:tcPr>
          <w:p w14:paraId="3DB2FFFD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78 (51%)</w:t>
            </w:r>
          </w:p>
        </w:tc>
      </w:tr>
      <w:tr w:rsidR="00E541CE" w:rsidRPr="0076448E" w14:paraId="03C5339F" w14:textId="77777777" w:rsidTr="00E24549">
        <w:trPr>
          <w:trHeight w:val="32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5DCFABA1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Caucasian/White – No. (%)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02F81EE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130 (85%)</w:t>
            </w:r>
          </w:p>
        </w:tc>
      </w:tr>
      <w:tr w:rsidR="00E541CE" w:rsidRPr="0076448E" w14:paraId="018253E0" w14:textId="77777777" w:rsidTr="00E24549">
        <w:trPr>
          <w:trHeight w:val="32"/>
        </w:trPr>
        <w:tc>
          <w:tcPr>
            <w:tcW w:w="5958" w:type="dxa"/>
            <w:tcBorders>
              <w:left w:val="single" w:sz="18" w:space="0" w:color="auto"/>
            </w:tcBorders>
          </w:tcPr>
          <w:p w14:paraId="3F5A0FBD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Admit weight (kg) - mean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7D1AA03E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77.8 (64.1 - 90.2)</w:t>
            </w:r>
          </w:p>
        </w:tc>
      </w:tr>
      <w:tr w:rsidR="00E541CE" w:rsidRPr="0076448E" w14:paraId="2EE78243" w14:textId="77777777" w:rsidTr="00E24549">
        <w:trPr>
          <w:trHeight w:val="20"/>
        </w:trPr>
        <w:tc>
          <w:tcPr>
            <w:tcW w:w="9371" w:type="dxa"/>
            <w:gridSpan w:val="2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FD87AAF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Past Medical History – no. (%)</w:t>
            </w:r>
          </w:p>
        </w:tc>
      </w:tr>
      <w:tr w:rsidR="00E541CE" w:rsidRPr="0076448E" w14:paraId="626B57E6" w14:textId="77777777" w:rsidTr="00E24549">
        <w:trPr>
          <w:trHeight w:val="9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027D1EEF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Prior stroke 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15185B18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28 (18.3%)</w:t>
            </w:r>
          </w:p>
        </w:tc>
      </w:tr>
      <w:tr w:rsidR="00E541CE" w:rsidRPr="0076448E" w14:paraId="510E4716" w14:textId="77777777" w:rsidTr="00E24549">
        <w:trPr>
          <w:trHeight w:val="105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4B17FB87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Brain cancer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7219563D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5 (3.3%)</w:t>
            </w:r>
          </w:p>
        </w:tc>
      </w:tr>
      <w:tr w:rsidR="00E541CE" w:rsidRPr="0076448E" w14:paraId="54B92F80" w14:textId="77777777" w:rsidTr="00E24549">
        <w:trPr>
          <w:trHeight w:val="105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2BCA0A9C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Neurocognitive disorders*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0105C091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52 (34%)</w:t>
            </w:r>
          </w:p>
        </w:tc>
      </w:tr>
      <w:tr w:rsidR="00E541CE" w:rsidRPr="0076448E" w14:paraId="45140A3A" w14:textId="77777777" w:rsidTr="00E24549">
        <w:trPr>
          <w:trHeight w:val="105"/>
        </w:trPr>
        <w:tc>
          <w:tcPr>
            <w:tcW w:w="5958" w:type="dxa"/>
            <w:tcBorders>
              <w:left w:val="single" w:sz="18" w:space="0" w:color="auto"/>
            </w:tcBorders>
          </w:tcPr>
          <w:p w14:paraId="5F601D83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Unknown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055911FF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27 (17.6%)</w:t>
            </w:r>
          </w:p>
        </w:tc>
      </w:tr>
      <w:tr w:rsidR="00E541CE" w:rsidRPr="0076448E" w14:paraId="1341744B" w14:textId="77777777" w:rsidTr="00E24549">
        <w:trPr>
          <w:trHeight w:val="105"/>
        </w:trPr>
        <w:tc>
          <w:tcPr>
            <w:tcW w:w="5958" w:type="dxa"/>
            <w:tcBorders>
              <w:left w:val="single" w:sz="18" w:space="0" w:color="auto"/>
            </w:tcBorders>
          </w:tcPr>
          <w:p w14:paraId="2CD91B74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1FFEF674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54 (35.3%)</w:t>
            </w:r>
          </w:p>
        </w:tc>
      </w:tr>
      <w:tr w:rsidR="00E541CE" w:rsidRPr="0076448E" w14:paraId="29B0BF83" w14:textId="77777777" w:rsidTr="00E24549">
        <w:trPr>
          <w:trHeight w:val="19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511724E8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Admission CrCl (mL/min) – median (IQR)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7FEFB2F1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76.9 (58.8-98.8)</w:t>
            </w:r>
          </w:p>
        </w:tc>
      </w:tr>
      <w:tr w:rsidR="00E541CE" w:rsidRPr="0076448E" w14:paraId="763EDDF4" w14:textId="77777777" w:rsidTr="00E24549">
        <w:trPr>
          <w:trHeight w:val="250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7CAFD715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Presenting GCS - med (IQR)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00DB405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5 (3-8)</w:t>
            </w:r>
          </w:p>
        </w:tc>
      </w:tr>
      <w:tr w:rsidR="00E541CE" w:rsidRPr="0076448E" w14:paraId="5ADEB818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64D5CFE0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GCS prior to intubation – median (IQR)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7994C1E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4 (3-8)</w:t>
            </w:r>
          </w:p>
        </w:tc>
      </w:tr>
      <w:tr w:rsidR="00E541CE" w:rsidRPr="0076448E" w14:paraId="6EE96B30" w14:textId="77777777" w:rsidTr="00E24549">
        <w:trPr>
          <w:trHeight w:val="300"/>
        </w:trPr>
        <w:tc>
          <w:tcPr>
            <w:tcW w:w="9371" w:type="dxa"/>
            <w:gridSpan w:val="2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D494504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Type of neurologic injury – No. (%)</w:t>
            </w:r>
          </w:p>
        </w:tc>
      </w:tr>
      <w:tr w:rsidR="00E541CE" w:rsidRPr="0076448E" w14:paraId="2D0E5503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0BC20E3F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Ischemic Stroke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2EA93977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35 (22.9%)</w:t>
            </w:r>
          </w:p>
        </w:tc>
      </w:tr>
      <w:tr w:rsidR="00E541CE" w:rsidRPr="0076448E" w14:paraId="318E4732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19E01235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Intracerebral hemorrhage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442744FC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16 (10.4)</w:t>
            </w:r>
          </w:p>
        </w:tc>
      </w:tr>
      <w:tr w:rsidR="00E541CE" w:rsidRPr="0076448E" w14:paraId="75988EF4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3A4E263A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Intraparenchymal hemorrhage 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631D4979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11 (7.2%)</w:t>
            </w:r>
          </w:p>
        </w:tc>
      </w:tr>
      <w:tr w:rsidR="00E541CE" w:rsidRPr="0076448E" w14:paraId="6E4535DA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78B12B56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Subdural hemorrhage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3FD87675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7 (4.6%)</w:t>
            </w:r>
          </w:p>
        </w:tc>
      </w:tr>
      <w:tr w:rsidR="00E541CE" w:rsidRPr="0076448E" w14:paraId="72986101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702FD3BE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Intraventricular hemorrhage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75DB2146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19 (12.4%)</w:t>
            </w:r>
          </w:p>
        </w:tc>
      </w:tr>
      <w:tr w:rsidR="00E541CE" w:rsidRPr="0076448E" w14:paraId="64D2552D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5ACE56D4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Subarachnoid hemorrhage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38E5D969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10 (6.5%)</w:t>
            </w:r>
          </w:p>
        </w:tc>
      </w:tr>
      <w:tr w:rsidR="00E541CE" w:rsidRPr="0076448E" w14:paraId="6FD30784" w14:textId="77777777" w:rsidTr="00E24549">
        <w:trPr>
          <w:trHeight w:val="300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741A9CDA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Status Epilepticus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3C003A8D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35 (22.9%)</w:t>
            </w:r>
          </w:p>
        </w:tc>
      </w:tr>
      <w:tr w:rsidR="00E541CE" w:rsidRPr="0076448E" w14:paraId="77A1CDE8" w14:textId="77777777" w:rsidTr="00E24549">
        <w:trPr>
          <w:trHeight w:val="300"/>
        </w:trPr>
        <w:tc>
          <w:tcPr>
            <w:tcW w:w="5958" w:type="dxa"/>
            <w:tcBorders>
              <w:left w:val="single" w:sz="18" w:space="0" w:color="auto"/>
            </w:tcBorders>
            <w:hideMark/>
          </w:tcPr>
          <w:p w14:paraId="0DD43A0F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3413" w:type="dxa"/>
            <w:tcBorders>
              <w:right w:val="single" w:sz="18" w:space="0" w:color="auto"/>
            </w:tcBorders>
            <w:hideMark/>
          </w:tcPr>
          <w:p w14:paraId="21C40288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color w:val="000000" w:themeColor="text1"/>
              </w:rPr>
              <w:t>20 (13.1%)</w:t>
            </w:r>
          </w:p>
        </w:tc>
      </w:tr>
      <w:tr w:rsidR="00E541CE" w:rsidRPr="0076448E" w14:paraId="075FA341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15652775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Intubation by outside hospital or emergency medical service (EMS) – No. (%)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64A775D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63 (41.2%)</w:t>
            </w:r>
          </w:p>
        </w:tc>
      </w:tr>
      <w:tr w:rsidR="00E541CE" w:rsidRPr="0076448E" w14:paraId="2CB4F1AE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7B069D4C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Intubation by investigating facility – No. (%)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47CD5EA6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93 (60.8%)</w:t>
            </w:r>
          </w:p>
        </w:tc>
      </w:tr>
      <w:tr w:rsidR="00E541CE" w:rsidRPr="0076448E" w14:paraId="3A4BA557" w14:textId="77777777" w:rsidTr="00E24549">
        <w:trPr>
          <w:trHeight w:val="16"/>
        </w:trPr>
        <w:tc>
          <w:tcPr>
            <w:tcW w:w="93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4A85EDA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Paralytic used – No. (%)</w:t>
            </w:r>
          </w:p>
        </w:tc>
      </w:tr>
      <w:tr w:rsidR="00E541CE" w:rsidRPr="0076448E" w14:paraId="0109CB5F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0312D3C6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Rocuronium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04530C41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141 (92.2)</w:t>
            </w:r>
          </w:p>
        </w:tc>
      </w:tr>
      <w:tr w:rsidR="00E541CE" w:rsidRPr="0076448E" w14:paraId="0D3EA1B6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6FCBB6FF" w14:textId="77777777" w:rsidR="00E541CE" w:rsidRPr="0076448E" w:rsidRDefault="00E541CE" w:rsidP="00E24549">
            <w:pPr>
              <w:ind w:left="1440"/>
              <w:rPr>
                <w:rFonts w:ascii="Times New Roman" w:eastAsia="Times New Roman" w:hAnsi="Times New Roman" w:cs="Times New Roman"/>
                <w:vertAlign w:val="subscript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Dose (mg/kg) - median</w:t>
            </w:r>
            <w:r w:rsidRPr="0076448E"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753855C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1.2 (1.04 – 1.33)</w:t>
            </w:r>
          </w:p>
        </w:tc>
      </w:tr>
      <w:tr w:rsidR="00E541CE" w:rsidRPr="0076448E" w14:paraId="1D599A11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36CE7971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Vecuronium 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2A15B1FA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12 (7.8)</w:t>
            </w:r>
          </w:p>
        </w:tc>
      </w:tr>
      <w:tr w:rsidR="00E541CE" w:rsidRPr="0076448E" w14:paraId="2C154E2B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11783447" w14:textId="77777777" w:rsidR="00E541CE" w:rsidRPr="0076448E" w:rsidRDefault="00E541CE" w:rsidP="00E24549">
            <w:pPr>
              <w:ind w:left="144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Dose (mg/kg) – median 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4B7A40D0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10 (7 - 10)</w:t>
            </w:r>
          </w:p>
        </w:tc>
      </w:tr>
      <w:tr w:rsidR="00E541CE" w:rsidRPr="0076448E" w14:paraId="57CC7AF4" w14:textId="77777777" w:rsidTr="00E24549">
        <w:trPr>
          <w:trHeight w:val="16"/>
        </w:trPr>
        <w:tc>
          <w:tcPr>
            <w:tcW w:w="93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864A2F5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448E">
              <w:rPr>
                <w:rFonts w:ascii="Times New Roman" w:eastAsia="Times New Roman" w:hAnsi="Times New Roman" w:cs="Times New Roman"/>
              </w:rPr>
              <w:t>Sugammadex</w:t>
            </w:r>
            <w:proofErr w:type="spellEnd"/>
            <w:r w:rsidRPr="0076448E">
              <w:rPr>
                <w:rFonts w:ascii="Times New Roman" w:eastAsia="Times New Roman" w:hAnsi="Times New Roman" w:cs="Times New Roman"/>
              </w:rPr>
              <w:t xml:space="preserve"> dose (mg/kg) – No. (%)</w:t>
            </w:r>
          </w:p>
        </w:tc>
      </w:tr>
      <w:tr w:rsidR="00E541CE" w:rsidRPr="0076448E" w14:paraId="35C36D6A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5A95B656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&lt; 2 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3C80D6F6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12 (7.8%)</w:t>
            </w:r>
          </w:p>
        </w:tc>
      </w:tr>
      <w:tr w:rsidR="00E541CE" w:rsidRPr="0076448E" w14:paraId="563E588C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25495161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2 - 4 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08C3AFDD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98 (64.1%)</w:t>
            </w:r>
          </w:p>
        </w:tc>
      </w:tr>
      <w:tr w:rsidR="00E541CE" w:rsidRPr="0076448E" w14:paraId="5B3F7A5B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30D7D398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&gt; 4 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62DD34CD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23 (15%)</w:t>
            </w:r>
          </w:p>
        </w:tc>
      </w:tr>
      <w:tr w:rsidR="00E541CE" w:rsidRPr="0076448E" w14:paraId="28E1F61D" w14:textId="77777777" w:rsidTr="00E24549">
        <w:trPr>
          <w:trHeight w:val="16"/>
        </w:trPr>
        <w:tc>
          <w:tcPr>
            <w:tcW w:w="5958" w:type="dxa"/>
            <w:tcBorders>
              <w:left w:val="single" w:sz="18" w:space="0" w:color="auto"/>
            </w:tcBorders>
          </w:tcPr>
          <w:p w14:paraId="2D45E5C1" w14:textId="77777777" w:rsidR="00E541CE" w:rsidRPr="0076448E" w:rsidRDefault="00E541CE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Unknown</w:t>
            </w:r>
          </w:p>
        </w:tc>
        <w:tc>
          <w:tcPr>
            <w:tcW w:w="3413" w:type="dxa"/>
            <w:tcBorders>
              <w:right w:val="single" w:sz="18" w:space="0" w:color="auto"/>
            </w:tcBorders>
          </w:tcPr>
          <w:p w14:paraId="6D8BD7C8" w14:textId="77777777" w:rsidR="00E541CE" w:rsidRPr="0076448E" w:rsidRDefault="00E541CE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20 (13.1%)</w:t>
            </w:r>
          </w:p>
        </w:tc>
      </w:tr>
      <w:tr w:rsidR="00E541CE" w:rsidRPr="0076448E" w14:paraId="38F60BE4" w14:textId="77777777" w:rsidTr="00E24549">
        <w:trPr>
          <w:trHeight w:val="16"/>
        </w:trPr>
        <w:tc>
          <w:tcPr>
            <w:tcW w:w="93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AB83EF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*Defined as Alzheimer’s disease, Parkinson’s disease, Amyotrophic Lateral Sclerosis (ALS), or other neuropsychiatric disorder.</w:t>
            </w:r>
          </w:p>
          <w:p w14:paraId="71F15A03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  <w:vertAlign w:val="subscript"/>
              </w:rPr>
            </w:pPr>
            <w:r w:rsidRPr="0076448E">
              <w:rPr>
                <w:rFonts w:ascii="Times New Roman" w:eastAsia="Times New Roman" w:hAnsi="Times New Roman" w:cs="Times New Roman"/>
                <w:vertAlign w:val="subscript"/>
              </w:rPr>
              <w:t xml:space="preserve">1: n =21; unknown paralytic dose </w:t>
            </w:r>
          </w:p>
          <w:p w14:paraId="53171E66" w14:textId="77777777" w:rsidR="00E541CE" w:rsidRPr="0076448E" w:rsidRDefault="00E541CE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Abbreviations: CrCl, Creatinine Clearance; GCS, Glasgow Coma Score; IQR, interquartile range.</w:t>
            </w:r>
          </w:p>
        </w:tc>
      </w:tr>
    </w:tbl>
    <w:p w14:paraId="523305B0" w14:textId="77777777" w:rsidR="00E541CE" w:rsidRPr="0076448E" w:rsidRDefault="00E541CE" w:rsidP="00E541CE">
      <w:pPr>
        <w:rPr>
          <w:rFonts w:ascii="Times New Roman" w:eastAsia="Times New Roman" w:hAnsi="Times New Roman" w:cs="Times New Roman"/>
        </w:rPr>
      </w:pPr>
    </w:p>
    <w:p w14:paraId="0A6E254E" w14:textId="77777777" w:rsidR="00E541CE" w:rsidRPr="0076448E" w:rsidRDefault="00E541CE" w:rsidP="00E541CE">
      <w:pPr>
        <w:rPr>
          <w:rFonts w:ascii="Times New Roman" w:eastAsia="Times New Roman" w:hAnsi="Times New Roman" w:cs="Times New Roman"/>
        </w:rPr>
      </w:pPr>
    </w:p>
    <w:p w14:paraId="3E99D82F" w14:textId="77777777" w:rsidR="00E541CE" w:rsidRPr="0076448E" w:rsidRDefault="00E541CE" w:rsidP="00E541CE">
      <w:pPr>
        <w:rPr>
          <w:rFonts w:ascii="Times New Roman" w:eastAsia="Times New Roman" w:hAnsi="Times New Roman" w:cs="Times New Roman"/>
        </w:rPr>
      </w:pPr>
    </w:p>
    <w:sectPr w:rsidR="00E541CE" w:rsidRPr="0076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CE"/>
    <w:rsid w:val="00150EB1"/>
    <w:rsid w:val="0034576E"/>
    <w:rsid w:val="005C67EA"/>
    <w:rsid w:val="00605F9A"/>
    <w:rsid w:val="008C729D"/>
    <w:rsid w:val="0096235A"/>
    <w:rsid w:val="00B85285"/>
    <w:rsid w:val="00E541CE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B24A8"/>
  <w15:chartTrackingRefBased/>
  <w15:docId w15:val="{2CA2F3A5-ABF4-D349-B20E-EB83FCC2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CE"/>
  </w:style>
  <w:style w:type="paragraph" w:styleId="Heading1">
    <w:name w:val="heading 1"/>
    <w:basedOn w:val="Normal"/>
    <w:next w:val="Normal"/>
    <w:link w:val="Heading1Char"/>
    <w:uiPriority w:val="9"/>
    <w:qFormat/>
    <w:rsid w:val="00E54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1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541C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2026-05-26T23:36:00Z</dcterms:created>
  <dcterms:modified xsi:type="dcterms:W3CDTF">2026-05-26T23:36:00Z</dcterms:modified>
</cp:coreProperties>
</file>