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ns1="http://schemas.openxmlformats.org/markup-compatibility/2006" xmlns:w="http://schemas.openxmlformats.org/wordprocessingml/2006/main" ns1:Ignorable="w14 wp14 w15">
  <w:body>
    <w:p>
      <w:pPr>
        <w:spacing w:before="1200" w:after="360" w:line="240" w:lineRule="auto"/>
        <w:jc w:val="center"/>
      </w:pPr>
      <w:r>
        <w:rPr>
          <w:rFonts w:ascii="Arial" w:hAnsi="Arial" w:cs="Arial"/>
          <w:b/>
          <w:sz w:val="36"/>
          <w:szCs w:val="36"/>
        </w:rPr>
        <w:t>Supplementary Material</w:t>
      </w:r>
    </w:p>
    <w:p>
      <w:pPr>
        <w:spacing w:before="0" w:after="400" w:line="240" w:lineRule="auto"/>
        <w:jc w:val="center"/>
      </w:pPr>
      <w:r>
        <w:rPr>
          <w:rFonts w:ascii="Arial" w:hAnsi="Arial" w:cs="Arial"/>
          <w:sz w:val="25"/>
          <w:szCs w:val="25"/>
        </w:rPr>
        <w:t>PhysioRisk: an interpretable survival-modeling framework for separating demographic and physiological mortality risk</w:t>
      </w:r>
    </w:p>
    <w:p>
      <w:pPr>
        <w:spacing w:before="600" w:after="260" w:line="240" w:lineRule="auto"/>
        <w:jc w:val="center"/>
      </w:pPr>
      <w:r>
        <w:rPr>
          <w:rFonts w:ascii="Arial" w:hAnsi="Arial" w:cs="Arial"/>
          <w:sz w:val="23"/>
          <w:szCs w:val="23"/>
        </w:rPr>
        <w:t>Biogerontology</w:t>
      </w:r>
    </w:p>
    <w:p>
      <w:pPr>
        <w:spacing w:before="0" w:after="0" w:line="240" w:lineRule="auto"/>
        <w:jc w:val="center"/>
      </w:pPr>
      <w:r>
        <w:rPr>
          <w:rFonts w:ascii="Arial" w:hAnsi="Arial" w:cs="Arial"/>
          <w:sz w:val="23"/>
          <w:szCs w:val="23"/>
        </w:rPr>
        <w:t>Gregory S. Allen</w:t>
      </w:r>
    </w:p>
    <w:p>
      <w:pPr>
        <w:spacing w:before="0" w:after="0" w:line="240" w:lineRule="auto"/>
        <w:jc w:val="center"/>
      </w:pPr>
      <w:r>
        <w:rPr>
          <w:rFonts w:ascii="Arial" w:hAnsi="Arial" w:cs="Arial"/>
          <w:sz w:val="23"/>
          <w:szCs w:val="23"/>
        </w:rPr>
        <w:t>Independent researcher, Cuenca, Ecuador</w:t>
      </w:r>
    </w:p>
    <w:p>
      <w:pPr>
        <w:spacing w:before="0" w:after="0" w:line="240" w:lineRule="auto"/>
        <w:jc w:val="center"/>
      </w:pPr>
      <w:r>
        <w:rPr>
          <w:rFonts w:ascii="Arial" w:hAnsi="Arial" w:cs="Arial"/>
          <w:sz w:val="23"/>
          <w:szCs w:val="23"/>
        </w:rPr>
        <w:t>Corresponding author: Gregory S. Allen</w:t>
      </w:r>
    </w:p>
    <w:p>
      <w:pPr>
        <w:spacing w:before="0" w:after="0" w:line="240" w:lineRule="auto"/>
        <w:jc w:val="center"/>
      </w:pPr>
      <w:r>
        <w:rPr>
          <w:rFonts w:ascii="Arial" w:hAnsi="Arial" w:cs="Arial"/>
          <w:sz w:val="23"/>
          <w:szCs w:val="23"/>
        </w:rPr>
        <w:t>Email: allengr220@gmail.com</w:t>
      </w:r>
    </w:p>
    <w:p>
      <w:pPr>
        <w:spacing w:before="500" w:after="0" w:line="240" w:lineRule="auto"/>
        <w:jc w:val="center"/>
      </w:pPr>
      <w:r>
        <w:rPr>
          <w:rFonts w:ascii="Arial" w:hAnsi="Arial" w:cs="Arial"/>
          <w:i/>
          <w:sz w:val="15"/>
          <w:szCs w:val="15"/>
        </w:rPr>
        <w:t>Numerical values are transcribed from the cited canonical artifacts and rounded only for display; source artifacts retain full precision.</w:t>
      </w:r>
    </w:p>
    <w:p>
      <w:pPr>
        <w:spacing w:before="0" w:after="100" w:line="240" w:lineRule="auto"/>
        <w:pageBreakBefore/>
      </w:pPr>
      <w:r>
        <w:rPr>
          <w:rFonts w:ascii="Arial" w:hAnsi="Arial" w:cs="Arial"/>
          <w:sz w:val="18"/>
          <w:szCs w:val="18"/>
        </w:rPr>
        <w:t/>
      </w:r>
    </w:p>
    <w:p>
      <w:pPr>
        <w:pStyle w:val="Heading2"/>
        <w:spacing w:before="180" w:after="100"/>
      </w:pPr>
      <w:r>
        <w:rPr>
          <w:sz w:val="18"/>
        </w:rPr>
        <w:t>Supplementary Methods</w:t>
      </w:r>
    </w:p>
    <w:p>
      <w:pPr/>
      <w:r>
        <w:rPr>
          <w:sz w:val="18"/>
        </w:rPr>
        <w:t>Laboratory measurements were harmonized across NHANES cycles to prespecified units before residualization or score construction. PhysioRisk used creatinine in mg/dL. For PhenoAge NCP, albumin was expressed in g/L, creatinine in µmol/L, and glucose in mmol/L before application of the published coefficients.</w:t>
      </w:r>
    </w:p>
    <w:p>
      <w:pPr/>
      <w:r>
        <w:rPr>
          <w:sz w:val="18"/>
        </w:rPr>
        <w:t>PhenoAge NCP was calculated as:</w:t>
      </w:r>
    </w:p>
    <w:p>
      <w:pPr/>
      <w:r>
        <w:rPr>
          <w:sz w:val="18"/>
        </w:rPr>
        <w:t>−19.907 − 0.0336 × albumin (g/L) + 0.0095 × creatinine (µmol/L) + 0.1953 × glucose (mmol/L) − 0.0120 × lymphocyte percentage + 0.0268 × mean corpuscular volume (fL) + 0.3306 × red cell distribution width (%) + 0.00188 × alkaline phosphatase (U/L) + 0.0554 × white blood cell count (10³/µL) + 0.0804 × age (years).</w:t>
      </w:r>
    </w:p>
    <w:p>
      <w:pPr/>
      <w:r>
        <w:rPr>
          <w:sz w:val="18"/>
        </w:rPr>
        <w:t>C-reactive protein was omitted. Albumin was converted from g/dL to g/L, creatinine from mg/dL to µmol/L, and glucose was harmonized across survey cycles to mmol/L before applying the coefficients. Glucose entered the predictor linearly.</w:t>
      </w:r>
    </w:p>
    <w:p>
      <w:pPr/>
      <w:r>
        <w:rPr>
          <w:sz w:val="18"/>
        </w:rPr>
        <w:t>Glucose was harmonized to mmol/L before calculation of PhenoAge NCP. For 2001–2002 and 2003–2004, the NHANES SI variable LBDSGLSI was used directly in mmol/L. For 1999–2000 and 2005–2016, LBXGLU was supplied in mg/dL and converted to mmol/L by multiplication by 0.05551.</w:t>
      </w:r>
    </w:p>
    <w:p>
      <w:pPr>
        <w:spacing w:before="80" w:after="100" w:line="240" w:lineRule="auto"/>
        <w:keepNext/>
      </w:pPr>
      <w:r>
        <w:rPr>
          <w:rFonts w:ascii="Arial" w:hAnsi="Arial" w:cs="Arial"/>
          <w:b/>
          <w:sz w:val="20"/>
          <w:szCs w:val="20"/>
        </w:rPr>
        <w:t>Supplementary Table S1. Paired C-index contrasts in the temporal-validation cohort</w:t>
      </w:r>
    </w:p>
    <w:tbl>
      <w:tblPr>
        <w:tblStyle w:val="TableGrid"/>
        <w:tblW w:w="15120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3860"/>
        <w:gridCol w:w="1609"/>
        <w:gridCol w:w="1609"/>
        <w:gridCol w:w="1609"/>
        <w:gridCol w:w="1609"/>
        <w:gridCol w:w="1609"/>
        <w:gridCol w:w="1609"/>
        <w:gridCol w:w="1606"/>
      </w:tblGrid>
      <w:tr>
        <w:trPr>
          <w:tblHeader/>
          <w:cantSplit/>
        </w:trPr>
        <w:tc>
          <w:tcPr>
            <w:tcW w:w="386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Contrast</w:t>
            </w:r>
          </w:p>
        </w:tc>
        <w:tc>
          <w:tcPr>
            <w:tcW w:w="1609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Cohort</w:t>
            </w:r>
          </w:p>
        </w:tc>
        <w:tc>
          <w:tcPr>
            <w:tcW w:w="1609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ΔC (A − B)</w:t>
            </w:r>
          </w:p>
        </w:tc>
        <w:tc>
          <w:tcPr>
            <w:tcW w:w="1609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95% CI low</w:t>
            </w:r>
          </w:p>
        </w:tc>
        <w:tc>
          <w:tcPr>
            <w:tcW w:w="1609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95% CI high</w:t>
            </w:r>
          </w:p>
        </w:tc>
        <w:tc>
          <w:tcPr>
            <w:tcW w:w="1609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Bootstrap proportion ΔC &gt; 0</w:t>
            </w:r>
          </w:p>
        </w:tc>
        <w:tc>
          <w:tcPr>
            <w:tcW w:w="1609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Replicates</w:t>
            </w:r>
          </w:p>
        </w:tc>
        <w:tc>
          <w:tcPr>
            <w:tcW w:w="1606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Seed</w:t>
            </w:r>
          </w:p>
        </w:tc>
      </w:tr>
      <w:tr>
        <w:trPr>
          <w:cantSplit/>
        </w:trPr>
        <w:tc>
          <w:tcPr>
            <w:tcW w:w="386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CalibratedTotalRisk − DemoRisk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temporal_test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0.01762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0.01197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0.02366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1.0000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2000</w:t>
            </w:r>
          </w:p>
        </w:tc>
        <w:tc>
          <w:tcPr>
            <w:tcW w:w="160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20260821</w:t>
            </w:r>
          </w:p>
        </w:tc>
      </w:tr>
      <w:tr>
        <w:trPr>
          <w:cantSplit/>
        </w:trPr>
        <w:tc>
          <w:tcPr>
            <w:tcW w:w="386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CalibratedTotalRisk − PhenoAge NCP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temporal_test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−0.00026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−0.00729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0.00626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0.4775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2000</w:t>
            </w:r>
          </w:p>
        </w:tc>
        <w:tc>
          <w:tcPr>
            <w:tcW w:w="160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20260821</w:t>
            </w:r>
          </w:p>
        </w:tc>
      </w:tr>
      <w:tr>
        <w:trPr>
          <w:cantSplit/>
        </w:trPr>
        <w:tc>
          <w:tcPr>
            <w:tcW w:w="386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PhysioRisk − PhenoAge NCP acceleration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temporal_test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0.00884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−0.01160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0.02892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0.8205</w:t>
            </w:r>
          </w:p>
        </w:tc>
        <w:tc>
          <w:tcPr>
            <w:tcW w:w="1609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2000</w:t>
            </w:r>
          </w:p>
        </w:tc>
        <w:tc>
          <w:tcPr>
            <w:tcW w:w="160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20260821</w:t>
            </w:r>
          </w:p>
        </w:tc>
      </w:tr>
    </w:tbl>
    <w:p>
      <w:pPr>
        <w:spacing w:before="90" w:after="45" w:line="240" w:lineRule="auto"/>
      </w:pPr>
      <w:r>
        <w:rPr>
          <w:rFonts w:ascii="Arial" w:hAnsi="Arial" w:cs="Arial"/>
          <w:i/>
          <w:sz w:val="14"/>
          <w:szCs w:val="14"/>
        </w:rPr>
        <w:t>Note: Paired percentile intervals were obtained from 2,000 participant bootstrap replicates in the temporal-validation cohort. Contrast estimates and interval limits are shown to the manuscript’s five-decimal reporting precision; the canonical source artifact retains full precision.</w:t>
      </w:r>
    </w:p>
    <w:p>
      <w:pPr>
        <w:spacing w:before="0" w:after="40" w:line="240" w:lineRule="auto"/>
      </w:pPr>
      <w:r>
        <w:rPr>
          <w:rFonts w:ascii="Arial" w:hAnsi="Arial" w:cs="Arial"/>
          <w:sz w:val="13"/>
          <w:szCs w:val="13"/>
        </w:rPr>
        <w:t>Provenance: outputs/physiorisk_v2_validation/paired_cindex_bootstrap_v2.csv.</w:t>
      </w:r>
    </w:p>
    <w:p>
      <w:pPr>
        <w:spacing w:before="80" w:after="100" w:line="240" w:lineRule="auto"/>
        <w:keepNext/>
        <w:pageBreakBefore/>
      </w:pPr>
      <w:r>
        <w:rPr>
          <w:rFonts w:ascii="Arial" w:hAnsi="Arial" w:cs="Arial"/>
          <w:b/>
          <w:sz w:val="20"/>
          <w:szCs w:val="20"/>
        </w:rPr>
        <w:t>Supplementary Table S2. Proportional-hazards diagnostics</w:t>
      </w:r>
    </w:p>
    <w:tbl>
      <w:tblPr>
        <w:tblStyle w:val="TableGrid"/>
        <w:tblW w:w="15120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630"/>
        <w:gridCol w:w="1096"/>
        <w:gridCol w:w="1096"/>
        <w:gridCol w:w="1096"/>
        <w:gridCol w:w="1096"/>
        <w:gridCol w:w="1096"/>
        <w:gridCol w:w="1096"/>
        <w:gridCol w:w="1096"/>
        <w:gridCol w:w="1096"/>
        <w:gridCol w:w="1096"/>
        <w:gridCol w:w="2626"/>
      </w:tblGrid>
      <w:tr>
        <w:trPr>
          <w:tblHeader/>
          <w:cantSplit/>
        </w:trPr>
        <w:tc>
          <w:tcPr>
            <w:tcW w:w="263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2"/>
                <w:szCs w:val="12"/>
              </w:rPr>
              <w:t>Model</w:t>
            </w:r>
          </w:p>
        </w:tc>
        <w:tc>
          <w:tcPr>
            <w:tcW w:w="1096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2"/>
                <w:szCs w:val="12"/>
              </w:rPr>
              <w:t>Cohort</w:t>
            </w:r>
          </w:p>
        </w:tc>
        <w:tc>
          <w:tcPr>
            <w:tcW w:w="1096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2"/>
                <w:szCs w:val="12"/>
              </w:rPr>
              <w:t>N</w:t>
            </w:r>
          </w:p>
        </w:tc>
        <w:tc>
          <w:tcPr>
            <w:tcW w:w="1096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2"/>
                <w:szCs w:val="12"/>
              </w:rPr>
              <w:t>Deaths</w:t>
            </w:r>
          </w:p>
        </w:tc>
        <w:tc>
          <w:tcPr>
            <w:tcW w:w="1096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2"/>
                <w:szCs w:val="12"/>
              </w:rPr>
              <w:t>Time transform</w:t>
            </w:r>
          </w:p>
        </w:tc>
        <w:tc>
          <w:tcPr>
            <w:tcW w:w="1096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2"/>
                <w:szCs w:val="12"/>
              </w:rPr>
              <w:t>Test statistic</w:t>
            </w:r>
          </w:p>
        </w:tc>
        <w:tc>
          <w:tcPr>
            <w:tcW w:w="1096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2"/>
                <w:szCs w:val="12"/>
              </w:rPr>
              <w:t>P value</w:t>
            </w:r>
          </w:p>
        </w:tc>
        <w:tc>
          <w:tcPr>
            <w:tcW w:w="1096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2"/>
                <w:szCs w:val="12"/>
              </w:rPr>
              <w:t>Material violation</w:t>
            </w:r>
          </w:p>
        </w:tc>
        <w:tc>
          <w:tcPr>
            <w:tcW w:w="1096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2"/>
                <w:szCs w:val="12"/>
              </w:rPr>
              <w:t>Flag rule</w:t>
            </w:r>
          </w:p>
        </w:tc>
        <w:tc>
          <w:tcPr>
            <w:tcW w:w="1096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2"/>
                <w:szCs w:val="12"/>
              </w:rPr>
              <w:t>Cox warning</w:t>
            </w:r>
          </w:p>
        </w:tc>
        <w:tc>
          <w:tcPr>
            <w:tcW w:w="2626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2"/>
                <w:szCs w:val="12"/>
              </w:rPr>
              <w:t>Scaled-residual region summary</w:t>
            </w:r>
          </w:p>
        </w:tc>
      </w:tr>
      <w:tr>
        <w:trPr>
          <w:cantSplit/>
        </w:trPr>
        <w:tc>
          <w:tcPr>
            <w:tcW w:w="263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DemoRisk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temporal_test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6,739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416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rank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2.925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0.08720586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False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p&lt;0.01 (prespecified descriptive flag; no multiplicity adjustment)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none</w:t>
            </w:r>
          </w:p>
        </w:tc>
        <w:tc>
          <w:tcPr>
            <w:tcW w:w="262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early_0_36m: mean=-0.087; middle_37_72m: mean=0.044; late_73m_plus: mean=0.099</w:t>
            </w:r>
          </w:p>
        </w:tc>
      </w:tr>
      <w:tr>
        <w:trPr>
          <w:cantSplit/>
        </w:trPr>
        <w:tc>
          <w:tcPr>
            <w:tcW w:w="263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PhysioRisk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temporal_test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6,739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416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rank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0.024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0.87657403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False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p&lt;0.01 (prespecified descriptive flag; no multiplicity adjustment)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none</w:t>
            </w:r>
          </w:p>
        </w:tc>
        <w:tc>
          <w:tcPr>
            <w:tcW w:w="262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early_0_36m: mean=0.010; middle_37_72m: mean=-0.028; late_73m_plus: mean=0.042</w:t>
            </w:r>
          </w:p>
        </w:tc>
      </w:tr>
      <w:tr>
        <w:trPr>
          <w:cantSplit/>
        </w:trPr>
        <w:tc>
          <w:tcPr>
            <w:tcW w:w="263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CalibratedTotalRisk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temporal_test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6,739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416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rank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11.569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0.00067047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True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p&lt;0.01 (prespecified descriptive flag; no multiplicity adjustment)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none</w:t>
            </w:r>
          </w:p>
        </w:tc>
        <w:tc>
          <w:tcPr>
            <w:tcW w:w="262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early_0_36m: mean=-0.145; middle_37_72m: mean=0.079; late_73m_plus: mean=0.154</w:t>
            </w:r>
          </w:p>
        </w:tc>
      </w:tr>
      <w:tr>
        <w:trPr>
          <w:cantSplit/>
        </w:trPr>
        <w:tc>
          <w:tcPr>
            <w:tcW w:w="263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PhenoAge NCP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temporal_test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6,739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416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rank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0.078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0.77993945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False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p&lt;0.01 (prespecified descriptive flag; no multiplicity adjustment)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none</w:t>
            </w:r>
          </w:p>
        </w:tc>
        <w:tc>
          <w:tcPr>
            <w:tcW w:w="262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early_0_36m: mean=0.012; middle_37_72m: mean=-0.050; late_73m_plus: mean=0.086</w:t>
            </w:r>
          </w:p>
        </w:tc>
      </w:tr>
      <w:tr>
        <w:trPr>
          <w:cantSplit/>
        </w:trPr>
        <w:tc>
          <w:tcPr>
            <w:tcW w:w="263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PhenoAge NCP acceleration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temporal_test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6,739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416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rank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1.007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0.31566696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False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p&lt;0.01 (prespecified descriptive flag; no multiplicity adjustment)</w:t>
            </w:r>
          </w:p>
        </w:tc>
        <w:tc>
          <w:tcPr>
            <w:tcW w:w="109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none</w:t>
            </w:r>
          </w:p>
        </w:tc>
        <w:tc>
          <w:tcPr>
            <w:tcW w:w="2626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2"/>
                <w:szCs w:val="12"/>
              </w:rPr>
              <w:t>early_0_36m: mean=0.029; middle_37_72m: mean=-0.043; late_73m_plus: mean=0.031</w:t>
            </w:r>
          </w:p>
        </w:tc>
      </w:tr>
    </w:tbl>
    <w:p>
      <w:pPr>
        <w:spacing w:before="90" w:after="45" w:line="240" w:lineRule="auto"/>
      </w:pPr>
      <w:r>
        <w:rPr>
          <w:rFonts w:ascii="Arial" w:hAnsi="Arial" w:cs="Arial"/>
          <w:i/>
          <w:sz w:val="14"/>
          <w:szCs w:val="14"/>
        </w:rPr>
        <w:t>Note: The prespecified descriptive flag was p&lt;0.01 without multiplicity adjustment. The regional scaled-residual summaries are reported where present in the canonical artifact.</w:t>
      </w:r>
    </w:p>
    <w:p>
      <w:pPr>
        <w:spacing w:before="0" w:after="40" w:line="240" w:lineRule="auto"/>
      </w:pPr>
      <w:r>
        <w:rPr>
          <w:rFonts w:ascii="Arial" w:hAnsi="Arial" w:cs="Arial"/>
          <w:sz w:val="13"/>
          <w:szCs w:val="13"/>
        </w:rPr>
        <w:t>Provenance: outputs/physiorisk_v2_validation/ph_diagnostics_v2.csv.</w:t>
      </w:r>
    </w:p>
    <w:p>
      <w:pPr>
        <w:spacing w:before="80" w:after="100" w:line="240" w:lineRule="auto"/>
        <w:keepNext/>
        <w:pageBreakBefore/>
      </w:pPr>
      <w:r>
        <w:rPr>
          <w:rFonts w:ascii="Arial" w:hAnsi="Arial" w:cs="Arial"/>
          <w:b/>
          <w:sz w:val="20"/>
          <w:szCs w:val="20"/>
        </w:rPr>
        <w:t>Supplementary Table S3. Diagnostic log-time interaction analyses</w:t>
      </w:r>
    </w:p>
    <w:tbl>
      <w:tblPr>
        <w:tblStyle w:val="TableGrid"/>
        <w:tblW w:w="15120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680"/>
        <w:gridCol w:w="700"/>
        <w:gridCol w:w="700"/>
        <w:gridCol w:w="1680"/>
        <w:gridCol w:w="168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1680"/>
      </w:tblGrid>
      <w:tr>
        <w:trPr>
          <w:tblHeader/>
          <w:cantSplit/>
        </w:trPr>
        <w:tc>
          <w:tcPr>
            <w:tcW w:w="16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Model</w:t>
            </w:r>
          </w:p>
        </w:tc>
        <w:tc>
          <w:tcPr>
            <w:tcW w:w="70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N</w:t>
            </w:r>
          </w:p>
        </w:tc>
        <w:tc>
          <w:tcPr>
            <w:tcW w:w="70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Deaths</w:t>
            </w:r>
          </w:p>
        </w:tc>
        <w:tc>
          <w:tcPr>
            <w:tcW w:w="16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Score scale</w:t>
            </w:r>
          </w:p>
        </w:tc>
        <w:tc>
          <w:tcPr>
            <w:tcW w:w="16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Time interaction</w:t>
            </w:r>
          </w:p>
        </w:tc>
        <w:tc>
          <w:tcPr>
            <w:tcW w:w="70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Reference time (months)</w:t>
            </w:r>
          </w:p>
        </w:tc>
        <w:tc>
          <w:tcPr>
            <w:tcW w:w="70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Log HR/SD at 60m</w:t>
            </w:r>
          </w:p>
        </w:tc>
        <w:tc>
          <w:tcPr>
            <w:tcW w:w="70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HR/SD at 12m</w:t>
            </w:r>
          </w:p>
        </w:tc>
        <w:tc>
          <w:tcPr>
            <w:tcW w:w="70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HR/SD at 60m</w:t>
            </w:r>
          </w:p>
        </w:tc>
        <w:tc>
          <w:tcPr>
            <w:tcW w:w="70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HR/SD at 96m</w:t>
            </w:r>
          </w:p>
        </w:tc>
        <w:tc>
          <w:tcPr>
            <w:tcW w:w="70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Interaction coefficient</w:t>
            </w:r>
          </w:p>
        </w:tc>
        <w:tc>
          <w:tcPr>
            <w:tcW w:w="70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95% CI low</w:t>
            </w:r>
          </w:p>
        </w:tc>
        <w:tc>
          <w:tcPr>
            <w:tcW w:w="70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95% CI high</w:t>
            </w:r>
          </w:p>
        </w:tc>
        <w:tc>
          <w:tcPr>
            <w:tcW w:w="70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P value</w:t>
            </w:r>
          </w:p>
        </w:tc>
        <w:tc>
          <w:tcPr>
            <w:tcW w:w="16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Direction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CalibratedTotalRisk</w:t>
            </w:r>
          </w:p>
        </w:tc>
        <w:tc>
          <w:tcPr>
            <w:tcW w:w="70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6,739</w:t>
            </w:r>
          </w:p>
        </w:tc>
        <w:tc>
          <w:tcPr>
            <w:tcW w:w="70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416</w:t>
            </w:r>
          </w:p>
        </w:tc>
        <w:tc>
          <w:tcPr>
            <w:tcW w:w="16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actual temporal-cohort SD</w:t>
            </w:r>
          </w:p>
        </w:tc>
        <w:tc>
          <w:tcPr>
            <w:tcW w:w="16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score_z * log(time_months/60)</w:t>
            </w:r>
          </w:p>
        </w:tc>
        <w:tc>
          <w:tcPr>
            <w:tcW w:w="70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60</w:t>
            </w:r>
          </w:p>
        </w:tc>
        <w:tc>
          <w:tcPr>
            <w:tcW w:w="70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1.286</w:t>
            </w:r>
          </w:p>
        </w:tc>
        <w:tc>
          <w:tcPr>
            <w:tcW w:w="70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2.935</w:t>
            </w:r>
          </w:p>
        </w:tc>
        <w:tc>
          <w:tcPr>
            <w:tcW w:w="70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3.617</w:t>
            </w:r>
          </w:p>
        </w:tc>
        <w:tc>
          <w:tcPr>
            <w:tcW w:w="70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3.844</w:t>
            </w:r>
          </w:p>
        </w:tc>
        <w:tc>
          <w:tcPr>
            <w:tcW w:w="70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0.12970</w:t>
            </w:r>
          </w:p>
        </w:tc>
        <w:tc>
          <w:tcPr>
            <w:tcW w:w="70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0.02929</w:t>
            </w:r>
          </w:p>
        </w:tc>
        <w:tc>
          <w:tcPr>
            <w:tcW w:w="70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0.23011</w:t>
            </w:r>
          </w:p>
        </w:tc>
        <w:tc>
          <w:tcPr>
            <w:tcW w:w="70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0.01135</w:t>
            </w:r>
          </w:p>
        </w:tc>
        <w:tc>
          <w:tcPr>
            <w:tcW w:w="16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effect_strengthens_over_time</w:t>
            </w:r>
          </w:p>
        </w:tc>
      </w:tr>
    </w:tbl>
    <w:p>
      <w:pPr>
        <w:spacing w:before="90" w:after="45" w:line="240" w:lineRule="auto"/>
      </w:pPr>
      <w:r>
        <w:rPr>
          <w:rFonts w:ascii="Arial" w:hAnsi="Arial" w:cs="Arial"/>
          <w:i/>
          <w:sz w:val="14"/>
          <w:szCs w:val="14"/>
        </w:rPr>
        <w:t>Note: These analyses are diagnostic only and did not replace or refit the fixed predictors used in temporal validation. The interaction did not meet the prespecified p&lt;0.01 descriptive flag (No).</w:t>
      </w:r>
    </w:p>
    <w:p>
      <w:pPr>
        <w:spacing w:before="0" w:after="40" w:line="240" w:lineRule="auto"/>
      </w:pPr>
      <w:r>
        <w:rPr>
          <w:rFonts w:ascii="Arial" w:hAnsi="Arial" w:cs="Arial"/>
          <w:sz w:val="13"/>
          <w:szCs w:val="13"/>
        </w:rPr>
        <w:t>Provenance: outputs/physiorisk_v2_validation/time_interactions_v2.csv.</w:t>
      </w:r>
    </w:p>
    <w:p>
      <w:pPr>
        <w:spacing w:before="80" w:after="100" w:line="240" w:lineRule="auto"/>
        <w:keepNext/>
        <w:pageBreakBefore/>
      </w:pPr>
      <w:r>
        <w:rPr>
          <w:rFonts w:ascii="Arial" w:hAnsi="Arial" w:cs="Arial"/>
          <w:b/>
          <w:sz w:val="20"/>
          <w:szCs w:val="20"/>
        </w:rPr>
        <w:t>Supplementary Table S4. Fixed-horizon calibration of CalibratedTotalRisk</w:t>
      </w:r>
    </w:p>
    <w:tbl>
      <w:tblPr>
        <w:tblStyle w:val="TableGrid"/>
        <w:tblW w:w="15120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blHeader/>
          <w:cantSplit/>
        </w:trPr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Horizon (months)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Training baseline survival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Mean predicted mortality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KM observed mortality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Observed − predicted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O/E ratio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Global Cox slope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Global slope CI low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Global slope CI high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Horizon intercept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Horizon slope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IPCW Brier score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IPCW usable N</w:t>
            </w:r>
          </w:p>
        </w:tc>
        <w:tc>
          <w:tcPr>
            <w:tcW w:w="1080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1"/>
                <w:szCs w:val="11"/>
              </w:rPr>
              <w:t>No temporal recalibration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60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0.983996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0.04845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0.04653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−0.00192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0.960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0.804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0.755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0.852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−0.267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0.895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0.0377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4,709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True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96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0.967042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0.08934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0.08826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−0.00108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0.988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0.804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0.755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0.852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−0.060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0.963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0.0604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1,518</w:t>
            </w:r>
          </w:p>
        </w:tc>
        <w:tc>
          <w:tcPr>
            <w:tcW w:w="1080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1"/>
                <w:szCs w:val="11"/>
              </w:rPr>
              <w:t>True</w:t>
            </w:r>
          </w:p>
        </w:tc>
      </w:tr>
    </w:tbl>
    <w:p>
      <w:pPr>
        <w:spacing w:before="90" w:after="45" w:line="240" w:lineRule="auto"/>
      </w:pPr>
      <w:r>
        <w:rPr>
          <w:rFonts w:ascii="Arial" w:hAnsi="Arial" w:cs="Arial"/>
          <w:i/>
          <w:sz w:val="14"/>
          <w:szCs w:val="14"/>
        </w:rPr>
        <w:t>Note: Absolute risks used the development-derived coefficients and baseline survival. Horizon-specific logistic calibration and Brier scores used temporal-test censoring weights for evaluation only; no temporal recalibration occurred.</w:t>
      </w:r>
    </w:p>
    <w:p>
      <w:pPr>
        <w:spacing w:before="0" w:after="40" w:line="240" w:lineRule="auto"/>
      </w:pPr>
      <w:r>
        <w:rPr>
          <w:rFonts w:ascii="Arial" w:hAnsi="Arial" w:cs="Arial"/>
          <w:sz w:val="13"/>
          <w:szCs w:val="13"/>
        </w:rPr>
        <w:t>Provenance: outputs/physiorisk_v2_validation/fixed_horizon_calibration_v2.csv.</w:t>
      </w:r>
    </w:p>
    <w:p>
      <w:pPr>
        <w:spacing w:before="80" w:after="100" w:line="240" w:lineRule="auto"/>
        <w:keepNext/>
        <w:pageBreakBefore/>
      </w:pPr>
      <w:r>
        <w:rPr>
          <w:rFonts w:ascii="Arial" w:hAnsi="Arial" w:cs="Arial"/>
          <w:b/>
          <w:sz w:val="20"/>
          <w:szCs w:val="20"/>
        </w:rPr>
        <w:t>Supplementary Table S5. Censoring-robust discrimination diagnostics</w:t>
      </w:r>
    </w:p>
    <w:tbl>
      <w:tblPr>
        <w:tblW w:w="9000" w:type="dxa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000"/>
        <w:gridCol w:w="1500"/>
        <w:gridCol w:w="1500"/>
        <w:gridCol w:w="1500"/>
        <w:gridCol w:w="1500"/>
      </w:tblGrid>
      <w:tr>
        <w:trPr>
          <w:tblHeader w:val="true"/>
        </w:trPr>
        <w:tc>
          <w:tcPr>
            <w:tcW w:w="3000" w:type="dxa"/>
            <w:shd w:fill="E8ECEF"/>
          </w:tcPr>
          <w:p>
            <w:r>
              <w:rPr>
                <w:b/>
                <w:sz w:val="16"/>
              </w:rPr>
              <w:t>Score</w:t>
            </w:r>
          </w:p>
        </w:tc>
        <w:tc>
          <w:tcPr>
            <w:tcW w:w="1500" w:type="dxa"/>
            <w:shd w:fill="E8ECEF"/>
          </w:tcPr>
          <w:p>
            <w:r>
              <w:rPr>
                <w:b/>
                <w:sz w:val="16"/>
              </w:rPr>
              <w:t>Uno C, 5 years</w:t>
            </w:r>
          </w:p>
        </w:tc>
        <w:tc>
          <w:tcPr>
            <w:tcW w:w="1500" w:type="dxa"/>
            <w:shd w:fill="E8ECEF"/>
          </w:tcPr>
          <w:p>
            <w:r>
              <w:rPr>
                <w:b/>
                <w:sz w:val="16"/>
              </w:rPr>
              <w:t>Uno C, 8 years</w:t>
            </w:r>
          </w:p>
        </w:tc>
        <w:tc>
          <w:tcPr>
            <w:tcW w:w="1500" w:type="dxa"/>
            <w:shd w:fill="E8ECEF"/>
          </w:tcPr>
          <w:p>
            <w:r>
              <w:rPr>
                <w:b/>
                <w:sz w:val="16"/>
              </w:rPr>
              <w:t>AUC, 5 years</w:t>
            </w:r>
          </w:p>
        </w:tc>
        <w:tc>
          <w:tcPr>
            <w:tcW w:w="1500" w:type="dxa"/>
            <w:shd w:fill="E8ECEF"/>
          </w:tcPr>
          <w:p>
            <w:r>
              <w:rPr>
                <w:b/>
                <w:sz w:val="16"/>
              </w:rPr>
              <w:t>AUC, 8 years</w:t>
            </w:r>
          </w:p>
        </w:tc>
      </w:tr>
      <w:tr>
        <w:tc>
          <w:tcPr>
            <w:tcW w:w="3000" w:type="dxa"/>
          </w:tcPr>
          <w:p>
            <w:r>
              <w:rPr>
                <w:sz w:val="16"/>
              </w:rPr>
              <w:t>DemoRisk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0.823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0.827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0.834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0.853</w:t>
            </w:r>
          </w:p>
        </w:tc>
      </w:tr>
      <w:tr>
        <w:tc>
          <w:tcPr>
            <w:tcW w:w="3000" w:type="dxa"/>
          </w:tcPr>
          <w:p>
            <w:r>
              <w:rPr>
                <w:sz w:val="16"/>
              </w:rPr>
              <w:t>PhysioRisk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0.666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0.663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0.665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0.682</w:t>
            </w:r>
          </w:p>
        </w:tc>
      </w:tr>
      <w:tr>
        <w:tc>
          <w:tcPr>
            <w:tcW w:w="3000" w:type="dxa"/>
          </w:tcPr>
          <w:p>
            <w:r>
              <w:rPr>
                <w:sz w:val="16"/>
              </w:rPr>
              <w:t>CalibratedTotalRisk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0.841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0.844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0.851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0.870</w:t>
            </w:r>
          </w:p>
        </w:tc>
      </w:tr>
      <w:tr>
        <w:tc>
          <w:tcPr>
            <w:tcW w:w="3000" w:type="dxa"/>
          </w:tcPr>
          <w:p>
            <w:r>
              <w:rPr>
                <w:sz w:val="16"/>
              </w:rPr>
              <w:t>PhenoAge NCP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0.841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0.845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0.853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0.875</w:t>
            </w:r>
          </w:p>
        </w:tc>
      </w:tr>
      <w:tr>
        <w:tc>
          <w:tcPr>
            <w:tcW w:w="3000" w:type="dxa"/>
          </w:tcPr>
          <w:p>
            <w:r>
              <w:rPr>
                <w:sz w:val="16"/>
              </w:rPr>
              <w:t>PhenoAge NCP acceleration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0.663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0.654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0.671</w:t>
            </w:r>
          </w:p>
        </w:tc>
        <w:tc>
          <w:tcPr>
            <w:tcW w:w="1500" w:type="dxa"/>
          </w:tcPr>
          <w:p>
            <w:r>
              <w:rPr>
                <w:sz w:val="16"/>
              </w:rPr>
              <w:t>0.690</w:t>
            </w:r>
          </w:p>
        </w:tc>
      </w:tr>
    </w:tbl>
    <w:p>
      <w:pPr>
        <w:spacing w:before="90" w:after="45" w:line="240" w:lineRule="auto"/>
      </w:pPr>
      <w:r>
        <w:rPr>
          <w:rFonts w:ascii="Arial" w:hAnsi="Arial" w:cs="Arial"/>
          <w:i/>
          <w:sz w:val="14"/>
          <w:szCs w:val="14"/>
        </w:rPr>
        <w:t>Note: The development cohort estimated the censoring distribution. These were diagnostics of fixed temporal-test predictions, not model-training steps.</w:t>
      </w:r>
    </w:p>
    <w:p>
      <w:pPr>
        <w:spacing w:before="0" w:after="40" w:line="240" w:lineRule="auto"/>
      </w:pPr>
      <w:r>
        <w:rPr>
          <w:rFonts w:ascii="Arial" w:hAnsi="Arial" w:cs="Arial"/>
          <w:sz w:val="13"/>
          <w:szCs w:val="13"/>
        </w:rPr>
        <w:t>Provenance: outputs/physiorisk_v2_validation/censoring_robust_discrimination_v2.csv.</w:t>
      </w:r>
    </w:p>
    <w:p>
      <w:pPr>
        <w:spacing w:before="80" w:after="100" w:line="240" w:lineRule="auto"/>
        <w:keepNext/>
        <w:pageBreakBefore/>
      </w:pPr>
      <w:r>
        <w:rPr>
          <w:rFonts w:ascii="Arial" w:hAnsi="Arial" w:cs="Arial"/>
          <w:b/>
          <w:sz w:val="20"/>
          <w:szCs w:val="20"/>
        </w:rPr>
        <w:t>Supplementary Table S6. Cycle-specific preselection biomarker missingness and cohort provenance</w:t>
      </w:r>
    </w:p>
    <w:tbl>
      <w:tblPr>
        <w:tblStyle w:val="TableGrid"/>
        <w:tblW w:w="15120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043"/>
        <w:gridCol w:w="2043"/>
        <w:gridCol w:w="2043"/>
        <w:gridCol w:w="2043"/>
        <w:gridCol w:w="2043"/>
        <w:gridCol w:w="4905"/>
      </w:tblGrid>
      <w:tr>
        <w:trPr>
          <w:tblHeader/>
          <w:cantSplit/>
        </w:trPr>
        <w:tc>
          <w:tcPr>
            <w:tcW w:w="2043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4"/>
                <w:szCs w:val="14"/>
              </w:rPr>
              <w:t>Cycle start year</w:t>
            </w:r>
          </w:p>
        </w:tc>
        <w:tc>
          <w:tcPr>
            <w:tcW w:w="2043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4"/>
                <w:szCs w:val="14"/>
              </w:rPr>
              <w:t>Biomarker</w:t>
            </w:r>
          </w:p>
        </w:tc>
        <w:tc>
          <w:tcPr>
            <w:tcW w:w="2043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4"/>
                <w:szCs w:val="14"/>
              </w:rPr>
              <w:t>Mortality-eligible N</w:t>
            </w:r>
          </w:p>
        </w:tc>
        <w:tc>
          <w:tcPr>
            <w:tcW w:w="2043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4"/>
                <w:szCs w:val="14"/>
              </w:rPr>
              <w:t>Missing N</w:t>
            </w:r>
          </w:p>
        </w:tc>
        <w:tc>
          <w:tcPr>
            <w:tcW w:w="2043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4"/>
                <w:szCs w:val="14"/>
              </w:rPr>
              <w:t>Missing (%)</w:t>
            </w:r>
          </w:p>
        </w:tc>
        <w:tc>
          <w:tcPr>
            <w:tcW w:w="4905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4"/>
                <w:szCs w:val="14"/>
              </w:rPr>
              <w:t>Denominator population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1999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LBXSAL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5,445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826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15.170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1999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LBXSCR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5,445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826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15.170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1999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LBXGLU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5,445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3,168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58.182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1999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LBXLYPCT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5,445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762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13.994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1999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LBXMCV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5,445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732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13.444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1999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LBXRDW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5,445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732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13.444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1999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LBXSAPSI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5,445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826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15.170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1999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LBXWBCSI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5,445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732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13.444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LBXSAL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5,987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778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12.995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LBXSCR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5,987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778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12.995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LBXGLU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5,987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778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12.995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LBXLYPCT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5,987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717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11.976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LBXMCV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5,987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690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11.525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LBXRDW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5,987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690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11.525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LBXSAPSI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5,987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778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12.995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LBXWBCSI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5,987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690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11.525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LBXSAL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5,610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650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11.586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LBXSCR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5,610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650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11.586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LBXGLU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5,610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650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11.586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LBXLYPCT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5,610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591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10.535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LBXMCV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5,610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10.000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LBXRDW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5,610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10.000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LBXSAPSI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5,610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650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11.586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LBXWBCSI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5,610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10.000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LBXSAL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586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10.538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LBXSCR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586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10.538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LBXGLU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3,137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56.411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LBXLYPCT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557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10.016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LBXMCV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535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9.621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LBXRDW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535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9.621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LBXSAPSI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586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10.538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LBXWBCSI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535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9.621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LBXSAL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6,219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655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10.532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LBXSCR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6,219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656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10.548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LBXGLU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6,219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3,468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55.765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LBXLYPCT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6,219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626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10.066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LBXMCV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6,219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612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9.841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LBXRDW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6,219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612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9.841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LBXSAPSI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6,219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657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10.564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LBXWBCSI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6,219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613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9.857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LBXSAL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6,510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8.618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LBXSCR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6,510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8.618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LBXGLU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6,510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3,581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55.008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LBXLYPCT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6,510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500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7.680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LBXMCV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6,510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491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7.542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LBXRDW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6,510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491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7.542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LBXSAPSI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6,510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561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8.618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2009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LBXWBCSI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6,510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491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7.542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LBXSAL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5,849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700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11.968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LBXSCR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5,849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700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11.968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LBXGLU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5,849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3,254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55.633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LBXLYPCT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5,849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545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9.318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LBXMCV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5,849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540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9.232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LBXRDW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5,849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540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9.232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LBXSAPSI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5,849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702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12.002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LBXWBCSI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5,849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540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9.232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LBXSAL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6,100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482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7.902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LBXSCR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6,100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482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7.902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LBXGLU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6,100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3,377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55.361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LBXLYPCT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6,100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430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7.049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LBXMCV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6,100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414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6.787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LBXRDW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6,100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414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6.787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LBXSAPSI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6,100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483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7.918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LBXWBCSI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6,100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414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6.787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LBXSAL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5,974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600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10.044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LBXSCR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5,974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601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10.060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LBXGLU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5,974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3,406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57.014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LBXLYPCT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5,974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564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9.441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LBXMCV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5,974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563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9.424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LBXRDW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5,974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563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9.424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LBXSAPSI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5,974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601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10.060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  <w:tr>
        <w:trPr>
          <w:cantSplit/>
        </w:trPr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2015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LBXWBCSI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5,974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563</w:t>
            </w:r>
          </w:p>
        </w:tc>
        <w:tc>
          <w:tcPr>
            <w:tcW w:w="2043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9.424</w:t>
            </w:r>
          </w:p>
        </w:tc>
        <w:tc>
          <w:tcPr>
            <w:tcW w:w="490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4"/>
                <w:szCs w:val="14"/>
              </w:rPr>
              <w:t>mortality_eligible_before_complete_case_restriction</w:t>
            </w:r>
          </w:p>
        </w:tc>
      </w:tr>
    </w:tbl>
    <w:p>
      <w:pPr>
        <w:spacing w:before="90" w:after="45" w:line="240" w:lineRule="auto"/>
      </w:pPr>
      <w:r>
        <w:rPr>
          <w:rFonts w:ascii="Arial" w:hAnsi="Arial" w:cs="Arial"/>
          <w:i/>
          <w:sz w:val="14"/>
          <w:szCs w:val="14"/>
        </w:rPr>
        <w:t>Note: Missingness was quantified within each cycle among mortality-eligible participants before complete-case restriction. The denominator is repeated for each biomarker within a cycle; biomarker-specific missing counts are not joint complete-case exclusions.</w:t>
      </w:r>
    </w:p>
    <w:p>
      <w:pPr>
        <w:spacing w:before="0" w:after="40" w:line="240" w:lineRule="auto"/>
      </w:pPr>
      <w:r>
        <w:rPr>
          <w:rFonts w:ascii="Arial" w:hAnsi="Arial" w:cs="Arial"/>
          <w:sz w:val="13"/>
          <w:szCs w:val="13"/>
        </w:rPr>
        <w:t>Provenance: tables/missingness_by_cycle.csv.</w:t>
      </w:r>
    </w:p>
    <w:p>
      <w:pPr>
        <w:spacing w:before="80" w:after="100" w:line="240" w:lineRule="auto"/>
        <w:keepNext/>
        <w:pageBreakBefore/>
      </w:pPr>
      <w:r>
        <w:rPr>
          <w:rFonts w:ascii="Arial" w:hAnsi="Arial" w:cs="Arial"/>
          <w:b/>
          <w:sz w:val="20"/>
          <w:szCs w:val="20"/>
        </w:rPr>
        <w:t>Supplementary Table S7. Mortality-eligible participants included in versus excluded from the benchmark cohort</w:t>
      </w:r>
    </w:p>
    <w:tbl>
      <w:tblPr>
        <w:tblStyle w:val="TableGrid"/>
        <w:tblW w:w="15120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3075"/>
        <w:gridCol w:w="3075"/>
        <w:gridCol w:w="1281"/>
        <w:gridCol w:w="1281"/>
        <w:gridCol w:w="1281"/>
        <w:gridCol w:w="1281"/>
        <w:gridCol w:w="1281"/>
        <w:gridCol w:w="1281"/>
        <w:gridCol w:w="1284"/>
      </w:tblGrid>
      <w:tr>
        <w:trPr>
          <w:tblHeader/>
          <w:cantSplit/>
        </w:trPr>
        <w:tc>
          <w:tcPr>
            <w:tcW w:w="3075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Group</w:t>
            </w:r>
          </w:p>
        </w:tc>
        <w:tc>
          <w:tcPr>
            <w:tcW w:w="3075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Population definition</w:t>
            </w:r>
          </w:p>
        </w:tc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N</w:t>
            </w:r>
          </w:p>
        </w:tc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Age mean</w:t>
            </w:r>
          </w:p>
        </w:tc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Age SD</w:t>
            </w:r>
          </w:p>
        </w:tc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Female (%)</w:t>
            </w:r>
          </w:p>
        </w:tc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Deaths N</w:t>
            </w:r>
          </w:p>
        </w:tc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Deaths (%)</w:t>
            </w:r>
          </w:p>
        </w:tc>
        <w:tc>
          <w:tcPr>
            <w:tcW w:w="1284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Median follow-up (months)</w:t>
            </w:r>
          </w:p>
        </w:tc>
      </w:tr>
      <w:tr>
        <w:trPr>
          <w:cantSplit/>
        </w:trPr>
        <w:tc>
          <w:tcPr>
            <w:tcW w:w="307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benchmark_included</w:t>
            </w:r>
          </w:p>
        </w:tc>
        <w:tc>
          <w:tcPr>
            <w:tcW w:w="307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Complete for notebook 01 EXTENDED_16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19,829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47.009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19.050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50.643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2,936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14.807</w:t>
            </w:r>
          </w:p>
        </w:tc>
        <w:tc>
          <w:tcPr>
            <w:tcW w:w="1284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124</w:t>
            </w:r>
          </w:p>
        </w:tc>
      </w:tr>
      <w:tr>
        <w:trPr>
          <w:cantSplit/>
        </w:trPr>
        <w:tc>
          <w:tcPr>
            <w:tcW w:w="307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excluded_before_benchmark</w:t>
            </w:r>
          </w:p>
        </w:tc>
        <w:tc>
          <w:tcPr>
            <w:tcW w:w="307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Missing one or more notebook 01 EXTENDED_16 fields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33,426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47.784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19.862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52.486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6,168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18.453</w:t>
            </w:r>
          </w:p>
        </w:tc>
        <w:tc>
          <w:tcPr>
            <w:tcW w:w="1284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122</w:t>
            </w:r>
          </w:p>
        </w:tc>
      </w:tr>
    </w:tbl>
    <w:p>
      <w:pPr>
        <w:spacing w:before="90" w:after="45" w:line="240" w:lineRule="auto"/>
      </w:pPr>
      <w:r>
        <w:rPr>
          <w:rFonts w:ascii="Arial" w:hAnsi="Arial" w:cs="Arial"/>
          <w:i/>
          <w:sz w:val="14"/>
          <w:szCs w:val="14"/>
        </w:rPr>
        <w:t>Note: Inclusion was defined by completeness for notebook 01’s EXTENDED_16 fields. The two groups partition the 53,255 mortality-eligible participants: 19,829 included and 33,426 excluded.</w:t>
      </w:r>
    </w:p>
    <w:p>
      <w:pPr>
        <w:spacing w:before="0" w:after="40" w:line="240" w:lineRule="auto"/>
      </w:pPr>
      <w:r>
        <w:rPr>
          <w:rFonts w:ascii="Arial" w:hAnsi="Arial" w:cs="Arial"/>
          <w:sz w:val="13"/>
          <w:szCs w:val="13"/>
        </w:rPr>
        <w:t>Provenance: tables/cohort_included_excluded_characteristics.csv.</w:t>
      </w:r>
    </w:p>
    <w:p>
      <w:pPr>
        <w:spacing w:before="80" w:after="100" w:line="240" w:lineRule="auto"/>
        <w:keepNext/>
        <w:pageBreakBefore/>
      </w:pPr>
      <w:r>
        <w:rPr>
          <w:rFonts w:ascii="Arial" w:hAnsi="Arial" w:cs="Arial"/>
          <w:b/>
          <w:sz w:val="20"/>
          <w:szCs w:val="20"/>
        </w:rPr>
        <w:t>Supplementary Table S8. Common complete-case and training-derived-imputation sensitivity analyses</w:t>
      </w:r>
    </w:p>
    <w:tbl>
      <w:tblPr>
        <w:tblStyle w:val="TableGrid"/>
        <w:tblW w:w="15120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281"/>
        <w:gridCol w:w="1281"/>
        <w:gridCol w:w="1281"/>
        <w:gridCol w:w="1281"/>
        <w:gridCol w:w="1281"/>
        <w:gridCol w:w="1281"/>
        <w:gridCol w:w="1281"/>
        <w:gridCol w:w="3075"/>
        <w:gridCol w:w="3078"/>
      </w:tblGrid>
      <w:tr>
        <w:trPr>
          <w:tblHeader/>
          <w:cantSplit/>
        </w:trPr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Analysis</w:t>
            </w:r>
          </w:p>
        </w:tc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Score</w:t>
            </w:r>
          </w:p>
        </w:tc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Cohort</w:t>
            </w:r>
          </w:p>
        </w:tc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N</w:t>
            </w:r>
          </w:p>
        </w:tc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Deaths</w:t>
            </w:r>
          </w:p>
        </w:tc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C-index</w:t>
            </w:r>
          </w:p>
        </w:tc>
        <w:tc>
          <w:tcPr>
            <w:tcW w:w="1281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Age correlation</w:t>
            </w:r>
          </w:p>
        </w:tc>
        <w:tc>
          <w:tcPr>
            <w:tcW w:w="3075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Missing-data rule</w:t>
            </w:r>
          </w:p>
        </w:tc>
        <w:tc>
          <w:tcPr>
            <w:tcW w:w="3078" w:type="dxa"/>
            <w:shd w:fill="D9EAF7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b/>
                <w:sz w:val="13"/>
                <w:szCs w:val="13"/>
              </w:rPr>
              <w:t>Status</w:t>
            </w:r>
          </w:p>
        </w:tc>
      </w:tr>
      <w:tr>
        <w:trPr>
          <w:cantSplit/>
        </w:trPr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common_complete_case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PhysioRisk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temporal_test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6,739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416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0.663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0.102</w:t>
            </w:r>
          </w:p>
        </w:tc>
        <w:tc>
          <w:tcPr>
            <w:tcW w:w="307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identical participants; all no-CRP comparator and PhysioRisk biomarkers observed</w:t>
            </w:r>
          </w:p>
        </w:tc>
        <w:tc>
          <w:tcPr>
            <w:tcW w:w="3078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performed</w:t>
            </w:r>
          </w:p>
        </w:tc>
      </w:tr>
      <w:tr>
        <w:trPr>
          <w:cantSplit/>
        </w:trPr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common_complete_case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PhenoAge NCP (no-CRP proxy)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temporal_test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6,739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416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0.845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0.923</w:t>
            </w:r>
          </w:p>
        </w:tc>
        <w:tc>
          <w:tcPr>
            <w:tcW w:w="307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identical participants; all no-CRP comparator and PhysioRisk biomarkers observed</w:t>
            </w:r>
          </w:p>
        </w:tc>
        <w:tc>
          <w:tcPr>
            <w:tcW w:w="3078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performed</w:t>
            </w:r>
          </w:p>
        </w:tc>
      </w:tr>
      <w:tr>
        <w:trPr>
          <w:cantSplit/>
        </w:trPr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common_training_derived_imputation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PhysioRisk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temporal_test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6,739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416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0.663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0.102</w:t>
            </w:r>
          </w:p>
        </w:tc>
        <w:tc>
          <w:tcPr>
            <w:tcW w:w="307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no-op in retained benchmark because all required biomarkers are observed</w:t>
            </w:r>
          </w:p>
        </w:tc>
        <w:tc>
          <w:tcPr>
            <w:tcW w:w="3078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performed as degenerate no-missing sensitivity; extension to excluded participants not attempted</w:t>
            </w:r>
          </w:p>
        </w:tc>
      </w:tr>
      <w:tr>
        <w:trPr>
          <w:cantSplit/>
        </w:trPr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common_training_derived_imputation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PhenoAge NCP (no-CRP proxy)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temporal_test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6,739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416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0.845</w:t>
            </w:r>
          </w:p>
        </w:tc>
        <w:tc>
          <w:tcPr>
            <w:tcW w:w="1281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0.923</w:t>
            </w:r>
          </w:p>
        </w:tc>
        <w:tc>
          <w:tcPr>
            <w:tcW w:w="3075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no-op in retained benchmark because all required biomarkers are observed</w:t>
            </w:r>
          </w:p>
        </w:tc>
        <w:tc>
          <w:tcPr>
            <w:tcW w:w="3078" w:type="dxa"/>
          </w:tcPr>
          <w:p>
            <w:pPr>
              <w:spacing w:before="0" w:after="0" w:line="180" w:lineRule="auto"/>
            </w:pPr>
            <w:r>
              <w:rPr>
                <w:rFonts w:ascii="Arial" w:hAnsi="Arial" w:cs="Arial"/>
                <w:sz w:val="13"/>
                <w:szCs w:val="13"/>
              </w:rPr>
              <w:t>performed as degenerate no-missing sensitivity; extension to excluded participants not attempted</w:t>
            </w:r>
          </w:p>
        </w:tc>
      </w:tr>
    </w:tbl>
    <w:p>
      <w:pPr>
        <w:spacing w:before="90" w:after="45" w:line="240" w:lineRule="auto"/>
      </w:pPr>
      <w:r>
        <w:rPr>
          <w:rFonts w:ascii="Arial" w:hAnsi="Arial" w:cs="Arial"/>
          <w:i/>
          <w:sz w:val="14"/>
          <w:szCs w:val="14"/>
        </w:rPr>
        <w:t>Note: All 6,739 temporal-validation participants in the retained benchmark already had the biomarkers required for both scores. Common training-derived imputation was therefore a no-op and changed no observations. Extension to excluded participants was not attempted because doing so would require a separately specified missing-data strategy and would change the retained complete-case validation design.</w:t>
      </w:r>
    </w:p>
    <w:p>
      <w:pPr>
        <w:spacing w:before="0" w:after="40" w:line="240" w:lineRule="auto"/>
      </w:pPr>
      <w:r>
        <w:rPr>
          <w:rFonts w:ascii="Arial" w:hAnsi="Arial" w:cs="Arial"/>
          <w:sz w:val="13"/>
          <w:szCs w:val="13"/>
        </w:rPr>
        <w:t>Provenance: outputs/physiorisk_v2_validation/primary_validation_metrics_v2.csv.</w:t>
      </w:r>
    </w:p>
    <w:sectPr>
      <w:pgSz w:w="15840" w:h="12240" w:orient="landscape"/>
      <w:pgMar w:top="504" w:right="360" w:bottom="504" w:left="360" w:header="240" w:footer="24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mbria Math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52" w:before="0" w:after="100"/>
      <w:jc w:val="start"/>
    </w:pPr>
    <w:rPr>
      <w:rFonts w:ascii="Times New Roman" w:hAnsi="Times New Roman" w:eastAsia="" w:cs="" w:cstheme="minorBidi" w:eastAsiaTheme="minorEastAsia"/>
      <w:color w:val="auto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60" w:after="8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60" w:after="8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160" w:after="80"/>
      <w:contextualSpacing/>
    </w:pPr>
    <w:rPr>
      <w:rFonts w:ascii="Calibri" w:hAnsi="Calibri" w:eastAsia="" w:cs="" w:asciiTheme="majorHAnsi" w:cstheme="majorBidi" w:eastAsiaTheme="majorEastAsia" w:hAnsiTheme="majorHAnsi"/>
      <w:b/>
      <w:color w:val="000000"/>
      <w:spacing w:val="5"/>
      <w:kern w:val="2"/>
      <w:sz w:val="3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LibreOffice/26.2.5.2$Windows_X86_64 LibreOffice_project/cd7284b4cbbfeb507e630c1aac019f4157393acb</Application>
  <AppVersion>15.0000</AppVersion>
  <Pages>13</Pages>
  <Words>6358</Words>
  <Characters>42752</Characters>
  <CharactersWithSpaces>48813</CharactersWithSpaces>
  <Paragraphs>210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2013-12-23T23:15:00Z</dcterms:modified>
  <cp:revision>1</cp:revision>
  <dc:subject>Allen-style audited manuscript candidate</dc:subject>
  <dc:title>PhysioRisk: an interpretable survival-modeling framework for separating demographic and physiological mortality risk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