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26B8A" w14:textId="77777777" w:rsidR="006143D5" w:rsidRPr="00B267D9" w:rsidRDefault="006143D5" w:rsidP="006143D5">
      <w:pPr>
        <w:pStyle w:val="Title"/>
        <w:jc w:val="both"/>
      </w:pPr>
      <w:bookmarkStart w:id="0" w:name="OLE_LINK3"/>
      <w:r>
        <w:t xml:space="preserve">Enhancing plant establishment via rhizosphere signaling and hormonal regulation through biopolymer-mediated soil pore restructuring </w:t>
      </w:r>
    </w:p>
    <w:p w14:paraId="2D623545" w14:textId="77777777" w:rsidR="006143D5" w:rsidRDefault="006143D5" w:rsidP="00265F14">
      <w:pPr>
        <w:pStyle w:val="Title"/>
        <w:rPr>
          <w:lang w:bidi="bn-IN"/>
        </w:rPr>
      </w:pPr>
    </w:p>
    <w:p w14:paraId="38C43434" w14:textId="77777777" w:rsidR="009C1018" w:rsidRPr="00F7599F" w:rsidRDefault="009C1018" w:rsidP="009C1018">
      <w:pPr>
        <w:rPr>
          <w:b/>
          <w:bCs/>
          <w:lang w:bidi="bn-IN"/>
        </w:rPr>
      </w:pPr>
      <w:r w:rsidRPr="00F7599F">
        <w:rPr>
          <w:b/>
          <w:bCs/>
        </w:rPr>
        <w:t>Kaniz Fatema</w:t>
      </w:r>
      <w:r w:rsidRPr="00F7599F">
        <w:rPr>
          <w:b/>
          <w:bCs/>
          <w:vertAlign w:val="superscript"/>
        </w:rPr>
        <w:t>1</w:t>
      </w:r>
      <w:r w:rsidRPr="00F7599F">
        <w:rPr>
          <w:b/>
          <w:bCs/>
        </w:rPr>
        <w:t>, Aaron Sloutski</w:t>
      </w:r>
      <w:r w:rsidRPr="00F7599F">
        <w:rPr>
          <w:b/>
          <w:bCs/>
          <w:vertAlign w:val="superscript"/>
        </w:rPr>
        <w:t>1,</w:t>
      </w:r>
      <w:r w:rsidRPr="00F7599F">
        <w:rPr>
          <w:b/>
          <w:bCs/>
          <w:vertAlign w:val="superscript"/>
          <w:lang w:bidi="bn-IN"/>
        </w:rPr>
        <w:t xml:space="preserve"> *</w:t>
      </w:r>
      <w:r w:rsidRPr="00F7599F">
        <w:rPr>
          <w:b/>
          <w:bCs/>
        </w:rPr>
        <w:t>, Yiwei Fang</w:t>
      </w:r>
      <w:r w:rsidRPr="00F7599F">
        <w:rPr>
          <w:b/>
          <w:bCs/>
          <w:vertAlign w:val="superscript"/>
        </w:rPr>
        <w:t>1</w:t>
      </w:r>
      <w:r w:rsidRPr="00F7599F">
        <w:rPr>
          <w:b/>
          <w:bCs/>
        </w:rPr>
        <w:t xml:space="preserve">, </w:t>
      </w:r>
      <w:r w:rsidRPr="00F7599F">
        <w:rPr>
          <w:b/>
          <w:bCs/>
          <w:lang w:bidi="bn-IN"/>
        </w:rPr>
        <w:t>Xiaoyang Liu</w:t>
      </w:r>
      <w:r w:rsidRPr="00F7599F">
        <w:rPr>
          <w:b/>
          <w:bCs/>
          <w:vertAlign w:val="superscript"/>
          <w:lang w:bidi="bn-IN"/>
        </w:rPr>
        <w:t>2</w:t>
      </w:r>
      <w:r w:rsidRPr="00F7599F">
        <w:rPr>
          <w:b/>
          <w:bCs/>
          <w:lang w:bidi="bn-IN"/>
        </w:rPr>
        <w:t xml:space="preserve">, </w:t>
      </w:r>
      <w:r w:rsidRPr="00F7599F">
        <w:rPr>
          <w:b/>
          <w:bCs/>
        </w:rPr>
        <w:t>Jay G. Gao</w:t>
      </w:r>
      <w:r w:rsidRPr="00F7599F">
        <w:rPr>
          <w:b/>
          <w:bCs/>
          <w:vertAlign w:val="superscript"/>
        </w:rPr>
        <w:t>3</w:t>
      </w:r>
      <w:r w:rsidRPr="00F7599F">
        <w:rPr>
          <w:b/>
          <w:bCs/>
        </w:rPr>
        <w:t>, Marcia Simon</w:t>
      </w:r>
      <w:r w:rsidRPr="00F7599F">
        <w:rPr>
          <w:b/>
          <w:bCs/>
          <w:vertAlign w:val="superscript"/>
        </w:rPr>
        <w:t>3</w:t>
      </w:r>
      <w:r w:rsidRPr="00F7599F">
        <w:rPr>
          <w:b/>
          <w:bCs/>
          <w:lang w:bidi="bn-IN"/>
        </w:rPr>
        <w:t xml:space="preserve">, </w:t>
      </w:r>
      <w:r>
        <w:rPr>
          <w:b/>
          <w:bCs/>
          <w:lang w:bidi="bn-IN"/>
        </w:rPr>
        <w:t>Eyal Zussman</w:t>
      </w:r>
      <w:r w:rsidRPr="00EB0165">
        <w:rPr>
          <w:b/>
          <w:bCs/>
          <w:vertAlign w:val="superscript"/>
          <w:lang w:bidi="bn-IN"/>
        </w:rPr>
        <w:t>4</w:t>
      </w:r>
      <w:r>
        <w:rPr>
          <w:b/>
          <w:bCs/>
          <w:lang w:bidi="bn-IN"/>
        </w:rPr>
        <w:t xml:space="preserve">, </w:t>
      </w:r>
      <w:r w:rsidRPr="00F7599F">
        <w:rPr>
          <w:b/>
          <w:bCs/>
        </w:rPr>
        <w:t>Vitaly Citovsky</w:t>
      </w:r>
      <w:r>
        <w:rPr>
          <w:b/>
          <w:bCs/>
          <w:vertAlign w:val="superscript"/>
        </w:rPr>
        <w:t>5</w:t>
      </w:r>
      <w:r w:rsidRPr="00F7599F">
        <w:rPr>
          <w:b/>
          <w:bCs/>
        </w:rPr>
        <w:t>,</w:t>
      </w:r>
      <w:r w:rsidRPr="00F7599F">
        <w:rPr>
          <w:rFonts w:ascii="Arial" w:hAnsi="Arial" w:cs="Arial"/>
          <w:b/>
          <w:bCs/>
          <w:color w:val="222222"/>
          <w:sz w:val="36"/>
          <w:szCs w:val="36"/>
          <w:shd w:val="clear" w:color="auto" w:fill="FFFFFF"/>
        </w:rPr>
        <w:t xml:space="preserve"> </w:t>
      </w:r>
      <w:r w:rsidRPr="00F7599F">
        <w:rPr>
          <w:b/>
          <w:bCs/>
          <w:lang w:bidi="bn-IN"/>
        </w:rPr>
        <w:t>Miriam Rafailovich</w:t>
      </w:r>
      <w:r w:rsidRPr="00F7599F">
        <w:rPr>
          <w:b/>
          <w:bCs/>
          <w:vertAlign w:val="superscript"/>
          <w:lang w:bidi="bn-IN"/>
        </w:rPr>
        <w:t>1, *</w:t>
      </w:r>
      <w:r w:rsidRPr="00F7599F">
        <w:rPr>
          <w:b/>
          <w:bCs/>
          <w:lang w:bidi="bn-IN"/>
        </w:rPr>
        <w:t xml:space="preserve"> </w:t>
      </w:r>
    </w:p>
    <w:p w14:paraId="5A1377F2" w14:textId="77777777" w:rsidR="009C1018" w:rsidRDefault="009C1018" w:rsidP="009C1018">
      <w:pPr>
        <w:rPr>
          <w:lang w:bidi="bn-IN"/>
        </w:rPr>
      </w:pPr>
      <w:r w:rsidRPr="004C048E">
        <w:rPr>
          <w:vertAlign w:val="superscript"/>
          <w:lang w:bidi="bn-IN"/>
        </w:rPr>
        <w:t>1</w:t>
      </w:r>
      <w:r w:rsidRPr="00DF1549">
        <w:rPr>
          <w:lang w:bidi="bn-IN"/>
        </w:rPr>
        <w:t>Department of Materials Science and Chemical Engineering, State University of New York at Stony Brook, Stony Brook, New York 11794, USA</w:t>
      </w:r>
      <w:r>
        <w:rPr>
          <w:lang w:bidi="bn-IN"/>
        </w:rPr>
        <w:t>.</w:t>
      </w:r>
    </w:p>
    <w:p w14:paraId="37ED6AF6" w14:textId="77777777" w:rsidR="009C1018" w:rsidRPr="00DF1549" w:rsidRDefault="009C1018" w:rsidP="009C1018">
      <w:pPr>
        <w:rPr>
          <w:lang w:bidi="bn-IN"/>
        </w:rPr>
      </w:pPr>
      <w:r>
        <w:rPr>
          <w:vertAlign w:val="superscript"/>
          <w:lang w:bidi="bn-IN"/>
        </w:rPr>
        <w:t>2</w:t>
      </w:r>
      <w:r w:rsidRPr="00DF1549">
        <w:rPr>
          <w:lang w:bidi="bn-IN"/>
        </w:rPr>
        <w:t>Advanced Photon</w:t>
      </w:r>
      <w:r w:rsidRPr="00853F62">
        <w:rPr>
          <w:lang w:bidi="bn-IN"/>
        </w:rPr>
        <w:t xml:space="preserve"> Source, Argonne National Laboratory, Lemont, Illinois 60439, USA</w:t>
      </w:r>
      <w:r>
        <w:rPr>
          <w:lang w:bidi="bn-IN"/>
        </w:rPr>
        <w:t>.</w:t>
      </w:r>
    </w:p>
    <w:p w14:paraId="2A2D365C" w14:textId="77777777" w:rsidR="009C1018" w:rsidRDefault="009C1018" w:rsidP="009C1018">
      <w:r>
        <w:rPr>
          <w:vertAlign w:val="superscript"/>
        </w:rPr>
        <w:t>3</w:t>
      </w:r>
      <w:r w:rsidRPr="00DF1549">
        <w:t>Department of Oral Biology and Pathology, School of Dental Medicine, Stony Brook University, Stony Brook, NY, 11794, USA</w:t>
      </w:r>
      <w:r>
        <w:t>.</w:t>
      </w:r>
    </w:p>
    <w:p w14:paraId="238B3CD8" w14:textId="77777777" w:rsidR="009C1018" w:rsidRPr="00EB0165" w:rsidRDefault="009C1018" w:rsidP="009C1018">
      <w:r w:rsidRPr="00EB0165">
        <w:rPr>
          <w:vertAlign w:val="superscript"/>
        </w:rPr>
        <w:t>4</w:t>
      </w:r>
      <w:r>
        <w:t xml:space="preserve">Faculty of Mechanical Engineering, Technion-Israel Institute of Technology, Haifa. </w:t>
      </w:r>
    </w:p>
    <w:p w14:paraId="2FA9E0A5" w14:textId="77777777" w:rsidR="009C1018" w:rsidRPr="00DF1549" w:rsidRDefault="009C1018" w:rsidP="009C1018">
      <w:pPr>
        <w:rPr>
          <w:lang w:bidi="bn-IN"/>
        </w:rPr>
      </w:pPr>
      <w:r>
        <w:rPr>
          <w:vertAlign w:val="superscript"/>
          <w:lang w:bidi="bn-IN"/>
        </w:rPr>
        <w:t>5</w:t>
      </w:r>
      <w:r w:rsidRPr="00DF1549">
        <w:rPr>
          <w:lang w:bidi="bn-IN"/>
        </w:rPr>
        <w:t xml:space="preserve">Department of </w:t>
      </w:r>
      <w:r w:rsidRPr="00DF1549">
        <w:t xml:space="preserve">Biochemistry and Cell Biology, </w:t>
      </w:r>
      <w:r w:rsidRPr="00DF1549">
        <w:rPr>
          <w:lang w:bidi="bn-IN"/>
        </w:rPr>
        <w:t>State University of New York at Stony Brook, Stony Brook, New York 11794, USA</w:t>
      </w:r>
      <w:r>
        <w:rPr>
          <w:lang w:bidi="bn-IN"/>
        </w:rPr>
        <w:t>.</w:t>
      </w:r>
    </w:p>
    <w:p w14:paraId="6CA87000" w14:textId="231BD9EF" w:rsidR="00F92A30" w:rsidRPr="009C1018" w:rsidRDefault="009C1018" w:rsidP="009C1018">
      <w:pPr>
        <w:rPr>
          <w:lang w:bidi="bn-IN"/>
        </w:rPr>
      </w:pPr>
      <w:r w:rsidRPr="009C1018">
        <w:rPr>
          <w:vertAlign w:val="superscript"/>
          <w:lang w:bidi="bn-IN"/>
        </w:rPr>
        <w:t>*</w:t>
      </w:r>
      <w:r w:rsidRPr="009C1018">
        <w:rPr>
          <w:lang w:bidi="bn-IN"/>
        </w:rPr>
        <w:t xml:space="preserve">Corresponding author.  </w:t>
      </w:r>
    </w:p>
    <w:p w14:paraId="3579FA11" w14:textId="77777777" w:rsidR="009C1018" w:rsidRPr="009C1018" w:rsidRDefault="009C1018" w:rsidP="009C1018">
      <w:pPr>
        <w:rPr>
          <w:lang w:bidi="bn-IN"/>
        </w:rPr>
      </w:pPr>
    </w:p>
    <w:p w14:paraId="4110BA4F" w14:textId="489A908E" w:rsidR="00260B8E" w:rsidRDefault="00260B8E" w:rsidP="00453344">
      <w:pPr>
        <w:pStyle w:val="Heading2"/>
      </w:pPr>
      <w:r>
        <w:t>S1. Methodology</w:t>
      </w:r>
    </w:p>
    <w:p w14:paraId="7226B2D2" w14:textId="361D2878" w:rsidR="00F223F7" w:rsidRDefault="00F223F7" w:rsidP="00F223F7">
      <w:pPr>
        <w:pStyle w:val="Heading3"/>
        <w:rPr>
          <w:color w:val="000000"/>
        </w:rPr>
      </w:pPr>
      <w:r>
        <w:rPr>
          <w:color w:val="000000"/>
        </w:rPr>
        <w:t>Preparation of ethanol-precipitable material (EPM)</w:t>
      </w:r>
    </w:p>
    <w:p w14:paraId="51A716CD" w14:textId="647A0ECA" w:rsidR="00F223F7" w:rsidRDefault="00D92438" w:rsidP="00F223F7">
      <w:r>
        <w:t>For the preparation of e</w:t>
      </w:r>
      <w:r w:rsidR="00F223F7">
        <w:t>thanol-precipitable material (EPM) from</w:t>
      </w:r>
      <w:r w:rsidR="00F223F7">
        <w:rPr>
          <w:rStyle w:val="apple-converted-space"/>
          <w:rFonts w:eastAsiaTheme="majorEastAsia"/>
          <w:color w:val="000000"/>
        </w:rPr>
        <w:t> </w:t>
      </w:r>
      <w:r w:rsidR="00F223F7">
        <w:rPr>
          <w:rStyle w:val="Emphasis"/>
          <w:rFonts w:eastAsiaTheme="majorEastAsia"/>
          <w:color w:val="000000"/>
        </w:rPr>
        <w:t>Rhizobium tropici</w:t>
      </w:r>
      <w:r w:rsidR="00F223F7">
        <w:rPr>
          <w:rStyle w:val="apple-converted-space"/>
          <w:rFonts w:eastAsiaTheme="majorEastAsia"/>
          <w:color w:val="000000"/>
        </w:rPr>
        <w:t> </w:t>
      </w:r>
      <w:r w:rsidR="00F223F7">
        <w:t>(RT)</w:t>
      </w:r>
      <w:r>
        <w:t>,</w:t>
      </w:r>
      <w:r w:rsidR="00F223F7">
        <w:t xml:space="preserve"> a single RT colony from peptone-yeast extract (PYE) agar was inoculated into 10 mL PYE broth (0.3% yeast extract, 0.5% casein peptone, </w:t>
      </w:r>
      <w:r>
        <w:t xml:space="preserve">and </w:t>
      </w:r>
      <w:r w:rsidR="00F223F7">
        <w:t xml:space="preserve">10 mM </w:t>
      </w:r>
      <w:proofErr w:type="spellStart"/>
      <w:r w:rsidR="00F223F7">
        <w:t>CaCl</w:t>
      </w:r>
      <w:proofErr w:type="spellEnd"/>
      <w:r w:rsidR="00F223F7">
        <w:t>₂</w:t>
      </w:r>
      <w:proofErr w:type="gramStart"/>
      <w:r w:rsidR="00F223F7">
        <w:t>)</w:t>
      </w:r>
      <w:r>
        <w:t>,</w:t>
      </w:r>
      <w:r w:rsidR="00F223F7">
        <w:t xml:space="preserve"> and</w:t>
      </w:r>
      <w:proofErr w:type="gramEnd"/>
      <w:r w:rsidR="00F223F7">
        <w:t xml:space="preserve"> grown for 24 h at 30 °C with shaking (300 rpm). The culture was then transferred into 250 mL liquid minimal medium (LMM; 2 g L⁻¹ </w:t>
      </w:r>
      <w:proofErr w:type="spellStart"/>
      <w:r w:rsidR="00F223F7">
        <w:t>NH₄Cl</w:t>
      </w:r>
      <w:proofErr w:type="spellEnd"/>
      <w:r w:rsidR="00F223F7">
        <w:t xml:space="preserve">, </w:t>
      </w:r>
      <w:proofErr w:type="spellStart"/>
      <w:r w:rsidR="00F223F7">
        <w:t>MgSO</w:t>
      </w:r>
      <w:proofErr w:type="spellEnd"/>
      <w:r w:rsidR="00F223F7">
        <w:t xml:space="preserve">₄·7H₂O, 0.15 g L⁻¹ </w:t>
      </w:r>
      <w:proofErr w:type="spellStart"/>
      <w:r w:rsidR="00F223F7">
        <w:t>CaCl</w:t>
      </w:r>
      <w:proofErr w:type="spellEnd"/>
      <w:r w:rsidR="00F223F7">
        <w:t xml:space="preserve">₂·2H₂O, 10 mg L⁻¹ </w:t>
      </w:r>
      <w:proofErr w:type="spellStart"/>
      <w:r w:rsidR="00F223F7">
        <w:t>FeCl</w:t>
      </w:r>
      <w:proofErr w:type="spellEnd"/>
      <w:r w:rsidR="00F223F7">
        <w:t xml:space="preserve">₃, 50 mM potassium phosphate buffer, pH 6.9) supplemented with 55 mM glucose, and incubated for an additional 48 h at 30 °C (300 rpm). Cells were removed by centrifugation, and the clarified supernatant was mixed with three volumes of ethanol and incubated overnight at 4 °C to precipitate extracellular material. The precipitate was collected by centrifugation, washed with ethanol, and dried rapidly in a </w:t>
      </w:r>
      <w:proofErr w:type="spellStart"/>
      <w:r w:rsidR="00F223F7">
        <w:t>SpeedVac</w:t>
      </w:r>
      <w:proofErr w:type="spellEnd"/>
      <w:r w:rsidR="00F223F7">
        <w:t xml:space="preserve"> </w:t>
      </w:r>
      <w:r w:rsidR="00F223F7">
        <w:lastRenderedPageBreak/>
        <w:t>concentrator to minimize caramelization. Dried EPM was dissolved in tap water overnight at room temperature with gentle stirring to obtain a 1 mg mL⁻¹ stock solution for subsequent experiments.</w:t>
      </w:r>
    </w:p>
    <w:p w14:paraId="55A200BB" w14:textId="41ECD465" w:rsidR="00F223F7" w:rsidRDefault="00F223F7" w:rsidP="00F223F7">
      <w:pPr>
        <w:pStyle w:val="Heading3"/>
        <w:rPr>
          <w:color w:val="000000"/>
        </w:rPr>
      </w:pPr>
      <w:r>
        <w:rPr>
          <w:color w:val="000000"/>
        </w:rPr>
        <w:t>Soil compaction and unconfined compression testing</w:t>
      </w:r>
    </w:p>
    <w:p w14:paraId="4302E252" w14:textId="77777777" w:rsidR="00F223F7" w:rsidRDefault="00F223F7" w:rsidP="00F223F7">
      <w:r>
        <w:t>Cylindrical sand specimens were prepared to quantify the mechanical effects of biopolymer amendments. We compared xanthan gum (XG), a microbial polysaccharide commonly used for soil stabilization, with ethanol-precipitable material (EPM), an extracellular polymeric fraction derived from</w:t>
      </w:r>
      <w:r>
        <w:rPr>
          <w:rStyle w:val="apple-converted-space"/>
          <w:rFonts w:eastAsiaTheme="majorEastAsia"/>
          <w:color w:val="000000"/>
        </w:rPr>
        <w:t> </w:t>
      </w:r>
      <w:r>
        <w:rPr>
          <w:rStyle w:val="Emphasis"/>
          <w:rFonts w:eastAsiaTheme="majorEastAsia"/>
          <w:color w:val="000000"/>
        </w:rPr>
        <w:t>R. tropici</w:t>
      </w:r>
      <w:r>
        <w:rPr>
          <w:rStyle w:val="apple-converted-space"/>
          <w:rFonts w:eastAsiaTheme="majorEastAsia"/>
          <w:color w:val="000000"/>
        </w:rPr>
        <w:t> </w:t>
      </w:r>
      <w:r>
        <w:t xml:space="preserve">previously linked to particle aggregation and rhizosphere-related functions </w:t>
      </w:r>
      <w:r>
        <w:fldChar w:fldCharType="begin"/>
      </w:r>
      <w:r>
        <w:instrText xml:space="preserve"> ADDIN ZOTERO_ITEM CSL_CITATION {"citationID":"MbPBIr35","properties":{"formattedCitation":"\\super 27\\nosupersub{}","plainCitation":"27","noteIndex":0},"citationItems":[{"id":15,"uris":["http://zotero.org/users/9841097/items/94A5RBZL"],"itemData":{"id":15,"type":"article-journal","container-title":"ISSMGE","DOI":"10.53243/ICBBG2025-135","language":"en","source":"DOI.org (CSL JSON)","title":"Impact of Rhizobium Tropici Produced EPS on Arabidopsis Thaliana Growth","URL":"https://doi.org/10.53243/ICBBG2025-135","author":[{"literal":"Aaron Sloutski"},{"literal":"Justin Burzachiello"},{"literal":"Yu-Chung Lin"},{"literal":"Steven Slote"},{"literal":"Benoit Lacroix"},{"literal":"Vitaly Citovsky"},{"literal":"Yuefan Deng"},{"literal":"Marcia Simon"},{"literal":"Jay Gao"},{"literal":"Miriam Rafailovich"}],"accessed":{"date-parts":[["2026",1,14]]},"issued":{"date-parts":[["2025",5]]}}}],"schema":"https://github.com/citation-style-language/schema/raw/master/csl-citation.json"} </w:instrText>
      </w:r>
      <w:r>
        <w:fldChar w:fldCharType="separate"/>
      </w:r>
      <w:r w:rsidRPr="00F742F0">
        <w:rPr>
          <w:vertAlign w:val="superscript"/>
          <w:lang w:bidi="bn-IN"/>
        </w:rPr>
        <w:t>27</w:t>
      </w:r>
      <w:r>
        <w:fldChar w:fldCharType="end"/>
      </w:r>
      <w:r>
        <w:t>.</w:t>
      </w:r>
    </w:p>
    <w:p w14:paraId="60B13C34" w14:textId="77777777" w:rsidR="00F223F7" w:rsidRDefault="00F223F7" w:rsidP="00F223F7">
      <w:r>
        <w:t>Dry sand (120 g per specimen) was homogenized, then mixed with aqueous biopolymer solutions at 125 or 500 mg L⁻¹ (corresponding to ~0.01–0.05wt% relative to dry sand, depending on added volume). Mixing was performed using a planetary mixer (Thinky ARE-250; 2000 rpm, 30 s) to promote uniform dispersion and minimize agglomeration. Additional deionized water was added as needed to obtain a moldable paste, followed by a second mixing step.</w:t>
      </w:r>
    </w:p>
    <w:p w14:paraId="0A5F7D9F" w14:textId="77777777" w:rsidR="00F223F7" w:rsidRPr="00625D33" w:rsidRDefault="00F223F7" w:rsidP="00F223F7">
      <w:r w:rsidRPr="00625D33">
        <w:t>The material was cast into cylindrical molds (68 mm height × 34 mm diameter), lightly compacted to a smooth surface, demolded, and cured at room temperature (25 ± 5 °C) for 1</w:t>
      </w:r>
      <w:r>
        <w:t>-</w:t>
      </w:r>
      <w:r w:rsidRPr="00625D33">
        <w:t>3 days; this curing window was chosen to approximate typical irrigation intervals in plant experiments (watering every ~1</w:t>
      </w:r>
      <w:r>
        <w:t>-</w:t>
      </w:r>
      <w:r w:rsidRPr="00625D33">
        <w:t xml:space="preserve">3 days after partial drying). Moisture loss was tracked gravimetrically to ensure comparable drying across conditions. </w:t>
      </w:r>
    </w:p>
    <w:p w14:paraId="28EACACA" w14:textId="51C14507" w:rsidR="003675F6" w:rsidRDefault="00F223F7" w:rsidP="00F223F7">
      <w:r>
        <w:t xml:space="preserve">Unconfined compressive strength (UCS) tests were performed using a </w:t>
      </w:r>
      <w:proofErr w:type="spellStart"/>
      <w:r>
        <w:t>GeoJac</w:t>
      </w:r>
      <w:proofErr w:type="spellEnd"/>
      <w:r>
        <w:t xml:space="preserve"> Digital Load Actuator at a constant displacement rate of 1 mm min⁻¹. Peak strength and stress-strain responses were extracted for each condition. Standardized preparation (mixing, moisture adjustment, and compaction) was used to minimize variability unrelated to polymer treatment. </w:t>
      </w:r>
      <w:r w:rsidRPr="00922F03">
        <w:rPr>
          <w:b/>
          <w:bCs/>
        </w:rPr>
        <w:t xml:space="preserve">Figure S1 </w:t>
      </w:r>
      <w:r>
        <w:t>shows the images of the sand block making process and the failure modes of the blocks.</w:t>
      </w:r>
    </w:p>
    <w:p w14:paraId="64DB6F52" w14:textId="127620B0" w:rsidR="003E7596" w:rsidRDefault="003E7596" w:rsidP="00F223F7">
      <w:r w:rsidRPr="003E7596">
        <w:rPr>
          <w:noProof/>
        </w:rPr>
        <w:lastRenderedPageBreak/>
        <w:drawing>
          <wp:inline distT="0" distB="0" distL="0" distR="0" wp14:anchorId="58D0AB65" wp14:editId="5EAEF317">
            <wp:extent cx="5943600" cy="4436198"/>
            <wp:effectExtent l="0" t="0" r="0" b="0"/>
            <wp:docPr id="1607672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2372" name=""/>
                    <pic:cNvPicPr/>
                  </pic:nvPicPr>
                  <pic:blipFill rotWithShape="1">
                    <a:blip r:embed="rId8" cstate="email">
                      <a:extLst>
                        <a:ext uri="{28A0092B-C50C-407E-A947-70E740481C1C}">
                          <a14:useLocalDpi xmlns:a14="http://schemas.microsoft.com/office/drawing/2010/main"/>
                        </a:ext>
                      </a:extLst>
                    </a:blip>
                    <a:srcRect/>
                    <a:stretch>
                      <a:fillRect/>
                    </a:stretch>
                  </pic:blipFill>
                  <pic:spPr bwMode="auto">
                    <a:xfrm>
                      <a:off x="0" y="0"/>
                      <a:ext cx="5943600" cy="4436198"/>
                    </a:xfrm>
                    <a:prstGeom prst="rect">
                      <a:avLst/>
                    </a:prstGeom>
                    <a:ln>
                      <a:noFill/>
                    </a:ln>
                    <a:extLst>
                      <a:ext uri="{53640926-AAD7-44D8-BBD7-CCE9431645EC}">
                        <a14:shadowObscured xmlns:a14="http://schemas.microsoft.com/office/drawing/2010/main"/>
                      </a:ext>
                    </a:extLst>
                  </pic:spPr>
                </pic:pic>
              </a:graphicData>
            </a:graphic>
          </wp:inline>
        </w:drawing>
      </w:r>
    </w:p>
    <w:p w14:paraId="28ACD5F0" w14:textId="08DD2FFA" w:rsidR="003675F6" w:rsidRDefault="003675F6" w:rsidP="003675F6">
      <w:pPr>
        <w:pStyle w:val="Caption1"/>
        <w:rPr>
          <w:rStyle w:val="Strong"/>
        </w:rPr>
      </w:pPr>
      <w:r w:rsidRPr="0078446B">
        <w:rPr>
          <w:b/>
          <w:bCs/>
        </w:rPr>
        <w:t>Figure S</w:t>
      </w:r>
      <w:r w:rsidRPr="0078446B">
        <w:rPr>
          <w:b/>
          <w:bCs/>
        </w:rPr>
        <w:fldChar w:fldCharType="begin"/>
      </w:r>
      <w:r w:rsidRPr="0078446B">
        <w:rPr>
          <w:b/>
          <w:bCs/>
        </w:rPr>
        <w:instrText xml:space="preserve"> SEQ Figure \* ARABIC </w:instrText>
      </w:r>
      <w:r w:rsidRPr="0078446B">
        <w:rPr>
          <w:b/>
          <w:bCs/>
        </w:rPr>
        <w:fldChar w:fldCharType="separate"/>
      </w:r>
      <w:r w:rsidR="00271527">
        <w:rPr>
          <w:b/>
          <w:bCs/>
          <w:noProof/>
        </w:rPr>
        <w:t>1</w:t>
      </w:r>
      <w:r w:rsidRPr="0078446B">
        <w:rPr>
          <w:b/>
          <w:bCs/>
        </w:rPr>
        <w:fldChar w:fldCharType="end"/>
      </w:r>
      <w:r w:rsidRPr="0078446B">
        <w:rPr>
          <w:b/>
          <w:bCs/>
        </w:rPr>
        <w:t xml:space="preserve">| </w:t>
      </w:r>
      <w:r>
        <w:rPr>
          <w:rStyle w:val="Strong"/>
        </w:rPr>
        <w:t xml:space="preserve">Sand blocks for compressive strength test. </w:t>
      </w:r>
    </w:p>
    <w:p w14:paraId="09981149" w14:textId="77777777" w:rsidR="003675F6" w:rsidRPr="00E76732" w:rsidRDefault="003675F6" w:rsidP="003675F6">
      <w:pPr>
        <w:pStyle w:val="Caption1"/>
        <w:rPr>
          <w:rStyle w:val="Strong"/>
          <w:b w:val="0"/>
          <w:bCs w:val="0"/>
        </w:rPr>
      </w:pPr>
      <w:r w:rsidRPr="00E76732">
        <w:rPr>
          <w:rStyle w:val="Strong"/>
          <w:b w:val="0"/>
          <w:bCs w:val="0"/>
        </w:rPr>
        <w:t xml:space="preserve">(a) weighing raw materials (b) mixing of raw materials (c) mold for block making </w:t>
      </w:r>
    </w:p>
    <w:p w14:paraId="40941498" w14:textId="0BE6D52D" w:rsidR="005A4724" w:rsidRPr="005A4724" w:rsidRDefault="003675F6" w:rsidP="003675F6">
      <w:pPr>
        <w:pStyle w:val="Caption1"/>
        <w:rPr>
          <w:rStyle w:val="Strong"/>
        </w:rPr>
      </w:pPr>
      <w:r w:rsidRPr="005A4724">
        <w:rPr>
          <w:rStyle w:val="Strong"/>
        </w:rPr>
        <w:t>Failure mode of sand blocks having 500 mg/L biopolymers and 1-day curing</w:t>
      </w:r>
      <w:r w:rsidR="005A4724" w:rsidRPr="005A4724">
        <w:rPr>
          <w:rStyle w:val="Strong"/>
        </w:rPr>
        <w:t>.</w:t>
      </w:r>
      <w:r w:rsidRPr="005A4724">
        <w:rPr>
          <w:rStyle w:val="Strong"/>
        </w:rPr>
        <w:t xml:space="preserve"> </w:t>
      </w:r>
    </w:p>
    <w:p w14:paraId="67B3E570" w14:textId="64012720" w:rsidR="00BF7182" w:rsidRPr="000E2648" w:rsidRDefault="003675F6" w:rsidP="000E2648">
      <w:pPr>
        <w:pStyle w:val="Caption1"/>
        <w:rPr>
          <w:b/>
          <w:bCs/>
        </w:rPr>
      </w:pPr>
      <w:r w:rsidRPr="00E76732">
        <w:rPr>
          <w:rStyle w:val="Strong"/>
          <w:b w:val="0"/>
          <w:bCs w:val="0"/>
        </w:rPr>
        <w:t>(d) XG (e) EPM (f) Control</w:t>
      </w:r>
      <w:r w:rsidR="00F223F7" w:rsidRPr="00DD3E33">
        <w:rPr>
          <w:noProof/>
        </w:rPr>
        <w:drawing>
          <wp:anchor distT="0" distB="0" distL="114300" distR="114300" simplePos="0" relativeHeight="251667456" behindDoc="0" locked="0" layoutInCell="1" allowOverlap="1" wp14:anchorId="06C34528" wp14:editId="77BE6829">
            <wp:simplePos x="0" y="0"/>
            <wp:positionH relativeFrom="column">
              <wp:posOffset>7124383</wp:posOffset>
            </wp:positionH>
            <wp:positionV relativeFrom="paragraph">
              <wp:posOffset>1169035</wp:posOffset>
            </wp:positionV>
            <wp:extent cx="1521155" cy="1514923"/>
            <wp:effectExtent l="15875" t="9525" r="6350" b="6350"/>
            <wp:wrapNone/>
            <wp:docPr id="43" name="Picture 42" descr="A group of brown objects on white paper&#10;&#10;AI-generated content may be incorrect.">
              <a:extLst xmlns:a="http://schemas.openxmlformats.org/drawingml/2006/main">
                <a:ext uri="{FF2B5EF4-FFF2-40B4-BE49-F238E27FC236}">
                  <a16:creationId xmlns:a16="http://schemas.microsoft.com/office/drawing/2014/main" id="{3AD78D19-0F96-BA6B-8E92-62068CDB1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group of brown objects on white paper&#10;&#10;AI-generated content may be incorrect.">
                      <a:extLst>
                        <a:ext uri="{FF2B5EF4-FFF2-40B4-BE49-F238E27FC236}">
                          <a16:creationId xmlns:a16="http://schemas.microsoft.com/office/drawing/2014/main" id="{3AD78D19-0F96-BA6B-8E92-62068CDB16BE}"/>
                        </a:ext>
                      </a:extLst>
                    </pic:cNvPr>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rot="5400000">
                      <a:off x="0" y="0"/>
                      <a:ext cx="1521155" cy="1514923"/>
                    </a:xfrm>
                    <a:prstGeom prst="rect">
                      <a:avLst/>
                    </a:prstGeom>
                    <a:ln>
                      <a:solidFill>
                        <a:srgbClr val="011893"/>
                      </a:solidFill>
                    </a:ln>
                  </pic:spPr>
                </pic:pic>
              </a:graphicData>
            </a:graphic>
          </wp:anchor>
        </w:drawing>
      </w:r>
      <w:r w:rsidR="00F223F7" w:rsidRPr="00DD3E33">
        <w:rPr>
          <w:noProof/>
        </w:rPr>
        <w:drawing>
          <wp:anchor distT="0" distB="0" distL="114300" distR="114300" simplePos="0" relativeHeight="251668480" behindDoc="0" locked="0" layoutInCell="1" allowOverlap="1" wp14:anchorId="29A02B42" wp14:editId="73B4BCDD">
            <wp:simplePos x="0" y="0"/>
            <wp:positionH relativeFrom="column">
              <wp:posOffset>6339841</wp:posOffset>
            </wp:positionH>
            <wp:positionV relativeFrom="paragraph">
              <wp:posOffset>3335972</wp:posOffset>
            </wp:positionV>
            <wp:extent cx="2779332" cy="1767713"/>
            <wp:effectExtent l="35877" t="40323" r="114618" b="114617"/>
            <wp:wrapNone/>
            <wp:docPr id="5" name="Picture 4" descr="A green machine with a stack of cans&#10;&#10;AI-generated content may be incorrect.">
              <a:extLst xmlns:a="http://schemas.openxmlformats.org/drawingml/2006/main">
                <a:ext uri="{FF2B5EF4-FFF2-40B4-BE49-F238E27FC236}">
                  <a16:creationId xmlns:a16="http://schemas.microsoft.com/office/drawing/2014/main" id="{580B704F-D7F0-7AF0-D127-AB0AC7A72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machine with a stack of cans&#10;&#10;AI-generated content may be incorrect.">
                      <a:extLst>
                        <a:ext uri="{FF2B5EF4-FFF2-40B4-BE49-F238E27FC236}">
                          <a16:creationId xmlns:a16="http://schemas.microsoft.com/office/drawing/2014/main" id="{580B704F-D7F0-7AF0-D127-AB0AC7A72B1D}"/>
                        </a:ext>
                      </a:extLst>
                    </pic:cNvPr>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rot="5400000">
                      <a:off x="0" y="0"/>
                      <a:ext cx="2779332" cy="1767713"/>
                    </a:xfrm>
                    <a:prstGeom prst="rect">
                      <a:avLst/>
                    </a:prstGeom>
                    <a:ln w="9525" cap="sq">
                      <a:solidFill>
                        <a:srgbClr val="942093"/>
                      </a:solidFill>
                      <a:miter lim="800000"/>
                    </a:ln>
                    <a:effectLst>
                      <a:outerShdw blurRad="57150" dist="50800" dir="2700000" algn="tl" rotWithShape="0">
                        <a:srgbClr val="000000">
                          <a:alpha val="40000"/>
                        </a:srgbClr>
                      </a:outerShdw>
                    </a:effectLst>
                  </pic:spPr>
                </pic:pic>
              </a:graphicData>
            </a:graphic>
          </wp:anchor>
        </w:drawing>
      </w:r>
    </w:p>
    <w:p w14:paraId="6F8B47D5" w14:textId="3E1B10C7" w:rsidR="00F223F7" w:rsidRDefault="00F223F7" w:rsidP="00F223F7">
      <w:pPr>
        <w:pStyle w:val="Heading3"/>
        <w:rPr>
          <w:color w:val="000000"/>
        </w:rPr>
      </w:pPr>
      <w:r>
        <w:rPr>
          <w:color w:val="000000"/>
        </w:rPr>
        <w:t>Bermuda grass growth and analysis</w:t>
      </w:r>
    </w:p>
    <w:p w14:paraId="12EBBD2F" w14:textId="211A6193" w:rsidR="003675F6" w:rsidRDefault="00F223F7" w:rsidP="00F223F7">
      <w:r>
        <w:t xml:space="preserve">Bermuda grass was grown in the Stony Brook University Life Sciences greenhouse under long-day conditions (16 h light/8 h dark) at 25 °C for 2 months. Prior to seeding, sand was premixed with </w:t>
      </w:r>
      <w:r w:rsidR="009F2D0B">
        <w:t xml:space="preserve">XG and </w:t>
      </w:r>
      <w:r>
        <w:t>EPM working solution</w:t>
      </w:r>
      <w:r w:rsidR="00226772">
        <w:t>s</w:t>
      </w:r>
      <w:r>
        <w:t xml:space="preserve"> to yield final concentration of 125 mg L⁻¹</w:t>
      </w:r>
      <w:r w:rsidR="009F2D0B">
        <w:t>. For 1 gram of sand, 1 ml of biopolymer solution was added to each pot.</w:t>
      </w:r>
      <w:r>
        <w:t xml:space="preserve"> At harvest, sand was washed from roots, shoots and roots were collected for gravimetric measurements, and root morphology was imaged using a Keyence VHX-7000 digital microscope. </w:t>
      </w:r>
      <w:r w:rsidR="00F3577B">
        <w:fldChar w:fldCharType="begin"/>
      </w:r>
      <w:r w:rsidR="00F3577B">
        <w:instrText xml:space="preserve"> REF _Ref223120979 \h </w:instrText>
      </w:r>
      <w:r w:rsidR="00F3577B">
        <w:fldChar w:fldCharType="separate"/>
      </w:r>
      <w:r w:rsidR="00271527" w:rsidRPr="00F3577B">
        <w:rPr>
          <w:b/>
          <w:bCs/>
        </w:rPr>
        <w:t>Figure S</w:t>
      </w:r>
      <w:r w:rsidR="00271527">
        <w:rPr>
          <w:b/>
          <w:bCs/>
          <w:noProof/>
        </w:rPr>
        <w:t>2</w:t>
      </w:r>
      <w:r w:rsidR="00F3577B">
        <w:fldChar w:fldCharType="end"/>
      </w:r>
      <w:r w:rsidR="00F3577B">
        <w:t xml:space="preserve"> shows a few pots of barmuda grass where plants were grown in sand without and with biopolymer</w:t>
      </w:r>
      <w:r w:rsidR="005032BF">
        <w:t>s</w:t>
      </w:r>
      <w:r w:rsidR="00F3577B">
        <w:t>.</w:t>
      </w:r>
    </w:p>
    <w:p w14:paraId="219FA66D" w14:textId="77AA9380" w:rsidR="00FA4E7A" w:rsidRDefault="00FA4E7A" w:rsidP="00F223F7"/>
    <w:p w14:paraId="46664087" w14:textId="6AF41191" w:rsidR="00B51870" w:rsidRDefault="00B51870" w:rsidP="00F223F7">
      <w:r w:rsidRPr="00B51870">
        <w:rPr>
          <w:noProof/>
        </w:rPr>
        <w:lastRenderedPageBreak/>
        <w:drawing>
          <wp:inline distT="0" distB="0" distL="0" distR="0" wp14:anchorId="14318DE5" wp14:editId="78B09F7B">
            <wp:extent cx="5943600" cy="3667760"/>
            <wp:effectExtent l="0" t="0" r="0" b="2540"/>
            <wp:docPr id="1938063547" name="Picture 1" descr="A group of plants in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63547" name="Picture 1" descr="A group of plants in a container&#10;&#10;AI-generated content may be incorrect."/>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3667760"/>
                    </a:xfrm>
                    <a:prstGeom prst="rect">
                      <a:avLst/>
                    </a:prstGeom>
                  </pic:spPr>
                </pic:pic>
              </a:graphicData>
            </a:graphic>
          </wp:inline>
        </w:drawing>
      </w:r>
    </w:p>
    <w:p w14:paraId="1B08ECE3" w14:textId="1A6B8EDC" w:rsidR="00BF7182" w:rsidRPr="005E6D63" w:rsidRDefault="00F3577B" w:rsidP="005E6D63">
      <w:pPr>
        <w:pStyle w:val="Caption1"/>
        <w:rPr>
          <w:b/>
          <w:bCs/>
        </w:rPr>
      </w:pPr>
      <w:bookmarkStart w:id="1" w:name="_Ref223120979"/>
      <w:r w:rsidRPr="00F3577B">
        <w:rPr>
          <w:b/>
          <w:bCs/>
        </w:rPr>
        <w:t>Figure S</w:t>
      </w:r>
      <w:r w:rsidRPr="00F3577B">
        <w:rPr>
          <w:b/>
          <w:bCs/>
        </w:rPr>
        <w:fldChar w:fldCharType="begin"/>
      </w:r>
      <w:r w:rsidRPr="00F3577B">
        <w:rPr>
          <w:b/>
          <w:bCs/>
        </w:rPr>
        <w:instrText xml:space="preserve"> SEQ Figure \* ARABIC </w:instrText>
      </w:r>
      <w:r w:rsidRPr="00F3577B">
        <w:rPr>
          <w:b/>
          <w:bCs/>
        </w:rPr>
        <w:fldChar w:fldCharType="separate"/>
      </w:r>
      <w:r w:rsidR="00271527">
        <w:rPr>
          <w:b/>
          <w:bCs/>
          <w:noProof/>
        </w:rPr>
        <w:t>2</w:t>
      </w:r>
      <w:r w:rsidRPr="00F3577B">
        <w:rPr>
          <w:b/>
          <w:bCs/>
        </w:rPr>
        <w:fldChar w:fldCharType="end"/>
      </w:r>
      <w:bookmarkEnd w:id="1"/>
      <w:r w:rsidRPr="00F3577B">
        <w:rPr>
          <w:b/>
          <w:bCs/>
        </w:rPr>
        <w:t>|</w:t>
      </w:r>
      <w:r w:rsidRPr="0078446B">
        <w:t xml:space="preserve"> </w:t>
      </w:r>
      <w:r>
        <w:rPr>
          <w:rStyle w:val="Strong"/>
        </w:rPr>
        <w:t xml:space="preserve">A few pots of </w:t>
      </w:r>
      <w:r w:rsidR="006F6A84">
        <w:rPr>
          <w:rStyle w:val="Strong"/>
        </w:rPr>
        <w:t xml:space="preserve">control, XG, and EPM pots of </w:t>
      </w:r>
      <w:r>
        <w:rPr>
          <w:rStyle w:val="Strong"/>
        </w:rPr>
        <w:t>barmuda grass in the greenhouse</w:t>
      </w:r>
      <w:r w:rsidR="00B51870">
        <w:rPr>
          <w:rStyle w:val="Strong"/>
        </w:rPr>
        <w:t xml:space="preserve"> chamber</w:t>
      </w:r>
      <w:r>
        <w:rPr>
          <w:rStyle w:val="Strong"/>
        </w:rPr>
        <w:t xml:space="preserve">. </w:t>
      </w:r>
    </w:p>
    <w:p w14:paraId="01D7F506" w14:textId="1A0DB5EC" w:rsidR="00F223F7" w:rsidRDefault="00F223F7" w:rsidP="00F223F7">
      <w:pPr>
        <w:pStyle w:val="Heading3"/>
        <w:rPr>
          <w:lang w:bidi="bn-IN"/>
        </w:rPr>
      </w:pPr>
      <w:r>
        <w:rPr>
          <w:lang w:bidi="bn-IN"/>
        </w:rPr>
        <w:t>Bush beans in garden soil</w:t>
      </w:r>
    </w:p>
    <w:p w14:paraId="6D051F63" w14:textId="7D16BF23" w:rsidR="00AC5190" w:rsidRPr="00AC5190" w:rsidRDefault="00AC5190" w:rsidP="00AC5190">
      <w:pPr>
        <w:rPr>
          <w:lang w:bidi="bn-IN"/>
        </w:rPr>
      </w:pPr>
      <w:r w:rsidRPr="00AC5190">
        <w:rPr>
          <w:lang w:bidi="bn-IN"/>
        </w:rPr>
        <w:t xml:space="preserve">Bush bean seeds were sown in garden soil that had been homogenized and amended with EPM prior to planting. Soil was premixed with EPM working solutions to achieve final concentrations of 0, 12.5, 50, or 125 mg L⁻¹, with 1 mL of solution applied per gram of soil in each pot to ensure uniform distribution. Plants were maintained under controlled greenhouse conditions. At harvest, roots were carefully washed free of </w:t>
      </w:r>
      <w:proofErr w:type="gramStart"/>
      <w:r w:rsidRPr="00AC5190">
        <w:rPr>
          <w:lang w:bidi="bn-IN"/>
        </w:rPr>
        <w:t>soil, and</w:t>
      </w:r>
      <w:proofErr w:type="gramEnd"/>
      <w:r w:rsidRPr="00AC5190">
        <w:rPr>
          <w:lang w:bidi="bn-IN"/>
        </w:rPr>
        <w:t xml:space="preserve"> shoot and root tissues were collected separately for gravimetric biomass determination. Root morphology was subsequently documented using a Keyence VHX-7000 digital microscope.</w:t>
      </w:r>
      <w:r>
        <w:rPr>
          <w:lang w:bidi="bn-IN"/>
        </w:rPr>
        <w:t xml:space="preserve"> Bush beans in chamber are shown in </w:t>
      </w:r>
      <w:r>
        <w:rPr>
          <w:lang w:bidi="bn-IN"/>
        </w:rPr>
        <w:fldChar w:fldCharType="begin"/>
      </w:r>
      <w:r>
        <w:rPr>
          <w:lang w:bidi="bn-IN"/>
        </w:rPr>
        <w:instrText xml:space="preserve"> REF _Ref223122930 \h </w:instrText>
      </w:r>
      <w:r>
        <w:rPr>
          <w:lang w:bidi="bn-IN"/>
        </w:rPr>
      </w:r>
      <w:r>
        <w:rPr>
          <w:lang w:bidi="bn-IN"/>
        </w:rPr>
        <w:fldChar w:fldCharType="separate"/>
      </w:r>
      <w:r w:rsidR="00271527" w:rsidRPr="00F3577B">
        <w:rPr>
          <w:b/>
          <w:bCs/>
        </w:rPr>
        <w:t>Figure S</w:t>
      </w:r>
      <w:r w:rsidR="00271527">
        <w:rPr>
          <w:b/>
          <w:bCs/>
          <w:noProof/>
        </w:rPr>
        <w:t>3</w:t>
      </w:r>
      <w:r>
        <w:rPr>
          <w:lang w:bidi="bn-IN"/>
        </w:rPr>
        <w:fldChar w:fldCharType="end"/>
      </w:r>
      <w:r>
        <w:rPr>
          <w:lang w:bidi="bn-IN"/>
        </w:rPr>
        <w:t xml:space="preserve">. </w:t>
      </w:r>
    </w:p>
    <w:p w14:paraId="33B096F6" w14:textId="0AB201B5" w:rsidR="002A19CF" w:rsidRDefault="002F07E6" w:rsidP="00AC5190">
      <w:pPr>
        <w:pStyle w:val="Caption1"/>
      </w:pPr>
      <w:r w:rsidRPr="002F07E6">
        <w:rPr>
          <w:noProof/>
        </w:rPr>
        <w:lastRenderedPageBreak/>
        <w:drawing>
          <wp:inline distT="0" distB="0" distL="0" distR="0" wp14:anchorId="0E0852F3" wp14:editId="6D395C52">
            <wp:extent cx="6018551" cy="4046069"/>
            <wp:effectExtent l="0" t="0" r="1270" b="5715"/>
            <wp:docPr id="367908257" name="Picture 1" descr="A group of plants in a pla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08257" name="Picture 1" descr="A group of plants in a planter&#10;&#10;AI-generated content may be incorrect."/>
                    <pic:cNvPicPr/>
                  </pic:nvPicPr>
                  <pic:blipFill rotWithShape="1">
                    <a:blip r:embed="rId12" cstate="email">
                      <a:extLst>
                        <a:ext uri="{28A0092B-C50C-407E-A947-70E740481C1C}">
                          <a14:useLocalDpi xmlns:a14="http://schemas.microsoft.com/office/drawing/2010/main"/>
                        </a:ext>
                      </a:extLst>
                    </a:blip>
                    <a:srcRect/>
                    <a:stretch>
                      <a:fillRect/>
                    </a:stretch>
                  </pic:blipFill>
                  <pic:spPr bwMode="auto">
                    <a:xfrm>
                      <a:off x="0" y="0"/>
                      <a:ext cx="6068101" cy="4079380"/>
                    </a:xfrm>
                    <a:prstGeom prst="rect">
                      <a:avLst/>
                    </a:prstGeom>
                    <a:ln>
                      <a:noFill/>
                    </a:ln>
                    <a:extLst>
                      <a:ext uri="{53640926-AAD7-44D8-BBD7-CCE9431645EC}">
                        <a14:shadowObscured xmlns:a14="http://schemas.microsoft.com/office/drawing/2010/main"/>
                      </a:ext>
                    </a:extLst>
                  </pic:spPr>
                </pic:pic>
              </a:graphicData>
            </a:graphic>
          </wp:inline>
        </w:drawing>
      </w:r>
    </w:p>
    <w:p w14:paraId="6164A681" w14:textId="2A334F60" w:rsidR="00BF7182" w:rsidRPr="00C417B9" w:rsidRDefault="00D36954" w:rsidP="005E6D63">
      <w:pPr>
        <w:pStyle w:val="Caption1"/>
      </w:pPr>
      <w:bookmarkStart w:id="2" w:name="_Ref223122930"/>
      <w:r w:rsidRPr="00F3577B">
        <w:rPr>
          <w:b/>
          <w:bCs/>
        </w:rPr>
        <w:t>Figure S</w:t>
      </w:r>
      <w:r w:rsidRPr="00F3577B">
        <w:rPr>
          <w:b/>
          <w:bCs/>
        </w:rPr>
        <w:fldChar w:fldCharType="begin"/>
      </w:r>
      <w:r w:rsidRPr="00F3577B">
        <w:rPr>
          <w:b/>
          <w:bCs/>
        </w:rPr>
        <w:instrText xml:space="preserve"> SEQ Figure \* ARABIC </w:instrText>
      </w:r>
      <w:r w:rsidRPr="00F3577B">
        <w:rPr>
          <w:b/>
          <w:bCs/>
        </w:rPr>
        <w:fldChar w:fldCharType="separate"/>
      </w:r>
      <w:r w:rsidR="00271527">
        <w:rPr>
          <w:b/>
          <w:bCs/>
          <w:noProof/>
        </w:rPr>
        <w:t>3</w:t>
      </w:r>
      <w:r w:rsidRPr="00F3577B">
        <w:rPr>
          <w:b/>
          <w:bCs/>
        </w:rPr>
        <w:fldChar w:fldCharType="end"/>
      </w:r>
      <w:bookmarkEnd w:id="2"/>
      <w:r w:rsidRPr="00F3577B">
        <w:rPr>
          <w:b/>
          <w:bCs/>
        </w:rPr>
        <w:t>|</w:t>
      </w:r>
      <w:r w:rsidRPr="0078446B">
        <w:t xml:space="preserve"> </w:t>
      </w:r>
      <w:r w:rsidR="00AC5190">
        <w:rPr>
          <w:rStyle w:val="Strong"/>
        </w:rPr>
        <w:t xml:space="preserve">Bush beans in chamber with different concentrations of EPM. </w:t>
      </w:r>
    </w:p>
    <w:p w14:paraId="128B0855" w14:textId="23CF43B1" w:rsidR="00F223F7" w:rsidRDefault="00F223F7" w:rsidP="00F223F7">
      <w:pPr>
        <w:pStyle w:val="Heading3"/>
      </w:pPr>
      <w:r>
        <w:rPr>
          <w:rStyle w:val="Emphasis"/>
          <w:color w:val="000000"/>
        </w:rPr>
        <w:t xml:space="preserve">Arabidopsis </w:t>
      </w:r>
      <w:r w:rsidRPr="00C37A92">
        <w:rPr>
          <w:rStyle w:val="Emphasis"/>
          <w:i w:val="0"/>
          <w:iCs w:val="0"/>
        </w:rPr>
        <w:t>thaliana</w:t>
      </w:r>
      <w:r>
        <w:rPr>
          <w:rStyle w:val="apple-converted-space"/>
          <w:color w:val="000000"/>
        </w:rPr>
        <w:t> </w:t>
      </w:r>
      <w:r>
        <w:t>growth and root analysis</w:t>
      </w:r>
    </w:p>
    <w:p w14:paraId="7ACB6829" w14:textId="45B1DE11" w:rsidR="00F223F7" w:rsidRDefault="00F223F7" w:rsidP="00F223F7">
      <w:r>
        <w:rPr>
          <w:rStyle w:val="Emphasis"/>
          <w:rFonts w:eastAsiaTheme="majorEastAsia"/>
          <w:color w:val="000000"/>
        </w:rPr>
        <w:t>Arabidopsis thaliana</w:t>
      </w:r>
      <w:r>
        <w:rPr>
          <w:rStyle w:val="apple-converted-space"/>
          <w:rFonts w:eastAsiaTheme="majorEastAsia"/>
          <w:color w:val="000000"/>
        </w:rPr>
        <w:t> </w:t>
      </w:r>
      <w:r>
        <w:t>plants were grown under long-day conditions (16 h light/8 h dark) at 21 °C in the Stony Brook University greenhouse. Seeds were germinated in soil for 3 weeks and then transplanted into sand. Both the germination soil and the transplant sand were premixed with EPM working solutions to achieve final concentrations of 0 or 125 mg L⁻¹</w:t>
      </w:r>
      <w:r w:rsidR="00400995">
        <w:t>.</w:t>
      </w:r>
      <w:r>
        <w:t xml:space="preserve"> Plants were grown in sand for ~3 weeks until maturity. Roots were then recovered by washing away sand and imaged using a Keyence VHX-7000 digital microscope. </w:t>
      </w:r>
      <w:r w:rsidR="00400995">
        <w:fldChar w:fldCharType="begin"/>
      </w:r>
      <w:r w:rsidR="00400995">
        <w:instrText xml:space="preserve"> REF _Ref223124272 \h </w:instrText>
      </w:r>
      <w:r w:rsidR="00400995">
        <w:fldChar w:fldCharType="separate"/>
      </w:r>
      <w:r w:rsidR="00271527" w:rsidRPr="00F3577B">
        <w:rPr>
          <w:b/>
          <w:bCs/>
        </w:rPr>
        <w:t>Figure S</w:t>
      </w:r>
      <w:r w:rsidR="00271527">
        <w:rPr>
          <w:b/>
          <w:bCs/>
          <w:noProof/>
        </w:rPr>
        <w:t>4</w:t>
      </w:r>
      <w:r w:rsidR="00400995">
        <w:fldChar w:fldCharType="end"/>
      </w:r>
      <w:r w:rsidR="00400995">
        <w:t xml:space="preserve"> shows a few pots of </w:t>
      </w:r>
      <w:r w:rsidR="00400995" w:rsidRPr="00400995">
        <w:rPr>
          <w:i/>
          <w:iCs/>
        </w:rPr>
        <w:t>A. thaliana</w:t>
      </w:r>
      <w:r w:rsidR="00400995">
        <w:t xml:space="preserve"> just before harvesting for biomass analysis. </w:t>
      </w:r>
    </w:p>
    <w:p w14:paraId="4A934AFD" w14:textId="6564D767" w:rsidR="00400995" w:rsidRDefault="00400995" w:rsidP="00400995">
      <w:pPr>
        <w:pStyle w:val="Caption1"/>
      </w:pPr>
      <w:r w:rsidRPr="00400995">
        <w:rPr>
          <w:noProof/>
        </w:rPr>
        <w:lastRenderedPageBreak/>
        <w:drawing>
          <wp:inline distT="0" distB="0" distL="0" distR="0" wp14:anchorId="68A87F61" wp14:editId="61C8BE4C">
            <wp:extent cx="5943600" cy="3624580"/>
            <wp:effectExtent l="0" t="0" r="0" b="0"/>
            <wp:docPr id="4" name="Picture 3" descr="A plant in a plastic container&#10;&#10;AI-generated content may be incorrect.">
              <a:extLst xmlns:a="http://schemas.openxmlformats.org/drawingml/2006/main">
                <a:ext uri="{FF2B5EF4-FFF2-40B4-BE49-F238E27FC236}">
                  <a16:creationId xmlns:a16="http://schemas.microsoft.com/office/drawing/2014/main" id="{8A24AC33-0E37-2250-E73D-E60DD0636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lant in a plastic container&#10;&#10;AI-generated content may be incorrect.">
                      <a:extLst>
                        <a:ext uri="{FF2B5EF4-FFF2-40B4-BE49-F238E27FC236}">
                          <a16:creationId xmlns:a16="http://schemas.microsoft.com/office/drawing/2014/main" id="{8A24AC33-0E37-2250-E73D-E60DD063648C}"/>
                        </a:ext>
                      </a:extLst>
                    </pic:cNvPr>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5943600" cy="3624580"/>
                    </a:xfrm>
                    <a:prstGeom prst="rect">
                      <a:avLst/>
                    </a:prstGeom>
                  </pic:spPr>
                </pic:pic>
              </a:graphicData>
            </a:graphic>
          </wp:inline>
        </w:drawing>
      </w:r>
    </w:p>
    <w:p w14:paraId="58434DDA" w14:textId="690F9CF4" w:rsidR="00BF7182" w:rsidRPr="00C417B9" w:rsidRDefault="00400995" w:rsidP="005E6D63">
      <w:pPr>
        <w:pStyle w:val="Caption1"/>
      </w:pPr>
      <w:bookmarkStart w:id="3" w:name="_Ref223124272"/>
      <w:r w:rsidRPr="00F3577B">
        <w:rPr>
          <w:b/>
          <w:bCs/>
        </w:rPr>
        <w:t>Figure S</w:t>
      </w:r>
      <w:r w:rsidRPr="00F3577B">
        <w:rPr>
          <w:b/>
          <w:bCs/>
        </w:rPr>
        <w:fldChar w:fldCharType="begin"/>
      </w:r>
      <w:r w:rsidRPr="00F3577B">
        <w:rPr>
          <w:b/>
          <w:bCs/>
        </w:rPr>
        <w:instrText xml:space="preserve"> SEQ Figure \* ARABIC </w:instrText>
      </w:r>
      <w:r w:rsidRPr="00F3577B">
        <w:rPr>
          <w:b/>
          <w:bCs/>
        </w:rPr>
        <w:fldChar w:fldCharType="separate"/>
      </w:r>
      <w:r w:rsidR="00271527">
        <w:rPr>
          <w:b/>
          <w:bCs/>
          <w:noProof/>
        </w:rPr>
        <w:t>4</w:t>
      </w:r>
      <w:r w:rsidRPr="00F3577B">
        <w:rPr>
          <w:b/>
          <w:bCs/>
        </w:rPr>
        <w:fldChar w:fldCharType="end"/>
      </w:r>
      <w:bookmarkEnd w:id="3"/>
      <w:r w:rsidRPr="00F3577B">
        <w:rPr>
          <w:b/>
          <w:bCs/>
        </w:rPr>
        <w:t>|</w:t>
      </w:r>
      <w:r w:rsidRPr="0078446B">
        <w:t xml:space="preserve"> </w:t>
      </w:r>
      <w:r w:rsidR="00393079" w:rsidRPr="0058473F">
        <w:rPr>
          <w:b/>
          <w:bCs/>
        </w:rPr>
        <w:t>Matured</w:t>
      </w:r>
      <w:r w:rsidR="00393079">
        <w:t xml:space="preserve"> </w:t>
      </w:r>
      <w:r>
        <w:rPr>
          <w:rStyle w:val="Strong"/>
        </w:rPr>
        <w:t>Arabidopsis thaliana in sand</w:t>
      </w:r>
      <w:r w:rsidR="00233D0A">
        <w:rPr>
          <w:rStyle w:val="Strong"/>
        </w:rPr>
        <w:t xml:space="preserve"> before harvesting</w:t>
      </w:r>
      <w:r>
        <w:rPr>
          <w:rStyle w:val="Strong"/>
        </w:rPr>
        <w:t xml:space="preserve">. </w:t>
      </w:r>
    </w:p>
    <w:p w14:paraId="6867F171" w14:textId="30C031CD" w:rsidR="00F223F7" w:rsidRDefault="00F223F7" w:rsidP="00F223F7">
      <w:pPr>
        <w:pStyle w:val="Heading4"/>
        <w:rPr>
          <w:color w:val="000000"/>
        </w:rPr>
      </w:pPr>
      <w:r>
        <w:rPr>
          <w:color w:val="000000"/>
        </w:rPr>
        <w:t>Root sampling for RNA analysis</w:t>
      </w:r>
    </w:p>
    <w:p w14:paraId="76A66253" w14:textId="35C924A5" w:rsidR="00F223F7" w:rsidRDefault="00F223F7" w:rsidP="00F223F7">
      <w:r>
        <w:t>For gene-expression assays, roots were harvested directly from sand-grown plants</w:t>
      </w:r>
      <w:r w:rsidR="0034511B">
        <w:t xml:space="preserve"> of different age</w:t>
      </w:r>
      <w:r w:rsidR="005277E7">
        <w:t>s</w:t>
      </w:r>
      <w:r>
        <w:t xml:space="preserve">. Samples were rinsed rapidly, roots were excised, wrapped in aluminum foil, flash-frozen in liquid nitrogen, and stored at </w:t>
      </w:r>
      <w:r w:rsidRPr="00D87B1C">
        <w:t>-80 °C</w:t>
      </w:r>
      <w:r>
        <w:t xml:space="preserve"> until extraction.</w:t>
      </w:r>
      <w:r w:rsidR="00A3739A">
        <w:t xml:space="preserve"> </w:t>
      </w:r>
    </w:p>
    <w:p w14:paraId="68170808" w14:textId="46857E89" w:rsidR="00F223F7" w:rsidRDefault="00F223F7" w:rsidP="00F223F7">
      <w:pPr>
        <w:pStyle w:val="Heading4"/>
        <w:rPr>
          <w:color w:val="000000"/>
        </w:rPr>
      </w:pPr>
      <w:r>
        <w:rPr>
          <w:color w:val="000000"/>
        </w:rPr>
        <w:t>RNA extraction</w:t>
      </w:r>
    </w:p>
    <w:p w14:paraId="569BFABD" w14:textId="77777777" w:rsidR="00F223F7" w:rsidRDefault="00F223F7" w:rsidP="00F223F7">
      <w:r>
        <w:t>Total RNA was extracted from ~100 mg frozen root tissue using the RNeasy Plant Mini Kit (Qiagen), following the manufacturer’s protocol. Tissue was ground to a fine powder in liquid nitrogen, lysed in 450 µL RLT buffer supplemented with β-</w:t>
      </w:r>
      <w:proofErr w:type="spellStart"/>
      <w:r>
        <w:t>mercaptoethanol</w:t>
      </w:r>
      <w:proofErr w:type="spellEnd"/>
      <w:r>
        <w:t xml:space="preserve"> (4.5 µL), and clarified by centrifugation. The lysate was mixed with 0.5 volumes of 96-100% ethanol and applied to the RNeasy spin column. Columns were washed with RW1 and RPE buffers (including two RPE washes), and RNA was eluted in 30 µL RNase-free water. RNA concentration and purity were measured using a </w:t>
      </w:r>
      <w:proofErr w:type="spellStart"/>
      <w:r>
        <w:t>NanoDrop</w:t>
      </w:r>
      <w:proofErr w:type="spellEnd"/>
      <w:r>
        <w:t xml:space="preserve"> One spectrophotometer, and RNA was stored at -20 °C until cDNA synthesis.</w:t>
      </w:r>
    </w:p>
    <w:p w14:paraId="38EF0AB7" w14:textId="37B3224C" w:rsidR="00F223F7" w:rsidRDefault="00F223F7" w:rsidP="00F223F7">
      <w:pPr>
        <w:pStyle w:val="Heading4"/>
        <w:rPr>
          <w:color w:val="000000"/>
        </w:rPr>
      </w:pPr>
      <w:r>
        <w:rPr>
          <w:color w:val="000000"/>
        </w:rPr>
        <w:t>cDNA synthesis and qPCR</w:t>
      </w:r>
    </w:p>
    <w:p w14:paraId="48D3BF98" w14:textId="16A06AE4" w:rsidR="00267E02" w:rsidRPr="00260B8E" w:rsidRDefault="00F223F7" w:rsidP="00260B8E">
      <w:r>
        <w:t xml:space="preserve">First-strand cDNA was synthesized from purified RNA using the </w:t>
      </w:r>
      <w:proofErr w:type="spellStart"/>
      <w:r>
        <w:t>ProtoScript</w:t>
      </w:r>
      <w:proofErr w:type="spellEnd"/>
      <w:r>
        <w:t xml:space="preserve"> First Strand cDNA Synthesis Kit (New England Biolabs) with an oligo(dT) primer (d(T)23VN), following the </w:t>
      </w:r>
      <w:r>
        <w:lastRenderedPageBreak/>
        <w:t xml:space="preserve">manufacturer’s instructions. Briefly, RNA and primer were incubated at 70 °C for 5 min and cooled on ice, followed by reverse transcription at 42 °C for 1 h and enzyme inactivation at 80 °C for 5 min. cDNA was stored at -20 °C and used for downstream amplification (≤10% of total PCR reaction volume). Quantitative PCR was performed at the Stony Brook University Hospital Genomics Core Facility.  </w:t>
      </w:r>
    </w:p>
    <w:p w14:paraId="558BF79E" w14:textId="07758F5E" w:rsidR="009D6314" w:rsidRDefault="00A545B5" w:rsidP="009D6314">
      <w:pPr>
        <w:pStyle w:val="Heading2"/>
      </w:pPr>
      <w:r>
        <w:t>S</w:t>
      </w:r>
      <w:r w:rsidR="00A40E05">
        <w:t>2</w:t>
      </w:r>
      <w:r>
        <w:t xml:space="preserve">. </w:t>
      </w:r>
      <w:r w:rsidR="009D6314">
        <w:t>Interpretation of compressive strength behavior</w:t>
      </w:r>
    </w:p>
    <w:p w14:paraId="1DA54040" w14:textId="59EC241E" w:rsidR="00D82E6E" w:rsidRPr="00D82E6E" w:rsidRDefault="00D82E6E" w:rsidP="00D82E6E">
      <w:r w:rsidRPr="00D82E6E">
        <w:t>Unconfined compressive strength measurements (</w:t>
      </w:r>
      <w:r>
        <w:fldChar w:fldCharType="begin"/>
      </w:r>
      <w:r>
        <w:instrText xml:space="preserve"> REF _Ref220746858 \h </w:instrText>
      </w:r>
      <w:r>
        <w:fldChar w:fldCharType="separate"/>
      </w:r>
      <w:r w:rsidR="00271527" w:rsidRPr="00C2005B">
        <w:rPr>
          <w:b/>
          <w:bCs/>
        </w:rPr>
        <w:t xml:space="preserve">Figure </w:t>
      </w:r>
      <w:r w:rsidR="00271527">
        <w:rPr>
          <w:b/>
          <w:bCs/>
        </w:rPr>
        <w:t>S</w:t>
      </w:r>
      <w:r w:rsidR="00271527">
        <w:rPr>
          <w:b/>
          <w:bCs/>
          <w:noProof/>
        </w:rPr>
        <w:t>5</w:t>
      </w:r>
      <w:r>
        <w:fldChar w:fldCharType="end"/>
      </w:r>
      <w:r>
        <w:t xml:space="preserve"> </w:t>
      </w:r>
      <w:r w:rsidRPr="00F3327D">
        <w:rPr>
          <w:b/>
          <w:bCs/>
        </w:rPr>
        <w:t>a</w:t>
      </w:r>
      <w:r w:rsidR="00F3327D">
        <w:rPr>
          <w:b/>
          <w:bCs/>
        </w:rPr>
        <w:t>-</w:t>
      </w:r>
      <w:r w:rsidRPr="00F3327D">
        <w:rPr>
          <w:b/>
          <w:bCs/>
        </w:rPr>
        <w:t>b</w:t>
      </w:r>
      <w:r w:rsidRPr="00D82E6E">
        <w:t>) demonstrate polymer-specific and concentration-dependent modifications to sand load transfer. Untreated controls (0 mg L⁻¹) exhibit nearly invariant strength with curing (~0.21</w:t>
      </w:r>
      <w:r w:rsidR="00CE7F13">
        <w:t>-</w:t>
      </w:r>
      <w:r w:rsidRPr="00D82E6E">
        <w:t>0.22 MPa), confirming negligible intrinsic cementation and providing a stable mechanical baseline.</w:t>
      </w:r>
      <w:r w:rsidR="0065220B">
        <w:t xml:space="preserve"> </w:t>
      </w:r>
    </w:p>
    <w:p w14:paraId="679E86FA" w14:textId="77777777" w:rsidR="00D82E6E" w:rsidRPr="00D82E6E" w:rsidRDefault="00D82E6E" w:rsidP="00D82E6E">
      <w:r w:rsidRPr="00D82E6E">
        <w:t>At 125 mg L⁻¹, EPM induces only a modest increase in compressive strength, even after 3 days of curing, indicating enhancement of interparticle adhesion without significant pore collapse or dense particle rearrangement. The low variability at longer curing times suggests formation of a homogeneous, weakly bonded contact network, consistent with a thin, compliant polymer coating that stabilizes grain contacts while preserving deformability. In contrast, xanthan gum (XG) produces a stronger, curing-dependent increase in strength at the same concentration, reflecting its higher molecular rigidity and viscosity, which promote particle bridging and partial pore filling.</w:t>
      </w:r>
    </w:p>
    <w:p w14:paraId="3E4517FD" w14:textId="2AB0440B" w:rsidR="00785A4F" w:rsidRDefault="00D82E6E" w:rsidP="00603364">
      <w:r w:rsidRPr="00D82E6E">
        <w:t>At 500 mg L⁻¹, both biopolymers substantially increase compressive strength; however, XG exhibits a markedly larger response, particularly after extended curing. The pronounced strength gain and elevated variability indicate the development of stiff, heterogeneous polymer-rich domains, likely associated with gel-like bridging that restricts particle mobility and reduces pore connectivity. EPM-treated sand, by comparison, displays a more moderate and controlled strengthening, implying distributed, compliant binding rather than excessive densification.</w:t>
      </w:r>
    </w:p>
    <w:p w14:paraId="25D7E23F" w14:textId="64FFBCA8" w:rsidR="00A97F8B" w:rsidRDefault="00A97F8B" w:rsidP="00A97F8B">
      <w:r>
        <w:t xml:space="preserve">Untreated sand exhibits a porosity of ~42.6%, consistent with a loosely packed granular framework </w:t>
      </w:r>
      <w:r w:rsidRPr="00D82E6E">
        <w:t>(</w:t>
      </w:r>
      <w:r>
        <w:fldChar w:fldCharType="begin"/>
      </w:r>
      <w:r>
        <w:instrText xml:space="preserve"> REF _Ref220746858 \h </w:instrText>
      </w:r>
      <w:r>
        <w:fldChar w:fldCharType="separate"/>
      </w:r>
      <w:r w:rsidR="00271527" w:rsidRPr="00C2005B">
        <w:rPr>
          <w:b/>
          <w:bCs/>
        </w:rPr>
        <w:t xml:space="preserve">Figure </w:t>
      </w:r>
      <w:r w:rsidR="00271527">
        <w:rPr>
          <w:b/>
          <w:bCs/>
        </w:rPr>
        <w:t>S</w:t>
      </w:r>
      <w:r w:rsidR="00271527">
        <w:rPr>
          <w:b/>
          <w:bCs/>
          <w:noProof/>
        </w:rPr>
        <w:t>5</w:t>
      </w:r>
      <w:r>
        <w:fldChar w:fldCharType="end"/>
      </w:r>
      <w:r>
        <w:t xml:space="preserve"> </w:t>
      </w:r>
      <w:r w:rsidR="00196886">
        <w:rPr>
          <w:b/>
          <w:bCs/>
        </w:rPr>
        <w:t>c</w:t>
      </w:r>
      <w:r>
        <w:rPr>
          <w:b/>
          <w:bCs/>
        </w:rPr>
        <w:t>-</w:t>
      </w:r>
      <w:r w:rsidR="00196886">
        <w:rPr>
          <w:b/>
          <w:bCs/>
        </w:rPr>
        <w:t>d</w:t>
      </w:r>
      <w:r w:rsidRPr="00D82E6E">
        <w:t>)</w:t>
      </w:r>
      <w:r>
        <w:t xml:space="preserve">. Addition of both EPM and xanthan gum reduces porosity across all concentrations, confirming that polymer incorporation promotes particle rearrangement and partial pore filling. At 125 mg L⁻¹, EPM induces a modest porosity loss (~2.6% relative to control), whereas xanthan gum produces a slightly larger reduction (~3.2%). This trend persists at 500 mg L⁻¹, with XG exhibiting the greatest porosity loss (~3.5%), exceeding that of EPM (~3.1%). These </w:t>
      </w:r>
      <w:r>
        <w:lastRenderedPageBreak/>
        <w:t>differences indicate that xanthan gum more effectively collapses pore space, consistent with its higher viscosity and propensity for gel-like bridging between grains.</w:t>
      </w:r>
    </w:p>
    <w:p w14:paraId="660F56C9" w14:textId="77777777" w:rsidR="00A97F8B" w:rsidRDefault="00A97F8B" w:rsidP="00A97F8B">
      <w:r>
        <w:t>Importantly, the relatively small porosity reduction induced by EPM, even at higher concentration, supports the mechanical observations, demonstrating that EPM enhances strength without excessive densification. In contrast, the stronger porosity loss associated with xanthan gum aligns with its pronounced compressive strengthening and increased heterogeneity, indicative of over-consolidation. Together, the porosity and strength data establish a mechanistic link between polymer chemistry, pore-scale restructuring, and macroscopic mechanical response.</w:t>
      </w:r>
    </w:p>
    <w:p w14:paraId="7F316AB7" w14:textId="72B43BA1" w:rsidR="00A97F8B" w:rsidRDefault="00A97F8B" w:rsidP="00A97F8B">
      <w:r>
        <w:t>Representative two-dimensional micro-CT slices provide qualitative insight into the pore-scale origin of the observed porosity trends. Untreated sand exhibits a highly open pore network dominated by large, well-connected voids and minimal fine material between grains. In contrast, both EPM- and xanthan gum-amended samples show the appearance of finer material occupying intergranular regions, consistent with partial pore filling and particle rearrangement. Notably, EPM-treated sand retains visibly connected pore pathways, whereas xanthan gum produces more compact and spatially dense regions, particularly at higher concentration. These microstructural differences corroborate the quantitative porosity analysis and explain the distinct mechanical responses observed for the two biopolymers.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8887"/>
      </w:tblGrid>
      <w:tr w:rsidR="00D46B62" w14:paraId="7ADBFDEC" w14:textId="77777777" w:rsidTr="00D46B62">
        <w:tc>
          <w:tcPr>
            <w:tcW w:w="473" w:type="dxa"/>
          </w:tcPr>
          <w:p w14:paraId="0C7198CE" w14:textId="214A3E76" w:rsidR="005A6470" w:rsidRDefault="005A6470" w:rsidP="005A6470">
            <w:pPr>
              <w:pStyle w:val="Caption1"/>
            </w:pPr>
            <w:bookmarkStart w:id="4" w:name="OLE_LINK6"/>
            <w:r w:rsidRPr="00785A4F">
              <w:t>(a)</w:t>
            </w:r>
          </w:p>
        </w:tc>
        <w:tc>
          <w:tcPr>
            <w:tcW w:w="8887" w:type="dxa"/>
          </w:tcPr>
          <w:p w14:paraId="7CFFC2AA" w14:textId="10E1C041" w:rsidR="005A6470" w:rsidRDefault="00B83529" w:rsidP="00D46B62">
            <w:pPr>
              <w:pStyle w:val="Caption1"/>
            </w:pPr>
            <w:r>
              <w:rPr>
                <w:noProof/>
              </w:rPr>
              <w:drawing>
                <wp:inline distT="0" distB="0" distL="0" distR="0" wp14:anchorId="3F9946BE" wp14:editId="78ECFE6A">
                  <wp:extent cx="5534025" cy="2059388"/>
                  <wp:effectExtent l="0" t="0" r="15875" b="10795"/>
                  <wp:docPr id="993398470" name="Chart 1">
                    <a:extLst xmlns:a="http://schemas.openxmlformats.org/drawingml/2006/main">
                      <a:ext uri="{FF2B5EF4-FFF2-40B4-BE49-F238E27FC236}">
                        <a16:creationId xmlns:a16="http://schemas.microsoft.com/office/drawing/2014/main" id="{39A9523C-BAAC-5A45-A4CE-797200E17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D46B62" w14:paraId="657BBA3E" w14:textId="77777777" w:rsidTr="00D46B62">
        <w:tc>
          <w:tcPr>
            <w:tcW w:w="473" w:type="dxa"/>
          </w:tcPr>
          <w:p w14:paraId="64A944D6" w14:textId="2E5EF316" w:rsidR="005A6470" w:rsidRDefault="005A6470" w:rsidP="005A6470">
            <w:pPr>
              <w:pStyle w:val="Caption1"/>
            </w:pPr>
            <w:r w:rsidRPr="00785A4F">
              <w:lastRenderedPageBreak/>
              <w:t>(b)</w:t>
            </w:r>
          </w:p>
        </w:tc>
        <w:tc>
          <w:tcPr>
            <w:tcW w:w="8887" w:type="dxa"/>
          </w:tcPr>
          <w:p w14:paraId="4CC2BA8E" w14:textId="308B6CB5" w:rsidR="005A6470" w:rsidRDefault="00B83529" w:rsidP="005A6470">
            <w:pPr>
              <w:pStyle w:val="Caption1"/>
            </w:pPr>
            <w:r>
              <w:rPr>
                <w:noProof/>
              </w:rPr>
              <w:drawing>
                <wp:inline distT="0" distB="0" distL="0" distR="0" wp14:anchorId="6FD62C26" wp14:editId="36E92604">
                  <wp:extent cx="5534025" cy="1860606"/>
                  <wp:effectExtent l="0" t="0" r="15875" b="6350"/>
                  <wp:docPr id="2135294878" name="Chart 1">
                    <a:extLst xmlns:a="http://schemas.openxmlformats.org/drawingml/2006/main">
                      <a:ext uri="{FF2B5EF4-FFF2-40B4-BE49-F238E27FC236}">
                        <a16:creationId xmlns:a16="http://schemas.microsoft.com/office/drawing/2014/main" id="{00FB867E-7416-254D-B212-F34115BB7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46B62" w14:paraId="7E89146C" w14:textId="77777777" w:rsidTr="00D46B62">
        <w:tc>
          <w:tcPr>
            <w:tcW w:w="473" w:type="dxa"/>
          </w:tcPr>
          <w:p w14:paraId="3FF19529" w14:textId="19637AA2" w:rsidR="00EA5D40" w:rsidRPr="00785A4F" w:rsidRDefault="00EA5D40" w:rsidP="005A6470">
            <w:pPr>
              <w:pStyle w:val="Caption1"/>
            </w:pPr>
            <w:r>
              <w:t xml:space="preserve">(c) </w:t>
            </w:r>
          </w:p>
        </w:tc>
        <w:tc>
          <w:tcPr>
            <w:tcW w:w="8887" w:type="dxa"/>
          </w:tcPr>
          <w:p w14:paraId="31F42701" w14:textId="4F4567EF" w:rsidR="00EA5D40" w:rsidRPr="00DD488B" w:rsidRDefault="00B83529" w:rsidP="005A6470">
            <w:pPr>
              <w:pStyle w:val="Caption1"/>
            </w:pPr>
            <w:r>
              <w:rPr>
                <w:noProof/>
              </w:rPr>
              <w:drawing>
                <wp:inline distT="0" distB="0" distL="0" distR="0" wp14:anchorId="34B12E17" wp14:editId="296432C2">
                  <wp:extent cx="5534025" cy="1924215"/>
                  <wp:effectExtent l="0" t="0" r="15875" b="6350"/>
                  <wp:docPr id="325625940" name="Chart 1">
                    <a:extLst xmlns:a="http://schemas.openxmlformats.org/drawingml/2006/main">
                      <a:ext uri="{FF2B5EF4-FFF2-40B4-BE49-F238E27FC236}">
                        <a16:creationId xmlns:a16="http://schemas.microsoft.com/office/drawing/2014/main" id="{B35021C5-37AE-89AF-B6FD-4D9F126E0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D46B62" w14:paraId="627D7EDC" w14:textId="77777777" w:rsidTr="00D46B62">
        <w:tc>
          <w:tcPr>
            <w:tcW w:w="473" w:type="dxa"/>
          </w:tcPr>
          <w:p w14:paraId="58B0C1F1" w14:textId="71B2B2F2" w:rsidR="000F5850" w:rsidRDefault="000F5850" w:rsidP="005A6470">
            <w:pPr>
              <w:pStyle w:val="Caption1"/>
            </w:pPr>
            <w:r>
              <w:t>(d)</w:t>
            </w:r>
          </w:p>
        </w:tc>
        <w:tc>
          <w:tcPr>
            <w:tcW w:w="8887" w:type="dxa"/>
          </w:tcPr>
          <w:p w14:paraId="100D1F7C" w14:textId="1ABA9709" w:rsidR="000F5850" w:rsidRDefault="000F5850" w:rsidP="005A6470">
            <w:pPr>
              <w:pStyle w:val="Caption1"/>
              <w:rPr>
                <w:noProof/>
              </w:rPr>
            </w:pPr>
            <w:r w:rsidRPr="00785A4F">
              <w:rPr>
                <w:noProof/>
                <w:bdr w:val="none" w:sz="0" w:space="0" w:color="auto" w:frame="1"/>
              </w:rPr>
              <w:drawing>
                <wp:inline distT="0" distB="0" distL="0" distR="0" wp14:anchorId="0340FBD5" wp14:editId="331FB0A7">
                  <wp:extent cx="5542059" cy="3884351"/>
                  <wp:effectExtent l="0" t="0" r="0" b="1905"/>
                  <wp:docPr id="1737754519" name="Picture 2" descr="A collage of images of broken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54519" name="Picture 2" descr="A collage of images of broken glass&#10;&#10;AI-generated content may be incorrect."/>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a:fillRect/>
                          </a:stretch>
                        </pic:blipFill>
                        <pic:spPr bwMode="auto">
                          <a:xfrm>
                            <a:off x="0" y="0"/>
                            <a:ext cx="5582891" cy="39129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1991B8" w14:textId="76CF08B4" w:rsidR="00EF4071" w:rsidRDefault="00785A4F" w:rsidP="00166A9D">
      <w:pPr>
        <w:pStyle w:val="Caption1"/>
      </w:pPr>
      <w:bookmarkStart w:id="5" w:name="_Ref220746858"/>
      <w:bookmarkEnd w:id="4"/>
      <w:r w:rsidRPr="00C2005B">
        <w:rPr>
          <w:b/>
          <w:bCs/>
        </w:rPr>
        <w:t xml:space="preserve">Figure </w:t>
      </w:r>
      <w:r w:rsidR="00311A6E">
        <w:rPr>
          <w:b/>
          <w:bCs/>
        </w:rPr>
        <w:t>S</w:t>
      </w:r>
      <w:r w:rsidRPr="00C2005B">
        <w:rPr>
          <w:b/>
          <w:bCs/>
        </w:rPr>
        <w:fldChar w:fldCharType="begin"/>
      </w:r>
      <w:r w:rsidRPr="00C2005B">
        <w:rPr>
          <w:b/>
          <w:bCs/>
        </w:rPr>
        <w:instrText xml:space="preserve"> SEQ Figure \* ARABIC </w:instrText>
      </w:r>
      <w:r w:rsidRPr="00C2005B">
        <w:rPr>
          <w:b/>
          <w:bCs/>
        </w:rPr>
        <w:fldChar w:fldCharType="separate"/>
      </w:r>
      <w:r w:rsidR="00271527">
        <w:rPr>
          <w:b/>
          <w:bCs/>
          <w:noProof/>
        </w:rPr>
        <w:t>5</w:t>
      </w:r>
      <w:r w:rsidRPr="00C2005B">
        <w:rPr>
          <w:b/>
          <w:bCs/>
        </w:rPr>
        <w:fldChar w:fldCharType="end"/>
      </w:r>
      <w:bookmarkEnd w:id="5"/>
      <w:r w:rsidR="006C4F0C">
        <w:rPr>
          <w:b/>
          <w:bCs/>
        </w:rPr>
        <w:t xml:space="preserve"> |</w:t>
      </w:r>
      <w:r>
        <w:t xml:space="preserve"> </w:t>
      </w:r>
      <w:r w:rsidR="00DB1780">
        <w:rPr>
          <w:rStyle w:val="Strong"/>
        </w:rPr>
        <w:t xml:space="preserve">Effect of </w:t>
      </w:r>
      <w:r w:rsidR="00EF4071">
        <w:rPr>
          <w:rStyle w:val="Strong"/>
        </w:rPr>
        <w:t>biopolymers</w:t>
      </w:r>
      <w:r w:rsidR="00DB1780">
        <w:rPr>
          <w:rStyle w:val="Strong"/>
        </w:rPr>
        <w:t xml:space="preserve"> on sand compressi</w:t>
      </w:r>
      <w:r w:rsidR="00EF4071">
        <w:rPr>
          <w:rStyle w:val="Strong"/>
        </w:rPr>
        <w:t>on</w:t>
      </w:r>
      <w:r w:rsidR="00AB06BE">
        <w:rPr>
          <w:rStyle w:val="Strong"/>
        </w:rPr>
        <w:t xml:space="preserve"> </w:t>
      </w:r>
      <w:r w:rsidR="00EF4071">
        <w:rPr>
          <w:rStyle w:val="Strong"/>
        </w:rPr>
        <w:t>and pore-scale restructuring.</w:t>
      </w:r>
    </w:p>
    <w:p w14:paraId="047D489A" w14:textId="77777777" w:rsidR="00EF4071" w:rsidRDefault="00EA5D40" w:rsidP="00166A9D">
      <w:pPr>
        <w:pStyle w:val="Caption1"/>
      </w:pPr>
      <w:r>
        <w:lastRenderedPageBreak/>
        <w:t>(a</w:t>
      </w:r>
      <w:r w:rsidRPr="00273159">
        <w:rPr>
          <w:b/>
          <w:bCs/>
        </w:rPr>
        <w:t xml:space="preserve">) </w:t>
      </w:r>
      <w:r w:rsidR="00DB1780" w:rsidRPr="00273159">
        <w:rPr>
          <w:b/>
          <w:bCs/>
        </w:rPr>
        <w:t>Unconfined compressive strength of sand amended with EPM</w:t>
      </w:r>
      <w:r w:rsidR="00DB1780">
        <w:t xml:space="preserve"> at 0</w:t>
      </w:r>
      <w:r w:rsidR="00B66737">
        <w:t xml:space="preserve"> (control)</w:t>
      </w:r>
      <w:r w:rsidR="00DB1780">
        <w:t xml:space="preserve">, 125, and 500 mg L⁻¹ after 1, 2, and 3 days of curing (silt = 0%). Bars represent mean values and error bars denote standard deviation. EPM produces a moderate, curing-dependent increase in strength, with limited densification at intermediate concentration. </w:t>
      </w:r>
    </w:p>
    <w:p w14:paraId="0051B4C2" w14:textId="61875750" w:rsidR="00EF4071" w:rsidRDefault="00EA5D40" w:rsidP="00166A9D">
      <w:pPr>
        <w:pStyle w:val="Caption1"/>
      </w:pPr>
      <w:r>
        <w:t xml:space="preserve">(b) </w:t>
      </w:r>
      <w:r w:rsidR="00DB1780" w:rsidRPr="00273159">
        <w:rPr>
          <w:b/>
          <w:bCs/>
        </w:rPr>
        <w:t>Unconfined compressive strength of sand amended with xanthan gum</w:t>
      </w:r>
      <w:r w:rsidR="00DB1780">
        <w:t xml:space="preserve"> at 0, 125, and 500 mg L⁻¹ after 1, 2, and 3 days of curing (silt = 0%). Xanthan gum induces a stronger, concentration-dependent increase in strength compared to EPM, particularly at high concentration and longer curing times, consistent with enhanced particle bridging and matrix stiffening.</w:t>
      </w:r>
      <w:r>
        <w:t xml:space="preserve"> </w:t>
      </w:r>
    </w:p>
    <w:p w14:paraId="0C38B536" w14:textId="77777777" w:rsidR="00EF4071" w:rsidRDefault="00EA5D40" w:rsidP="00166A9D">
      <w:pPr>
        <w:pStyle w:val="Caption1"/>
      </w:pPr>
      <w:r>
        <w:t xml:space="preserve">(c) </w:t>
      </w:r>
      <w:r w:rsidRPr="00273159">
        <w:rPr>
          <w:b/>
          <w:bCs/>
        </w:rPr>
        <w:t>Total porosity</w:t>
      </w:r>
      <w:r>
        <w:t xml:space="preserve"> of untreated sand and sand amended with EPM or xanthan gum at 125 and 500 mg L⁻¹ (silt = 0%), calculated from three-dimensional X-ray micro–computed tomography reconstructions. </w:t>
      </w:r>
    </w:p>
    <w:p w14:paraId="20FAB386" w14:textId="06325345" w:rsidR="000D7BCD" w:rsidRPr="00C417B9" w:rsidRDefault="00EA5D40" w:rsidP="005E6D63">
      <w:pPr>
        <w:pStyle w:val="Caption1"/>
      </w:pPr>
      <w:r>
        <w:t xml:space="preserve">(d) </w:t>
      </w:r>
      <w:r w:rsidR="000F5850" w:rsidRPr="00273159">
        <w:rPr>
          <w:b/>
          <w:bCs/>
        </w:rPr>
        <w:t>Representative two-dimensional micro-CT slices</w:t>
      </w:r>
      <w:r w:rsidR="000F5850">
        <w:t xml:space="preserve"> illustrating pore-scale morphology for control sand (column 1), EPM-amended sand (column 2), and xanthan gum–amended sand (column 3), at 125 mg L⁻¹ (row 1) and 500 mg L⁻¹ (row 2). Control samples exhibit a highly porous framework dominated by coarse sand grains, whereas biopolymer-amended samples show increased presence of fine material between grains, with xanthan gum producing denser and less connected pore structures than EPM.</w:t>
      </w:r>
    </w:p>
    <w:p w14:paraId="3B568C5A" w14:textId="2B095B27" w:rsidR="0090093F" w:rsidRDefault="00A545B5" w:rsidP="0090093F">
      <w:pPr>
        <w:pStyle w:val="Heading2"/>
        <w:rPr>
          <w:bCs/>
        </w:rPr>
      </w:pPr>
      <w:r>
        <w:t>S</w:t>
      </w:r>
      <w:r w:rsidR="00A40E05">
        <w:t>3</w:t>
      </w:r>
      <w:r>
        <w:t xml:space="preserve">. </w:t>
      </w:r>
      <w:r w:rsidR="0090093F">
        <w:t xml:space="preserve">Growth of </w:t>
      </w:r>
      <w:r w:rsidR="00463C6C">
        <w:t>B</w:t>
      </w:r>
      <w:r w:rsidR="0090093F">
        <w:t xml:space="preserve">armuda </w:t>
      </w:r>
      <w:r w:rsidR="00E27CE7">
        <w:t>g</w:t>
      </w:r>
      <w:r w:rsidR="0090093F">
        <w:t xml:space="preserve">rass with </w:t>
      </w:r>
      <w:r w:rsidR="00E27CE7">
        <w:t>b</w:t>
      </w:r>
      <w:r w:rsidR="0090093F">
        <w:t>iopolymers</w:t>
      </w:r>
      <w:r w:rsidR="00E27CE7">
        <w:t xml:space="preserve"> in sand</w:t>
      </w:r>
    </w:p>
    <w:p w14:paraId="5DA219F9" w14:textId="3C370F5F" w:rsidR="00B61AF1" w:rsidRDefault="00223C92" w:rsidP="00BB778D">
      <w:r w:rsidRPr="00A92F84">
        <w:t>To facilitate comparison across plant traits, biomass values were normalized to the control mean</w:t>
      </w:r>
      <w:r>
        <w:t xml:space="preserve"> (</w:t>
      </w:r>
      <w:r>
        <w:rPr>
          <w:b/>
          <w:bCs/>
        </w:rPr>
        <w:fldChar w:fldCharType="begin"/>
      </w:r>
      <w:r>
        <w:instrText xml:space="preserve"> REF _Ref220854687 \h </w:instrText>
      </w:r>
      <w:r>
        <w:rPr>
          <w:b/>
          <w:bCs/>
        </w:rPr>
      </w:r>
      <w:r>
        <w:rPr>
          <w:b/>
          <w:bCs/>
        </w:rPr>
        <w:fldChar w:fldCharType="separate"/>
      </w:r>
      <w:r w:rsidR="00271527" w:rsidRPr="001A6E76">
        <w:rPr>
          <w:b/>
          <w:bCs/>
        </w:rPr>
        <w:t xml:space="preserve">Table </w:t>
      </w:r>
      <w:r w:rsidR="00271527">
        <w:rPr>
          <w:b/>
          <w:bCs/>
        </w:rPr>
        <w:t>S</w:t>
      </w:r>
      <w:r w:rsidR="00271527">
        <w:rPr>
          <w:b/>
          <w:bCs/>
          <w:noProof/>
        </w:rPr>
        <w:t>1</w:t>
      </w:r>
      <w:r>
        <w:rPr>
          <w:b/>
          <w:bCs/>
        </w:rPr>
        <w:fldChar w:fldCharType="end"/>
      </w:r>
      <w:r>
        <w:t>)</w:t>
      </w:r>
      <w:r w:rsidRPr="00A92F84">
        <w:t>. EPM-treated plants exhibited a 4.5-fold increase in total biomass, driven by a 3.9-fold increase in root mass and a 5.5-fold increase in shoot mass, while XG-treated plants remained comparable to the control across all metrics. Despite substantial increases in absolute biomass, the shoot-to-root mass ratio remained close to unity under EPM treatment, indicating proportional enhancement of above- and below-ground growth rather than a shift in biomass allocation. The relatively large standard deviations reflect biological variability in individual plant growth, consistent with the broad distributions observed in the raw data.</w:t>
      </w:r>
    </w:p>
    <w:p w14:paraId="154AF85D" w14:textId="4BB8359D" w:rsidR="003C1CEC" w:rsidRPr="001A6E76" w:rsidRDefault="003C1CEC" w:rsidP="003C1CEC">
      <w:pPr>
        <w:pStyle w:val="Caption1"/>
        <w:rPr>
          <w:b/>
          <w:bCs/>
        </w:rPr>
      </w:pPr>
      <w:bookmarkStart w:id="6" w:name="_Ref220854687"/>
      <w:r w:rsidRPr="001A6E76">
        <w:rPr>
          <w:b/>
          <w:bCs/>
        </w:rPr>
        <w:t xml:space="preserve">Table </w:t>
      </w:r>
      <w:r w:rsidR="00600DAC">
        <w:rPr>
          <w:b/>
          <w:bCs/>
        </w:rPr>
        <w:t>S</w:t>
      </w:r>
      <w:r w:rsidRPr="001A6E76">
        <w:rPr>
          <w:b/>
          <w:bCs/>
        </w:rPr>
        <w:fldChar w:fldCharType="begin"/>
      </w:r>
      <w:r w:rsidRPr="001A6E76">
        <w:rPr>
          <w:b/>
          <w:bCs/>
        </w:rPr>
        <w:instrText xml:space="preserve"> SEQ Table \* ARABIC </w:instrText>
      </w:r>
      <w:r w:rsidRPr="001A6E76">
        <w:rPr>
          <w:b/>
          <w:bCs/>
        </w:rPr>
        <w:fldChar w:fldCharType="separate"/>
      </w:r>
      <w:r w:rsidR="00271527">
        <w:rPr>
          <w:b/>
          <w:bCs/>
          <w:noProof/>
        </w:rPr>
        <w:t>1</w:t>
      </w:r>
      <w:r w:rsidRPr="001A6E76">
        <w:rPr>
          <w:b/>
          <w:bCs/>
        </w:rPr>
        <w:fldChar w:fldCharType="end"/>
      </w:r>
      <w:bookmarkEnd w:id="6"/>
      <w:r>
        <w:rPr>
          <w:b/>
          <w:bCs/>
        </w:rPr>
        <w:t xml:space="preserve"> </w:t>
      </w:r>
      <w:r w:rsidRPr="001A6E76">
        <w:rPr>
          <w:b/>
          <w:bCs/>
        </w:rPr>
        <w:t>| Relative growth metrics of Bermuda grass in biopolymer-amended sand</w:t>
      </w:r>
      <w:r>
        <w:rPr>
          <w:b/>
          <w:bCs/>
        </w:rPr>
        <w:t xml:space="preserve"> (</w:t>
      </w:r>
      <w:r w:rsidRPr="0024665D">
        <w:rPr>
          <w:b/>
          <w:bCs/>
        </w:rPr>
        <w:t xml:space="preserve">125 </w:t>
      </w:r>
      <w:r w:rsidR="008D077B">
        <w:rPr>
          <w:b/>
          <w:bCs/>
        </w:rPr>
        <w:t>mg L⁻</w:t>
      </w:r>
      <w:proofErr w:type="gramStart"/>
      <w:r w:rsidR="008D077B">
        <w:rPr>
          <w:b/>
          <w:bCs/>
        </w:rPr>
        <w:t xml:space="preserve">¹ </w:t>
      </w:r>
      <w:r>
        <w:rPr>
          <w:b/>
          <w:bCs/>
        </w:rPr>
        <w:t>)</w:t>
      </w:r>
      <w:proofErr w:type="gramEnd"/>
      <w:r>
        <w:rPr>
          <w:b/>
          <w:bCs/>
        </w:rPr>
        <w:t xml:space="preserve">. </w:t>
      </w:r>
      <w:r>
        <w:t xml:space="preserve">Values represent fold change relative to the control mean (mean ± </w:t>
      </w:r>
      <w:proofErr w:type="spellStart"/>
      <w:r>
        <w:t>s.d.</w:t>
      </w:r>
      <w:proofErr w:type="spellEnd"/>
      <w:r>
        <w:t xml:space="preserve">). </w:t>
      </w:r>
    </w:p>
    <w:tbl>
      <w:tblPr>
        <w:tblStyle w:val="PlainTable5"/>
        <w:tblW w:w="9308" w:type="dxa"/>
        <w:tblLook w:val="04A0" w:firstRow="1" w:lastRow="0" w:firstColumn="1" w:lastColumn="0" w:noHBand="0" w:noVBand="1"/>
      </w:tblPr>
      <w:tblGrid>
        <w:gridCol w:w="2149"/>
        <w:gridCol w:w="2165"/>
        <w:gridCol w:w="2531"/>
        <w:gridCol w:w="2463"/>
      </w:tblGrid>
      <w:tr w:rsidR="003C1CEC" w:rsidRPr="001A6E76" w14:paraId="1E4C6E77" w14:textId="77777777" w:rsidTr="00E0276B">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2115" w:type="dxa"/>
            <w:tcBorders>
              <w:top w:val="single" w:sz="4" w:space="0" w:color="auto"/>
            </w:tcBorders>
            <w:hideMark/>
          </w:tcPr>
          <w:p w14:paraId="7826B291" w14:textId="77777777" w:rsidR="003C1CEC" w:rsidRPr="001A6E76" w:rsidRDefault="003C1CEC" w:rsidP="00E0276B">
            <w:pPr>
              <w:pStyle w:val="Caption1"/>
              <w:jc w:val="center"/>
              <w:rPr>
                <w:rFonts w:ascii="Times New Roman" w:hAnsi="Times New Roman"/>
                <w:b/>
                <w:bCs/>
              </w:rPr>
            </w:pPr>
            <w:r w:rsidRPr="001A6E76">
              <w:rPr>
                <w:rFonts w:ascii="Times New Roman" w:hAnsi="Times New Roman"/>
                <w:b/>
                <w:bCs/>
              </w:rPr>
              <w:t>Metric</w:t>
            </w:r>
          </w:p>
        </w:tc>
        <w:tc>
          <w:tcPr>
            <w:tcW w:w="2130" w:type="dxa"/>
            <w:tcBorders>
              <w:top w:val="single" w:sz="4" w:space="0" w:color="auto"/>
            </w:tcBorders>
            <w:hideMark/>
          </w:tcPr>
          <w:p w14:paraId="7F9D5A03" w14:textId="77777777" w:rsidR="003C1CEC" w:rsidRPr="001A6E76" w:rsidRDefault="003C1CEC" w:rsidP="00E0276B">
            <w:pPr>
              <w:pStyle w:val="Caption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r w:rsidRPr="001A6E76">
              <w:rPr>
                <w:rFonts w:ascii="Times New Roman" w:hAnsi="Times New Roman"/>
                <w:b/>
                <w:bCs/>
              </w:rPr>
              <w:t>Control</w:t>
            </w:r>
          </w:p>
        </w:tc>
        <w:tc>
          <w:tcPr>
            <w:tcW w:w="2490" w:type="dxa"/>
            <w:tcBorders>
              <w:top w:val="single" w:sz="4" w:space="0" w:color="auto"/>
            </w:tcBorders>
            <w:hideMark/>
          </w:tcPr>
          <w:p w14:paraId="52931029" w14:textId="77777777" w:rsidR="003C1CEC" w:rsidRPr="001A6E76" w:rsidRDefault="003C1CEC" w:rsidP="00E0276B">
            <w:pPr>
              <w:pStyle w:val="Caption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r w:rsidRPr="001A6E76">
              <w:rPr>
                <w:rFonts w:ascii="Times New Roman" w:hAnsi="Times New Roman"/>
                <w:b/>
                <w:bCs/>
              </w:rPr>
              <w:t>EPM (relative to control)</w:t>
            </w:r>
            <w:r>
              <w:rPr>
                <w:rFonts w:ascii="Times New Roman" w:hAnsi="Times New Roman"/>
                <w:b/>
                <w:bCs/>
              </w:rPr>
              <w:t xml:space="preserve"> </w:t>
            </w:r>
          </w:p>
        </w:tc>
        <w:tc>
          <w:tcPr>
            <w:tcW w:w="2423" w:type="dxa"/>
            <w:tcBorders>
              <w:top w:val="single" w:sz="4" w:space="0" w:color="auto"/>
            </w:tcBorders>
            <w:hideMark/>
          </w:tcPr>
          <w:p w14:paraId="6EDFE476" w14:textId="77777777" w:rsidR="003C1CEC" w:rsidRPr="001A6E76" w:rsidRDefault="003C1CEC" w:rsidP="00E0276B">
            <w:pPr>
              <w:pStyle w:val="Caption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r w:rsidRPr="001A6E76">
              <w:rPr>
                <w:rFonts w:ascii="Times New Roman" w:hAnsi="Times New Roman"/>
                <w:b/>
                <w:bCs/>
              </w:rPr>
              <w:t>XG (relative to control)</w:t>
            </w:r>
          </w:p>
        </w:tc>
      </w:tr>
      <w:tr w:rsidR="003C1CEC" w:rsidRPr="001A6E76" w14:paraId="7CD4A565" w14:textId="77777777" w:rsidTr="00E02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15" w:type="dxa"/>
            <w:hideMark/>
          </w:tcPr>
          <w:p w14:paraId="75369EC6" w14:textId="77777777" w:rsidR="003C1CEC" w:rsidRPr="001A6E76" w:rsidRDefault="003C1CEC" w:rsidP="00E0276B">
            <w:pPr>
              <w:pStyle w:val="Caption1"/>
              <w:jc w:val="left"/>
              <w:rPr>
                <w:rFonts w:ascii="Times New Roman" w:hAnsi="Times New Roman"/>
                <w:b/>
                <w:bCs/>
              </w:rPr>
            </w:pPr>
            <w:r w:rsidRPr="001A6E76">
              <w:rPr>
                <w:rFonts w:ascii="Times New Roman" w:hAnsi="Times New Roman"/>
                <w:b/>
                <w:bCs/>
              </w:rPr>
              <w:t>Plant mass</w:t>
            </w:r>
          </w:p>
        </w:tc>
        <w:tc>
          <w:tcPr>
            <w:tcW w:w="2130" w:type="dxa"/>
            <w:hideMark/>
          </w:tcPr>
          <w:p w14:paraId="4B760013" w14:textId="77777777" w:rsidR="003C1CEC" w:rsidRPr="001A6E76" w:rsidRDefault="003C1CEC" w:rsidP="00E0276B">
            <w:pPr>
              <w:pStyle w:val="Caption1"/>
              <w:cnfStyle w:val="000000100000" w:firstRow="0" w:lastRow="0" w:firstColumn="0" w:lastColumn="0" w:oddVBand="0" w:evenVBand="0" w:oddHBand="1" w:evenHBand="0" w:firstRowFirstColumn="0" w:firstRowLastColumn="0" w:lastRowFirstColumn="0" w:lastRowLastColumn="0"/>
            </w:pPr>
            <w:r w:rsidRPr="001A6E76">
              <w:t>1.00 ± 1.33</w:t>
            </w:r>
          </w:p>
        </w:tc>
        <w:tc>
          <w:tcPr>
            <w:tcW w:w="2490" w:type="dxa"/>
            <w:hideMark/>
          </w:tcPr>
          <w:p w14:paraId="08EDB332" w14:textId="77777777" w:rsidR="003C1CEC" w:rsidRPr="001A6E76" w:rsidRDefault="003C1CEC" w:rsidP="00E0276B">
            <w:pPr>
              <w:pStyle w:val="Caption1"/>
              <w:cnfStyle w:val="000000100000" w:firstRow="0" w:lastRow="0" w:firstColumn="0" w:lastColumn="0" w:oddVBand="0" w:evenVBand="0" w:oddHBand="1" w:evenHBand="0" w:firstRowFirstColumn="0" w:firstRowLastColumn="0" w:lastRowFirstColumn="0" w:lastRowLastColumn="0"/>
            </w:pPr>
            <w:r w:rsidRPr="001A6E76">
              <w:t>4.55 ± 1.80</w:t>
            </w:r>
          </w:p>
        </w:tc>
        <w:tc>
          <w:tcPr>
            <w:tcW w:w="2423" w:type="dxa"/>
            <w:hideMark/>
          </w:tcPr>
          <w:p w14:paraId="220033EC" w14:textId="77777777" w:rsidR="003C1CEC" w:rsidRPr="001A6E76" w:rsidRDefault="003C1CEC" w:rsidP="00E0276B">
            <w:pPr>
              <w:pStyle w:val="Caption1"/>
              <w:cnfStyle w:val="000000100000" w:firstRow="0" w:lastRow="0" w:firstColumn="0" w:lastColumn="0" w:oddVBand="0" w:evenVBand="0" w:oddHBand="1" w:evenHBand="0" w:firstRowFirstColumn="0" w:firstRowLastColumn="0" w:lastRowFirstColumn="0" w:lastRowLastColumn="0"/>
            </w:pPr>
            <w:r w:rsidRPr="001A6E76">
              <w:t>1.01 ± 1.01</w:t>
            </w:r>
          </w:p>
        </w:tc>
      </w:tr>
      <w:tr w:rsidR="003C1CEC" w:rsidRPr="001A6E76" w14:paraId="7EF68687" w14:textId="77777777" w:rsidTr="00E0276B">
        <w:trPr>
          <w:trHeight w:val="296"/>
        </w:trPr>
        <w:tc>
          <w:tcPr>
            <w:cnfStyle w:val="001000000000" w:firstRow="0" w:lastRow="0" w:firstColumn="1" w:lastColumn="0" w:oddVBand="0" w:evenVBand="0" w:oddHBand="0" w:evenHBand="0" w:firstRowFirstColumn="0" w:firstRowLastColumn="0" w:lastRowFirstColumn="0" w:lastRowLastColumn="0"/>
            <w:tcW w:w="2115" w:type="dxa"/>
            <w:hideMark/>
          </w:tcPr>
          <w:p w14:paraId="04DA0A88" w14:textId="77777777" w:rsidR="003C1CEC" w:rsidRPr="001A6E76" w:rsidRDefault="003C1CEC" w:rsidP="00E0276B">
            <w:pPr>
              <w:pStyle w:val="Caption1"/>
              <w:jc w:val="left"/>
              <w:rPr>
                <w:rFonts w:ascii="Times New Roman" w:hAnsi="Times New Roman"/>
                <w:b/>
                <w:bCs/>
              </w:rPr>
            </w:pPr>
            <w:r w:rsidRPr="001A6E76">
              <w:rPr>
                <w:rFonts w:ascii="Times New Roman" w:hAnsi="Times New Roman"/>
                <w:b/>
                <w:bCs/>
              </w:rPr>
              <w:t>Root mass</w:t>
            </w:r>
          </w:p>
        </w:tc>
        <w:tc>
          <w:tcPr>
            <w:tcW w:w="2130" w:type="dxa"/>
            <w:hideMark/>
          </w:tcPr>
          <w:p w14:paraId="3BD2BA08" w14:textId="77777777" w:rsidR="003C1CEC" w:rsidRPr="001A6E76" w:rsidRDefault="003C1CEC" w:rsidP="00E0276B">
            <w:pPr>
              <w:pStyle w:val="Caption1"/>
              <w:cnfStyle w:val="000000000000" w:firstRow="0" w:lastRow="0" w:firstColumn="0" w:lastColumn="0" w:oddVBand="0" w:evenVBand="0" w:oddHBand="0" w:evenHBand="0" w:firstRowFirstColumn="0" w:firstRowLastColumn="0" w:lastRowFirstColumn="0" w:lastRowLastColumn="0"/>
            </w:pPr>
            <w:r w:rsidRPr="001A6E76">
              <w:t>1.00 ± 1.36</w:t>
            </w:r>
          </w:p>
        </w:tc>
        <w:tc>
          <w:tcPr>
            <w:tcW w:w="2490" w:type="dxa"/>
            <w:hideMark/>
          </w:tcPr>
          <w:p w14:paraId="1E378858" w14:textId="77777777" w:rsidR="003C1CEC" w:rsidRPr="001A6E76" w:rsidRDefault="003C1CEC" w:rsidP="00E0276B">
            <w:pPr>
              <w:pStyle w:val="Caption1"/>
              <w:cnfStyle w:val="000000000000" w:firstRow="0" w:lastRow="0" w:firstColumn="0" w:lastColumn="0" w:oddVBand="0" w:evenVBand="0" w:oddHBand="0" w:evenHBand="0" w:firstRowFirstColumn="0" w:firstRowLastColumn="0" w:lastRowFirstColumn="0" w:lastRowLastColumn="0"/>
            </w:pPr>
            <w:r w:rsidRPr="001A6E76">
              <w:t>3.89 ± 1.91</w:t>
            </w:r>
          </w:p>
        </w:tc>
        <w:tc>
          <w:tcPr>
            <w:tcW w:w="2423" w:type="dxa"/>
            <w:hideMark/>
          </w:tcPr>
          <w:p w14:paraId="53765DBA" w14:textId="77777777" w:rsidR="003C1CEC" w:rsidRPr="001A6E76" w:rsidRDefault="003C1CEC" w:rsidP="00E0276B">
            <w:pPr>
              <w:pStyle w:val="Caption1"/>
              <w:cnfStyle w:val="000000000000" w:firstRow="0" w:lastRow="0" w:firstColumn="0" w:lastColumn="0" w:oddVBand="0" w:evenVBand="0" w:oddHBand="0" w:evenHBand="0" w:firstRowFirstColumn="0" w:firstRowLastColumn="0" w:lastRowFirstColumn="0" w:lastRowLastColumn="0"/>
            </w:pPr>
            <w:r w:rsidRPr="001A6E76">
              <w:t>0.98 ± 0.91</w:t>
            </w:r>
          </w:p>
        </w:tc>
      </w:tr>
      <w:tr w:rsidR="003C1CEC" w:rsidRPr="001A6E76" w14:paraId="4CFA7C45" w14:textId="77777777" w:rsidTr="00E02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15" w:type="dxa"/>
            <w:hideMark/>
          </w:tcPr>
          <w:p w14:paraId="5293E0B4" w14:textId="77777777" w:rsidR="003C1CEC" w:rsidRPr="001A6E76" w:rsidRDefault="003C1CEC" w:rsidP="00E0276B">
            <w:pPr>
              <w:pStyle w:val="Caption1"/>
              <w:jc w:val="left"/>
              <w:rPr>
                <w:rFonts w:ascii="Times New Roman" w:hAnsi="Times New Roman"/>
                <w:b/>
                <w:bCs/>
              </w:rPr>
            </w:pPr>
            <w:r w:rsidRPr="001A6E76">
              <w:rPr>
                <w:rFonts w:ascii="Times New Roman" w:hAnsi="Times New Roman"/>
                <w:b/>
                <w:bCs/>
              </w:rPr>
              <w:t>Shoot mass</w:t>
            </w:r>
          </w:p>
        </w:tc>
        <w:tc>
          <w:tcPr>
            <w:tcW w:w="2130" w:type="dxa"/>
            <w:hideMark/>
          </w:tcPr>
          <w:p w14:paraId="0E203661" w14:textId="77777777" w:rsidR="003C1CEC" w:rsidRPr="001A6E76" w:rsidRDefault="003C1CEC" w:rsidP="00E0276B">
            <w:pPr>
              <w:pStyle w:val="Caption1"/>
              <w:cnfStyle w:val="000000100000" w:firstRow="0" w:lastRow="0" w:firstColumn="0" w:lastColumn="0" w:oddVBand="0" w:evenVBand="0" w:oddHBand="1" w:evenHBand="0" w:firstRowFirstColumn="0" w:firstRowLastColumn="0" w:lastRowFirstColumn="0" w:lastRowLastColumn="0"/>
            </w:pPr>
            <w:r w:rsidRPr="001A6E76">
              <w:t>1.00 ± 1.30</w:t>
            </w:r>
          </w:p>
        </w:tc>
        <w:tc>
          <w:tcPr>
            <w:tcW w:w="2490" w:type="dxa"/>
            <w:hideMark/>
          </w:tcPr>
          <w:p w14:paraId="04D2EAAD" w14:textId="77777777" w:rsidR="003C1CEC" w:rsidRPr="001A6E76" w:rsidRDefault="003C1CEC" w:rsidP="00E0276B">
            <w:pPr>
              <w:pStyle w:val="Caption1"/>
              <w:cnfStyle w:val="000000100000" w:firstRow="0" w:lastRow="0" w:firstColumn="0" w:lastColumn="0" w:oddVBand="0" w:evenVBand="0" w:oddHBand="1" w:evenHBand="0" w:firstRowFirstColumn="0" w:firstRowLastColumn="0" w:lastRowFirstColumn="0" w:lastRowLastColumn="0"/>
            </w:pPr>
            <w:r w:rsidRPr="001A6E76">
              <w:t>5.55 ± 2.30</w:t>
            </w:r>
          </w:p>
        </w:tc>
        <w:tc>
          <w:tcPr>
            <w:tcW w:w="2423" w:type="dxa"/>
            <w:hideMark/>
          </w:tcPr>
          <w:p w14:paraId="2A81B49C" w14:textId="77777777" w:rsidR="003C1CEC" w:rsidRPr="001A6E76" w:rsidRDefault="003C1CEC" w:rsidP="00E0276B">
            <w:pPr>
              <w:pStyle w:val="Caption1"/>
              <w:cnfStyle w:val="000000100000" w:firstRow="0" w:lastRow="0" w:firstColumn="0" w:lastColumn="0" w:oddVBand="0" w:evenVBand="0" w:oddHBand="1" w:evenHBand="0" w:firstRowFirstColumn="0" w:firstRowLastColumn="0" w:lastRowFirstColumn="0" w:lastRowLastColumn="0"/>
            </w:pPr>
            <w:r w:rsidRPr="001A6E76">
              <w:t>1.07 ± 1.23</w:t>
            </w:r>
          </w:p>
        </w:tc>
      </w:tr>
      <w:tr w:rsidR="003C1CEC" w:rsidRPr="001A6E76" w14:paraId="6F457809" w14:textId="77777777" w:rsidTr="00E0276B">
        <w:trPr>
          <w:trHeight w:val="308"/>
        </w:trPr>
        <w:tc>
          <w:tcPr>
            <w:cnfStyle w:val="001000000000" w:firstRow="0" w:lastRow="0" w:firstColumn="1" w:lastColumn="0" w:oddVBand="0" w:evenVBand="0" w:oddHBand="0" w:evenHBand="0" w:firstRowFirstColumn="0" w:firstRowLastColumn="0" w:lastRowFirstColumn="0" w:lastRowLastColumn="0"/>
            <w:tcW w:w="2115" w:type="dxa"/>
            <w:tcBorders>
              <w:bottom w:val="single" w:sz="4" w:space="0" w:color="auto"/>
            </w:tcBorders>
            <w:hideMark/>
          </w:tcPr>
          <w:p w14:paraId="407E345D" w14:textId="77777777" w:rsidR="003C1CEC" w:rsidRPr="001A6E76" w:rsidRDefault="003C1CEC" w:rsidP="00E0276B">
            <w:pPr>
              <w:pStyle w:val="Caption1"/>
              <w:jc w:val="left"/>
              <w:rPr>
                <w:rFonts w:ascii="Times New Roman" w:hAnsi="Times New Roman"/>
                <w:b/>
                <w:bCs/>
              </w:rPr>
            </w:pPr>
            <w:proofErr w:type="spellStart"/>
            <w:r w:rsidRPr="001A6E76">
              <w:rPr>
                <w:rFonts w:ascii="Times New Roman" w:hAnsi="Times New Roman"/>
                <w:b/>
                <w:bCs/>
              </w:rPr>
              <w:t>Shoot:root</w:t>
            </w:r>
            <w:proofErr w:type="spellEnd"/>
            <w:r w:rsidRPr="001A6E76">
              <w:rPr>
                <w:rFonts w:ascii="Times New Roman" w:hAnsi="Times New Roman"/>
                <w:b/>
                <w:bCs/>
              </w:rPr>
              <w:t xml:space="preserve"> ratio</w:t>
            </w:r>
          </w:p>
        </w:tc>
        <w:tc>
          <w:tcPr>
            <w:tcW w:w="2130" w:type="dxa"/>
            <w:tcBorders>
              <w:bottom w:val="single" w:sz="4" w:space="0" w:color="auto"/>
            </w:tcBorders>
            <w:hideMark/>
          </w:tcPr>
          <w:p w14:paraId="44ABB0B2" w14:textId="77777777" w:rsidR="003C1CEC" w:rsidRPr="001A6E76" w:rsidRDefault="003C1CEC" w:rsidP="00E0276B">
            <w:pPr>
              <w:pStyle w:val="Caption1"/>
              <w:cnfStyle w:val="000000000000" w:firstRow="0" w:lastRow="0" w:firstColumn="0" w:lastColumn="0" w:oddVBand="0" w:evenVBand="0" w:oddHBand="0" w:evenHBand="0" w:firstRowFirstColumn="0" w:firstRowLastColumn="0" w:lastRowFirstColumn="0" w:lastRowLastColumn="0"/>
            </w:pPr>
            <w:r w:rsidRPr="001A6E76">
              <w:t>1.00 ± 0.71</w:t>
            </w:r>
          </w:p>
        </w:tc>
        <w:tc>
          <w:tcPr>
            <w:tcW w:w="2490" w:type="dxa"/>
            <w:tcBorders>
              <w:bottom w:val="single" w:sz="4" w:space="0" w:color="auto"/>
            </w:tcBorders>
            <w:hideMark/>
          </w:tcPr>
          <w:p w14:paraId="09A67F80" w14:textId="77777777" w:rsidR="003C1CEC" w:rsidRPr="001A6E76" w:rsidRDefault="003C1CEC" w:rsidP="00E0276B">
            <w:pPr>
              <w:pStyle w:val="Caption1"/>
              <w:cnfStyle w:val="000000000000" w:firstRow="0" w:lastRow="0" w:firstColumn="0" w:lastColumn="0" w:oddVBand="0" w:evenVBand="0" w:oddHBand="0" w:evenHBand="0" w:firstRowFirstColumn="0" w:firstRowLastColumn="0" w:lastRowFirstColumn="0" w:lastRowLastColumn="0"/>
            </w:pPr>
            <w:r w:rsidRPr="001A6E76">
              <w:t>1.18 ± 0.40</w:t>
            </w:r>
          </w:p>
        </w:tc>
        <w:tc>
          <w:tcPr>
            <w:tcW w:w="2423" w:type="dxa"/>
            <w:tcBorders>
              <w:bottom w:val="single" w:sz="4" w:space="0" w:color="auto"/>
            </w:tcBorders>
            <w:hideMark/>
          </w:tcPr>
          <w:p w14:paraId="5375F504" w14:textId="77777777" w:rsidR="003C1CEC" w:rsidRPr="001A6E76" w:rsidRDefault="003C1CEC" w:rsidP="00E0276B">
            <w:pPr>
              <w:pStyle w:val="Caption1"/>
              <w:cnfStyle w:val="000000000000" w:firstRow="0" w:lastRow="0" w:firstColumn="0" w:lastColumn="0" w:oddVBand="0" w:evenVBand="0" w:oddHBand="0" w:evenHBand="0" w:firstRowFirstColumn="0" w:firstRowLastColumn="0" w:lastRowFirstColumn="0" w:lastRowLastColumn="0"/>
            </w:pPr>
            <w:r w:rsidRPr="001A6E76">
              <w:t>0.95 ± 0.75</w:t>
            </w:r>
          </w:p>
        </w:tc>
      </w:tr>
    </w:tbl>
    <w:p w14:paraId="4A2E3DF8" w14:textId="7234B54E" w:rsidR="00E27CE7" w:rsidRPr="00E27CE7" w:rsidRDefault="00223C92" w:rsidP="00E27CE7">
      <w:pPr>
        <w:pStyle w:val="Heading2"/>
      </w:pPr>
      <w:bookmarkStart w:id="7" w:name="OLE_LINK1"/>
      <w:r>
        <w:t>S</w:t>
      </w:r>
      <w:r w:rsidR="00A40E05">
        <w:t>4</w:t>
      </w:r>
      <w:r>
        <w:t xml:space="preserve">. </w:t>
      </w:r>
      <w:r w:rsidR="00E27CE7">
        <w:t>Growth of beans with biopolymers in garden soil</w:t>
      </w:r>
    </w:p>
    <w:p w14:paraId="61490D95" w14:textId="24929657" w:rsidR="00377930" w:rsidRPr="00377930" w:rsidRDefault="00377930" w:rsidP="00377930">
      <w:pPr>
        <w:rPr>
          <w:lang w:bidi="bn-IN"/>
        </w:rPr>
      </w:pPr>
      <w:r w:rsidRPr="00377930">
        <w:rPr>
          <w:lang w:bidi="bn-IN"/>
        </w:rPr>
        <w:t xml:space="preserve">XRF analysis of bean pods revealed that EPM application was associated with increased accumulation of several nutritionally important mineral elements </w:t>
      </w:r>
      <w:r w:rsidRPr="00D22660">
        <w:t>(</w:t>
      </w:r>
      <w:r>
        <w:fldChar w:fldCharType="begin"/>
      </w:r>
      <w:r>
        <w:instrText xml:space="preserve"> REF _Ref221630977 \h </w:instrText>
      </w:r>
      <w:r>
        <w:fldChar w:fldCharType="separate"/>
      </w:r>
      <w:r w:rsidR="00271527" w:rsidRPr="00E27CE7">
        <w:rPr>
          <w:b/>
          <w:bCs/>
        </w:rPr>
        <w:t>Figure S</w:t>
      </w:r>
      <w:r w:rsidR="00271527">
        <w:rPr>
          <w:b/>
          <w:bCs/>
          <w:noProof/>
        </w:rPr>
        <w:t>6</w:t>
      </w:r>
      <w:r>
        <w:fldChar w:fldCharType="end"/>
      </w:r>
      <w:r w:rsidRPr="00D22660">
        <w:t>)</w:t>
      </w:r>
      <w:r w:rsidRPr="00377930">
        <w:rPr>
          <w:lang w:bidi="bn-IN"/>
        </w:rPr>
        <w:t xml:space="preserve">. Calcium concentrations increased with EPM addition, reaching a maximum at 100 </w:t>
      </w:r>
      <w:r w:rsidR="008D077B">
        <w:rPr>
          <w:lang w:bidi="bn-IN"/>
        </w:rPr>
        <w:t>mg L⁻</w:t>
      </w:r>
      <w:proofErr w:type="gramStart"/>
      <w:r w:rsidR="008D077B">
        <w:rPr>
          <w:lang w:bidi="bn-IN"/>
        </w:rPr>
        <w:t xml:space="preserve">¹ </w:t>
      </w:r>
      <w:r w:rsidRPr="00377930">
        <w:rPr>
          <w:lang w:bidi="bn-IN"/>
        </w:rPr>
        <w:t xml:space="preserve"> and</w:t>
      </w:r>
      <w:proofErr w:type="gramEnd"/>
      <w:r w:rsidRPr="00377930">
        <w:rPr>
          <w:lang w:bidi="bn-IN"/>
        </w:rPr>
        <w:t xml:space="preserve"> remaining elevated at 500 </w:t>
      </w:r>
      <w:r w:rsidR="008D077B">
        <w:rPr>
          <w:lang w:bidi="bn-IN"/>
        </w:rPr>
        <w:t>mg L⁻</w:t>
      </w:r>
      <w:proofErr w:type="gramStart"/>
      <w:r w:rsidR="008D077B">
        <w:rPr>
          <w:lang w:bidi="bn-IN"/>
        </w:rPr>
        <w:t xml:space="preserve">¹ </w:t>
      </w:r>
      <w:r w:rsidRPr="00377930">
        <w:rPr>
          <w:lang w:bidi="bn-IN"/>
        </w:rPr>
        <w:t>.</w:t>
      </w:r>
      <w:proofErr w:type="gramEnd"/>
      <w:r w:rsidRPr="00377930">
        <w:rPr>
          <w:lang w:bidi="bn-IN"/>
        </w:rPr>
        <w:t xml:space="preserve"> Potassium exhibited a similar response, with substantially higher concentrations at 50 and 100 </w:t>
      </w:r>
      <w:r w:rsidR="008D077B">
        <w:rPr>
          <w:lang w:bidi="bn-IN"/>
        </w:rPr>
        <w:t>mg L⁻</w:t>
      </w:r>
      <w:proofErr w:type="gramStart"/>
      <w:r w:rsidR="008D077B">
        <w:rPr>
          <w:lang w:bidi="bn-IN"/>
        </w:rPr>
        <w:t xml:space="preserve">¹ </w:t>
      </w:r>
      <w:r w:rsidRPr="00377930">
        <w:rPr>
          <w:lang w:bidi="bn-IN"/>
        </w:rPr>
        <w:t xml:space="preserve"> relative</w:t>
      </w:r>
      <w:proofErr w:type="gramEnd"/>
      <w:r w:rsidRPr="00377930">
        <w:rPr>
          <w:lang w:bidi="bn-IN"/>
        </w:rPr>
        <w:t xml:space="preserve"> to the control, followed by a slight decrease at the </w:t>
      </w:r>
      <w:r w:rsidRPr="00377930">
        <w:rPr>
          <w:lang w:bidi="bn-IN"/>
        </w:rPr>
        <w:lastRenderedPageBreak/>
        <w:t xml:space="preserve">highest EPM level. Phosphorus content increased sharply between 0 and 50 </w:t>
      </w:r>
      <w:r w:rsidR="008D077B">
        <w:rPr>
          <w:lang w:bidi="bn-IN"/>
        </w:rPr>
        <w:t>mg L⁻</w:t>
      </w:r>
      <w:proofErr w:type="gramStart"/>
      <w:r w:rsidR="008D077B">
        <w:rPr>
          <w:lang w:bidi="bn-IN"/>
        </w:rPr>
        <w:t xml:space="preserve">¹ </w:t>
      </w:r>
      <w:r w:rsidRPr="00377930">
        <w:rPr>
          <w:lang w:bidi="bn-IN"/>
        </w:rPr>
        <w:t xml:space="preserve"> EPM</w:t>
      </w:r>
      <w:proofErr w:type="gramEnd"/>
      <w:r w:rsidRPr="00377930">
        <w:rPr>
          <w:lang w:bidi="bn-IN"/>
        </w:rPr>
        <w:t xml:space="preserve"> and then remained comparatively constant at 100 and 500 </w:t>
      </w:r>
      <w:r w:rsidR="008D077B">
        <w:rPr>
          <w:lang w:bidi="bn-IN"/>
        </w:rPr>
        <w:t>mg L⁻</w:t>
      </w:r>
      <w:proofErr w:type="gramStart"/>
      <w:r w:rsidR="008D077B">
        <w:rPr>
          <w:lang w:bidi="bn-IN"/>
        </w:rPr>
        <w:t xml:space="preserve">¹ </w:t>
      </w:r>
      <w:r w:rsidRPr="00377930">
        <w:rPr>
          <w:lang w:bidi="bn-IN"/>
        </w:rPr>
        <w:t>,</w:t>
      </w:r>
      <w:proofErr w:type="gramEnd"/>
      <w:r w:rsidRPr="00377930">
        <w:rPr>
          <w:lang w:bidi="bn-IN"/>
        </w:rPr>
        <w:t xml:space="preserve"> indicating diminishing gains with further EPM addition. In contrast, </w:t>
      </w:r>
      <w:proofErr w:type="spellStart"/>
      <w:r w:rsidRPr="00377930">
        <w:rPr>
          <w:lang w:bidi="bn-IN"/>
        </w:rPr>
        <w:t>sulphur</w:t>
      </w:r>
      <w:proofErr w:type="spellEnd"/>
      <w:r w:rsidRPr="00377930">
        <w:rPr>
          <w:lang w:bidi="bn-IN"/>
        </w:rPr>
        <w:t xml:space="preserve"> concentrations increased progressively across the full range of EPM treatments, with the highest values observed at 500 </w:t>
      </w:r>
      <w:r w:rsidR="008D077B">
        <w:rPr>
          <w:lang w:bidi="bn-IN"/>
        </w:rPr>
        <w:t>mg L⁻</w:t>
      </w:r>
      <w:proofErr w:type="gramStart"/>
      <w:r w:rsidR="008D077B">
        <w:rPr>
          <w:lang w:bidi="bn-IN"/>
        </w:rPr>
        <w:t xml:space="preserve">¹ </w:t>
      </w:r>
      <w:r w:rsidRPr="00377930">
        <w:rPr>
          <w:lang w:bidi="bn-IN"/>
        </w:rPr>
        <w:t>.</w:t>
      </w:r>
      <w:proofErr w:type="gramEnd"/>
    </w:p>
    <w:p w14:paraId="1B9DE7A1" w14:textId="5A76708A" w:rsidR="00E27CE7" w:rsidRDefault="00377930" w:rsidP="00757954">
      <w:pPr>
        <w:rPr>
          <w:lang w:bidi="bn-IN"/>
        </w:rPr>
      </w:pPr>
      <w:r w:rsidRPr="00377930">
        <w:rPr>
          <w:lang w:bidi="bn-IN"/>
        </w:rPr>
        <w:t>Collectively, these results indicate that EPM treatments associated with enhanced plant growth were also accompanied by improved mineral nutrient concentrations in bean pods, suggesting a potential enhancement of pod nutritional quality.</w:t>
      </w:r>
    </w:p>
    <w:p w14:paraId="08B19225" w14:textId="2D848F33" w:rsidR="00757954" w:rsidRDefault="00757954" w:rsidP="00D26D2C">
      <w:pPr>
        <w:pStyle w:val="Caption1"/>
      </w:pPr>
      <w:r w:rsidRPr="00757954">
        <w:rPr>
          <w:noProof/>
        </w:rPr>
        <w:drawing>
          <wp:inline distT="0" distB="0" distL="0" distR="0" wp14:anchorId="5176666D" wp14:editId="225507F9">
            <wp:extent cx="5928610" cy="4571808"/>
            <wp:effectExtent l="0" t="0" r="2540" b="0"/>
            <wp:docPr id="1714703834" name="Picture 1" descr="A group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03834" name="Picture 1" descr="A group of different colored bars&#10;&#10;AI-generated content may be incorrect."/>
                    <pic:cNvPicPr/>
                  </pic:nvPicPr>
                  <pic:blipFill rotWithShape="1">
                    <a:blip r:embed="rId18" cstate="email">
                      <a:extLst>
                        <a:ext uri="{28A0092B-C50C-407E-A947-70E740481C1C}">
                          <a14:useLocalDpi xmlns:a14="http://schemas.microsoft.com/office/drawing/2010/main"/>
                        </a:ext>
                      </a:extLst>
                    </a:blip>
                    <a:srcRect/>
                    <a:stretch>
                      <a:fillRect/>
                    </a:stretch>
                  </pic:blipFill>
                  <pic:spPr bwMode="auto">
                    <a:xfrm>
                      <a:off x="0" y="0"/>
                      <a:ext cx="5975175" cy="4607716"/>
                    </a:xfrm>
                    <a:prstGeom prst="rect">
                      <a:avLst/>
                    </a:prstGeom>
                    <a:ln>
                      <a:noFill/>
                    </a:ln>
                    <a:extLst>
                      <a:ext uri="{53640926-AAD7-44D8-BBD7-CCE9431645EC}">
                        <a14:shadowObscured xmlns:a14="http://schemas.microsoft.com/office/drawing/2010/main"/>
                      </a:ext>
                    </a:extLst>
                  </pic:spPr>
                </pic:pic>
              </a:graphicData>
            </a:graphic>
          </wp:inline>
        </w:drawing>
      </w:r>
    </w:p>
    <w:p w14:paraId="72E2E634" w14:textId="5AB7A6FB" w:rsidR="0012133F" w:rsidRDefault="00AF27AA" w:rsidP="0012133F">
      <w:pPr>
        <w:pStyle w:val="Caption1"/>
      </w:pPr>
      <w:bookmarkStart w:id="8" w:name="_Ref221630977"/>
      <w:r w:rsidRPr="00E27CE7">
        <w:rPr>
          <w:b/>
          <w:bCs/>
        </w:rPr>
        <w:t>Figure S</w:t>
      </w:r>
      <w:r w:rsidRPr="00E27CE7">
        <w:rPr>
          <w:b/>
          <w:bCs/>
        </w:rPr>
        <w:fldChar w:fldCharType="begin"/>
      </w:r>
      <w:r w:rsidRPr="00E27CE7">
        <w:rPr>
          <w:b/>
          <w:bCs/>
        </w:rPr>
        <w:instrText xml:space="preserve"> SEQ Figure \* ARABIC </w:instrText>
      </w:r>
      <w:r w:rsidRPr="00E27CE7">
        <w:rPr>
          <w:b/>
          <w:bCs/>
        </w:rPr>
        <w:fldChar w:fldCharType="separate"/>
      </w:r>
      <w:r w:rsidR="00271527">
        <w:rPr>
          <w:b/>
          <w:bCs/>
          <w:noProof/>
        </w:rPr>
        <w:t>6</w:t>
      </w:r>
      <w:r w:rsidRPr="00E27CE7">
        <w:rPr>
          <w:b/>
          <w:bCs/>
        </w:rPr>
        <w:fldChar w:fldCharType="end"/>
      </w:r>
      <w:bookmarkEnd w:id="8"/>
      <w:r w:rsidRPr="0012133F">
        <w:t xml:space="preserve"> | </w:t>
      </w:r>
      <w:r w:rsidR="0012133F" w:rsidRPr="0012133F">
        <w:rPr>
          <w:rStyle w:val="Strong"/>
        </w:rPr>
        <w:t>Elemental composition of bean pods determined by XRF</w:t>
      </w:r>
    </w:p>
    <w:p w14:paraId="05A64FA8" w14:textId="353FD5E6" w:rsidR="0012133F" w:rsidRDefault="0012133F" w:rsidP="0012133F">
      <w:pPr>
        <w:pStyle w:val="Caption1"/>
      </w:pPr>
      <w:r>
        <w:t>XRF-derived concentrations of nutritionally important elements in bean pods grown under different EPM treatments.</w:t>
      </w:r>
      <w:r w:rsidR="00BE3B54">
        <w:t xml:space="preserve"> </w:t>
      </w:r>
      <w:r>
        <w:t xml:space="preserve">Calcium (a), potassium (b), phosphorus (c), and </w:t>
      </w:r>
      <w:proofErr w:type="spellStart"/>
      <w:r>
        <w:t>sulphur</w:t>
      </w:r>
      <w:proofErr w:type="spellEnd"/>
      <w:r>
        <w:t xml:space="preserve"> (d) show enrichment in response to EPM application. Calcium and potassium concentrations peak at 100 </w:t>
      </w:r>
      <w:r w:rsidR="008D077B">
        <w:t>mg L⁻</w:t>
      </w:r>
      <w:proofErr w:type="gramStart"/>
      <w:r w:rsidR="008D077B">
        <w:t xml:space="preserve">¹ </w:t>
      </w:r>
      <w:r>
        <w:t xml:space="preserve"> EPM</w:t>
      </w:r>
      <w:proofErr w:type="gramEnd"/>
      <w:r>
        <w:t>, while phosphorus increases sharply at low EPM doses and plateaus thereafter. Sulphur concentrations increase monotonically across the full EPM concentration range. These trends indicate that EPM application enhances the mineral nutrient content of bean pods, particularly at low to intermediate doses.</w:t>
      </w:r>
    </w:p>
    <w:p w14:paraId="0031B850" w14:textId="77777777" w:rsidR="00BE3B54" w:rsidRDefault="00BE3B54" w:rsidP="00DB7EF4">
      <w:pPr>
        <w:rPr>
          <w:lang w:bidi="bn-IN"/>
        </w:rPr>
      </w:pPr>
    </w:p>
    <w:p w14:paraId="11FE6B31" w14:textId="6934E025" w:rsidR="00DB7EF4" w:rsidRPr="00DB7EF4" w:rsidRDefault="00DB7EF4" w:rsidP="00DB7EF4">
      <w:pPr>
        <w:rPr>
          <w:lang w:bidi="bn-IN"/>
        </w:rPr>
      </w:pPr>
      <w:r w:rsidRPr="00DB7EF4">
        <w:rPr>
          <w:lang w:bidi="bn-IN"/>
        </w:rPr>
        <w:lastRenderedPageBreak/>
        <w:t>XRF analysis of bean roots grown in soils amended with increasing concentrations of EPM revealed a non-linear, concentration-dependent pattern of elemental accumulation across essential nutrients, beneficial elements, and lithogenic tracers (</w:t>
      </w:r>
      <w:r>
        <w:rPr>
          <w:lang w:bidi="bn-IN"/>
        </w:rPr>
        <w:fldChar w:fldCharType="begin"/>
      </w:r>
      <w:r>
        <w:rPr>
          <w:lang w:bidi="bn-IN"/>
        </w:rPr>
        <w:instrText xml:space="preserve"> REF _Ref221641047 \h </w:instrText>
      </w:r>
      <w:r>
        <w:rPr>
          <w:lang w:bidi="bn-IN"/>
        </w:rPr>
      </w:r>
      <w:r>
        <w:rPr>
          <w:lang w:bidi="bn-IN"/>
        </w:rPr>
        <w:fldChar w:fldCharType="separate"/>
      </w:r>
      <w:r w:rsidR="00271527" w:rsidRPr="00E27CE7">
        <w:rPr>
          <w:b/>
          <w:bCs/>
        </w:rPr>
        <w:t>Figure S</w:t>
      </w:r>
      <w:r w:rsidR="00271527">
        <w:rPr>
          <w:b/>
          <w:bCs/>
          <w:noProof/>
        </w:rPr>
        <w:t>7</w:t>
      </w:r>
      <w:r>
        <w:rPr>
          <w:lang w:bidi="bn-IN"/>
        </w:rPr>
        <w:fldChar w:fldCharType="end"/>
      </w:r>
      <w:r w:rsidRPr="00DB7EF4">
        <w:rPr>
          <w:lang w:bidi="bn-IN"/>
        </w:rPr>
        <w:t>).</w:t>
      </w:r>
    </w:p>
    <w:p w14:paraId="68630360" w14:textId="3D1DF3E0" w:rsidR="00DB7EF4" w:rsidRPr="00DB7EF4" w:rsidRDefault="00DB7EF4" w:rsidP="00DB7EF4">
      <w:pPr>
        <w:rPr>
          <w:lang w:bidi="bn-IN"/>
        </w:rPr>
      </w:pPr>
      <w:r w:rsidRPr="00DB7EF4">
        <w:rPr>
          <w:b/>
          <w:bCs/>
          <w:lang w:bidi="bn-IN"/>
        </w:rPr>
        <w:t>Essential macronutrients</w:t>
      </w:r>
      <w:r w:rsidRPr="00DB7EF4">
        <w:rPr>
          <w:lang w:bidi="bn-IN"/>
        </w:rPr>
        <w:t xml:space="preserve"> (P, S, K, Ca and Cl; </w:t>
      </w:r>
      <w:r w:rsidR="001E7F1E">
        <w:rPr>
          <w:lang w:bidi="bn-IN"/>
        </w:rPr>
        <w:fldChar w:fldCharType="begin"/>
      </w:r>
      <w:r w:rsidR="001E7F1E">
        <w:rPr>
          <w:lang w:bidi="bn-IN"/>
        </w:rPr>
        <w:instrText xml:space="preserve"> REF _Ref221641047 \h </w:instrText>
      </w:r>
      <w:r w:rsidR="001E7F1E">
        <w:rPr>
          <w:lang w:bidi="bn-IN"/>
        </w:rPr>
      </w:r>
      <w:r w:rsidR="001E7F1E">
        <w:rPr>
          <w:lang w:bidi="bn-IN"/>
        </w:rPr>
        <w:fldChar w:fldCharType="separate"/>
      </w:r>
      <w:r w:rsidR="00271527" w:rsidRPr="00E27CE7">
        <w:rPr>
          <w:b/>
          <w:bCs/>
        </w:rPr>
        <w:t>Figure S</w:t>
      </w:r>
      <w:r w:rsidR="00271527">
        <w:rPr>
          <w:b/>
          <w:bCs/>
          <w:noProof/>
        </w:rPr>
        <w:t>7</w:t>
      </w:r>
      <w:r w:rsidR="001E7F1E">
        <w:rPr>
          <w:lang w:bidi="bn-IN"/>
        </w:rPr>
        <w:fldChar w:fldCharType="end"/>
      </w:r>
      <w:r w:rsidR="001E7F1E">
        <w:rPr>
          <w:lang w:bidi="bn-IN"/>
        </w:rPr>
        <w:t>a</w:t>
      </w:r>
      <w:r w:rsidRPr="00DB7EF4">
        <w:rPr>
          <w:lang w:bidi="bn-IN"/>
        </w:rPr>
        <w:t xml:space="preserve">) showed pronounced enrichment in roots grown in soils treated with 50 and 500 </w:t>
      </w:r>
      <w:r w:rsidR="008D077B">
        <w:rPr>
          <w:lang w:bidi="bn-IN"/>
        </w:rPr>
        <w:t xml:space="preserve">mg L⁻¹ </w:t>
      </w:r>
      <w:r w:rsidRPr="00DB7EF4">
        <w:rPr>
          <w:lang w:bidi="bn-IN"/>
        </w:rPr>
        <w:t xml:space="preserve">EPM relative to the control. In contrast, roots from plants grown at 100 </w:t>
      </w:r>
      <w:r w:rsidR="008D077B">
        <w:rPr>
          <w:lang w:bidi="bn-IN"/>
        </w:rPr>
        <w:t xml:space="preserve">mg L⁻¹ </w:t>
      </w:r>
      <w:r w:rsidRPr="00DB7EF4">
        <w:rPr>
          <w:lang w:bidi="bn-IN"/>
        </w:rPr>
        <w:t xml:space="preserve">EPM consistently exhibited macronutrient concentrations comparable to, or only marginally higher than, untreated controls. </w:t>
      </w:r>
    </w:p>
    <w:p w14:paraId="39856C24" w14:textId="6683B953" w:rsidR="00DB7EF4" w:rsidRPr="00DB7EF4" w:rsidRDefault="00DB7EF4" w:rsidP="00DB7EF4">
      <w:pPr>
        <w:rPr>
          <w:lang w:bidi="bn-IN"/>
        </w:rPr>
      </w:pPr>
      <w:r w:rsidRPr="00DB7EF4">
        <w:rPr>
          <w:lang w:bidi="bn-IN"/>
        </w:rPr>
        <w:t xml:space="preserve">A similar trend was observed for </w:t>
      </w:r>
      <w:r w:rsidRPr="00DB7EF4">
        <w:rPr>
          <w:b/>
          <w:bCs/>
          <w:lang w:bidi="bn-IN"/>
        </w:rPr>
        <w:t>essential micronutrients</w:t>
      </w:r>
      <w:r w:rsidRPr="00DB7EF4">
        <w:rPr>
          <w:lang w:bidi="bn-IN"/>
        </w:rPr>
        <w:t xml:space="preserve"> (Fe, Cu and Zn; </w:t>
      </w:r>
      <w:r w:rsidR="001E7F1E">
        <w:rPr>
          <w:lang w:bidi="bn-IN"/>
        </w:rPr>
        <w:fldChar w:fldCharType="begin"/>
      </w:r>
      <w:r w:rsidR="001E7F1E">
        <w:rPr>
          <w:lang w:bidi="bn-IN"/>
        </w:rPr>
        <w:instrText xml:space="preserve"> REF _Ref221641047 \h </w:instrText>
      </w:r>
      <w:r w:rsidR="001E7F1E">
        <w:rPr>
          <w:lang w:bidi="bn-IN"/>
        </w:rPr>
      </w:r>
      <w:r w:rsidR="001E7F1E">
        <w:rPr>
          <w:lang w:bidi="bn-IN"/>
        </w:rPr>
        <w:fldChar w:fldCharType="separate"/>
      </w:r>
      <w:r w:rsidR="00271527" w:rsidRPr="00E27CE7">
        <w:rPr>
          <w:b/>
          <w:bCs/>
        </w:rPr>
        <w:t>Figure S</w:t>
      </w:r>
      <w:r w:rsidR="00271527">
        <w:rPr>
          <w:b/>
          <w:bCs/>
          <w:noProof/>
        </w:rPr>
        <w:t>7</w:t>
      </w:r>
      <w:r w:rsidR="001E7F1E">
        <w:rPr>
          <w:lang w:bidi="bn-IN"/>
        </w:rPr>
        <w:fldChar w:fldCharType="end"/>
      </w:r>
      <w:r w:rsidR="001E7F1E" w:rsidRPr="001E7F1E">
        <w:rPr>
          <w:b/>
          <w:bCs/>
          <w:lang w:bidi="bn-IN"/>
        </w:rPr>
        <w:t>b</w:t>
      </w:r>
      <w:r w:rsidRPr="00DB7EF4">
        <w:rPr>
          <w:lang w:bidi="bn-IN"/>
        </w:rPr>
        <w:t xml:space="preserve">). Roots from the 50 and 500 </w:t>
      </w:r>
      <w:r w:rsidR="008D077B">
        <w:rPr>
          <w:lang w:bidi="bn-IN"/>
        </w:rPr>
        <w:t xml:space="preserve">mg L⁻¹ </w:t>
      </w:r>
      <w:r w:rsidRPr="00DB7EF4">
        <w:rPr>
          <w:lang w:bidi="bn-IN"/>
        </w:rPr>
        <w:t xml:space="preserve">treatments accumulated markedly higher concentrations of these elements, whereas roots grown at 100 </w:t>
      </w:r>
      <w:r w:rsidR="008D077B">
        <w:rPr>
          <w:lang w:bidi="bn-IN"/>
        </w:rPr>
        <w:t xml:space="preserve">mg L⁻¹ </w:t>
      </w:r>
      <w:r w:rsidRPr="00DB7EF4">
        <w:rPr>
          <w:lang w:bidi="bn-IN"/>
        </w:rPr>
        <w:t>EPM showed micronutrient levels close to control values. In contrast, Mo concentrations remained relatively constant across all treatments, indicating element-specific responses to EPM amendment.</w:t>
      </w:r>
    </w:p>
    <w:p w14:paraId="4E927AFE" w14:textId="049A9901" w:rsidR="00DB7EF4" w:rsidRPr="00DB7EF4" w:rsidRDefault="00DB7EF4" w:rsidP="00DB7EF4">
      <w:pPr>
        <w:rPr>
          <w:lang w:bidi="bn-IN"/>
        </w:rPr>
      </w:pPr>
      <w:r w:rsidRPr="00DB7EF4">
        <w:rPr>
          <w:b/>
          <w:bCs/>
          <w:lang w:bidi="bn-IN"/>
        </w:rPr>
        <w:t>Beneficial and analog elements</w:t>
      </w:r>
      <w:r w:rsidRPr="00DB7EF4">
        <w:rPr>
          <w:lang w:bidi="bn-IN"/>
        </w:rPr>
        <w:t xml:space="preserve"> (Si, Sr and Rb; </w:t>
      </w:r>
      <w:r w:rsidR="001E7F1E">
        <w:rPr>
          <w:lang w:bidi="bn-IN"/>
        </w:rPr>
        <w:fldChar w:fldCharType="begin"/>
      </w:r>
      <w:r w:rsidR="001E7F1E">
        <w:rPr>
          <w:lang w:bidi="bn-IN"/>
        </w:rPr>
        <w:instrText xml:space="preserve"> REF _Ref221641047 \h </w:instrText>
      </w:r>
      <w:r w:rsidR="001E7F1E">
        <w:rPr>
          <w:lang w:bidi="bn-IN"/>
        </w:rPr>
      </w:r>
      <w:r w:rsidR="001E7F1E">
        <w:rPr>
          <w:lang w:bidi="bn-IN"/>
        </w:rPr>
        <w:fldChar w:fldCharType="separate"/>
      </w:r>
      <w:r w:rsidR="00271527" w:rsidRPr="00E27CE7">
        <w:rPr>
          <w:b/>
          <w:bCs/>
        </w:rPr>
        <w:t>Figure S</w:t>
      </w:r>
      <w:r w:rsidR="00271527">
        <w:rPr>
          <w:b/>
          <w:bCs/>
          <w:noProof/>
        </w:rPr>
        <w:t>7</w:t>
      </w:r>
      <w:r w:rsidR="001E7F1E">
        <w:rPr>
          <w:lang w:bidi="bn-IN"/>
        </w:rPr>
        <w:fldChar w:fldCharType="end"/>
      </w:r>
      <w:r w:rsidR="001E7F1E" w:rsidRPr="001E7F1E">
        <w:rPr>
          <w:b/>
          <w:bCs/>
          <w:lang w:bidi="bn-IN"/>
        </w:rPr>
        <w:t>c</w:t>
      </w:r>
      <w:r w:rsidRPr="00DB7EF4">
        <w:rPr>
          <w:lang w:bidi="bn-IN"/>
        </w:rPr>
        <w:t xml:space="preserve">) followed the same non-monotonic trend. Silicon accumulation was strongly enhanced at 50 and 500 </w:t>
      </w:r>
      <w:r w:rsidR="008D077B">
        <w:rPr>
          <w:lang w:bidi="bn-IN"/>
        </w:rPr>
        <w:t xml:space="preserve">mg L⁻¹ </w:t>
      </w:r>
      <w:r w:rsidR="008D077B" w:rsidRPr="00DB7EF4">
        <w:rPr>
          <w:lang w:bidi="bn-IN"/>
        </w:rPr>
        <w:t>EPM</w:t>
      </w:r>
      <w:r w:rsidRPr="00DB7EF4">
        <w:rPr>
          <w:lang w:bidi="bn-IN"/>
        </w:rPr>
        <w:t xml:space="preserve">, while roots grown at 100 </w:t>
      </w:r>
      <w:r w:rsidR="008D077B">
        <w:rPr>
          <w:lang w:bidi="bn-IN"/>
        </w:rPr>
        <w:t xml:space="preserve">mg L⁻¹ </w:t>
      </w:r>
      <w:r w:rsidRPr="00DB7EF4">
        <w:rPr>
          <w:lang w:bidi="bn-IN"/>
        </w:rPr>
        <w:t xml:space="preserve">contained intermediate Si levels. Strontium and rubidium also increased with EPM addition but were consistently lower at 100 </w:t>
      </w:r>
      <w:r w:rsidR="008D077B">
        <w:rPr>
          <w:lang w:bidi="bn-IN"/>
        </w:rPr>
        <w:t xml:space="preserve">mg L⁻¹ </w:t>
      </w:r>
      <w:r w:rsidR="008D077B" w:rsidRPr="00DB7EF4">
        <w:rPr>
          <w:lang w:bidi="bn-IN"/>
        </w:rPr>
        <w:t>than</w:t>
      </w:r>
      <w:r w:rsidRPr="00DB7EF4">
        <w:rPr>
          <w:lang w:bidi="bn-IN"/>
        </w:rPr>
        <w:t xml:space="preserve"> at 50 or 500 </w:t>
      </w:r>
      <w:r w:rsidR="008D077B">
        <w:rPr>
          <w:lang w:bidi="bn-IN"/>
        </w:rPr>
        <w:t>mg L⁻¹</w:t>
      </w:r>
      <w:r w:rsidRPr="00DB7EF4">
        <w:rPr>
          <w:lang w:bidi="bn-IN"/>
        </w:rPr>
        <w:t>.</w:t>
      </w:r>
    </w:p>
    <w:p w14:paraId="64853AE9" w14:textId="4A0C23F8" w:rsidR="00DB7EF4" w:rsidRPr="00DB7EF4" w:rsidRDefault="00DB7EF4" w:rsidP="00DB7EF4">
      <w:pPr>
        <w:rPr>
          <w:lang w:bidi="bn-IN"/>
        </w:rPr>
      </w:pPr>
      <w:r w:rsidRPr="00DB7EF4">
        <w:rPr>
          <w:lang w:bidi="bn-IN"/>
        </w:rPr>
        <w:t xml:space="preserve">In contrast, </w:t>
      </w:r>
      <w:r w:rsidRPr="00DB7EF4">
        <w:rPr>
          <w:b/>
          <w:bCs/>
          <w:lang w:bidi="bn-IN"/>
        </w:rPr>
        <w:t>potentially toxic trace elements</w:t>
      </w:r>
      <w:r w:rsidRPr="00DB7EF4">
        <w:rPr>
          <w:lang w:bidi="bn-IN"/>
        </w:rPr>
        <w:t xml:space="preserve"> (e.g., Cr, Cd and U; </w:t>
      </w:r>
      <w:r w:rsidR="001E7F1E">
        <w:rPr>
          <w:lang w:bidi="bn-IN"/>
        </w:rPr>
        <w:fldChar w:fldCharType="begin"/>
      </w:r>
      <w:r w:rsidR="001E7F1E">
        <w:rPr>
          <w:lang w:bidi="bn-IN"/>
        </w:rPr>
        <w:instrText xml:space="preserve"> REF _Ref221641047 \h </w:instrText>
      </w:r>
      <w:r w:rsidR="001E7F1E">
        <w:rPr>
          <w:lang w:bidi="bn-IN"/>
        </w:rPr>
      </w:r>
      <w:r w:rsidR="001E7F1E">
        <w:rPr>
          <w:lang w:bidi="bn-IN"/>
        </w:rPr>
        <w:fldChar w:fldCharType="separate"/>
      </w:r>
      <w:r w:rsidR="00271527" w:rsidRPr="00E27CE7">
        <w:rPr>
          <w:b/>
          <w:bCs/>
        </w:rPr>
        <w:t>Figure S</w:t>
      </w:r>
      <w:r w:rsidR="00271527">
        <w:rPr>
          <w:b/>
          <w:bCs/>
          <w:noProof/>
        </w:rPr>
        <w:t>7</w:t>
      </w:r>
      <w:r w:rsidR="001E7F1E">
        <w:rPr>
          <w:lang w:bidi="bn-IN"/>
        </w:rPr>
        <w:fldChar w:fldCharType="end"/>
      </w:r>
      <w:r w:rsidR="001E7F1E" w:rsidRPr="001E7F1E">
        <w:rPr>
          <w:b/>
          <w:bCs/>
          <w:lang w:bidi="bn-IN"/>
        </w:rPr>
        <w:t>d</w:t>
      </w:r>
      <w:r w:rsidRPr="00DB7EF4">
        <w:rPr>
          <w:lang w:bidi="bn-IN"/>
        </w:rPr>
        <w:t>) showed relatively minor variation across treatments. Concentrations remained comparable among control and EPM-amended soils, suggesting that EPM addition did not substantially enhance the uptake of toxic elements within the tested concentration range.</w:t>
      </w:r>
    </w:p>
    <w:p w14:paraId="6631F846" w14:textId="7BB3544C" w:rsidR="00DB7EF4" w:rsidRPr="00DB7EF4" w:rsidRDefault="00DB7EF4" w:rsidP="00DB7EF4">
      <w:pPr>
        <w:rPr>
          <w:lang w:bidi="bn-IN"/>
        </w:rPr>
      </w:pPr>
      <w:r w:rsidRPr="00DB7EF4">
        <w:rPr>
          <w:lang w:bidi="bn-IN"/>
        </w:rPr>
        <w:t xml:space="preserve">Finally, </w:t>
      </w:r>
      <w:r w:rsidRPr="00DB7EF4">
        <w:rPr>
          <w:b/>
          <w:bCs/>
          <w:lang w:bidi="bn-IN"/>
        </w:rPr>
        <w:t>geochemically inert or lithogenic tracers</w:t>
      </w:r>
      <w:r w:rsidRPr="00DB7EF4">
        <w:rPr>
          <w:lang w:bidi="bn-IN"/>
        </w:rPr>
        <w:t xml:space="preserve"> (Sc, Ti, Nb, Zr, W and Pd; </w:t>
      </w:r>
      <w:r w:rsidR="00721DC4">
        <w:rPr>
          <w:lang w:bidi="bn-IN"/>
        </w:rPr>
        <w:fldChar w:fldCharType="begin"/>
      </w:r>
      <w:r w:rsidR="00721DC4">
        <w:rPr>
          <w:lang w:bidi="bn-IN"/>
        </w:rPr>
        <w:instrText xml:space="preserve"> REF _Ref221641047 \h </w:instrText>
      </w:r>
      <w:r w:rsidR="00721DC4">
        <w:rPr>
          <w:lang w:bidi="bn-IN"/>
        </w:rPr>
      </w:r>
      <w:r w:rsidR="00721DC4">
        <w:rPr>
          <w:lang w:bidi="bn-IN"/>
        </w:rPr>
        <w:fldChar w:fldCharType="separate"/>
      </w:r>
      <w:r w:rsidR="00271527" w:rsidRPr="00E27CE7">
        <w:rPr>
          <w:b/>
          <w:bCs/>
        </w:rPr>
        <w:t>Figure S</w:t>
      </w:r>
      <w:r w:rsidR="00271527">
        <w:rPr>
          <w:b/>
          <w:bCs/>
          <w:noProof/>
        </w:rPr>
        <w:t>7</w:t>
      </w:r>
      <w:r w:rsidR="00721DC4">
        <w:rPr>
          <w:lang w:bidi="bn-IN"/>
        </w:rPr>
        <w:fldChar w:fldCharType="end"/>
      </w:r>
      <w:r w:rsidR="00721DC4" w:rsidRPr="00721DC4">
        <w:rPr>
          <w:b/>
          <w:bCs/>
          <w:lang w:bidi="bn-IN"/>
        </w:rPr>
        <w:t>e</w:t>
      </w:r>
      <w:r w:rsidRPr="00DB7EF4">
        <w:rPr>
          <w:lang w:bidi="bn-IN"/>
        </w:rPr>
        <w:t xml:space="preserve">) exhibited enrichment patterns </w:t>
      </w:r>
      <w:proofErr w:type="gramStart"/>
      <w:r w:rsidRPr="00DB7EF4">
        <w:rPr>
          <w:lang w:bidi="bn-IN"/>
        </w:rPr>
        <w:t>similar to</w:t>
      </w:r>
      <w:proofErr w:type="gramEnd"/>
      <w:r w:rsidRPr="00DB7EF4">
        <w:rPr>
          <w:lang w:bidi="bn-IN"/>
        </w:rPr>
        <w:t xml:space="preserve"> those of macronutrients and micronutrients. Roots grown in 50 and 500 </w:t>
      </w:r>
      <w:r w:rsidR="008D077B">
        <w:rPr>
          <w:lang w:bidi="bn-IN"/>
        </w:rPr>
        <w:t xml:space="preserve">mg L⁻¹ </w:t>
      </w:r>
      <w:r w:rsidR="008D077B" w:rsidRPr="00DB7EF4">
        <w:rPr>
          <w:lang w:bidi="bn-IN"/>
        </w:rPr>
        <w:t>EPM</w:t>
      </w:r>
      <w:r w:rsidRPr="00DB7EF4">
        <w:rPr>
          <w:lang w:bidi="bn-IN"/>
        </w:rPr>
        <w:t xml:space="preserve">-amended soils generally contained higher concentrations of these elements, whereas roots from the 100 </w:t>
      </w:r>
      <w:r w:rsidR="008D077B">
        <w:rPr>
          <w:lang w:bidi="bn-IN"/>
        </w:rPr>
        <w:t xml:space="preserve">mg L⁻¹ </w:t>
      </w:r>
      <w:r w:rsidR="008D077B" w:rsidRPr="00DB7EF4">
        <w:rPr>
          <w:lang w:bidi="bn-IN"/>
        </w:rPr>
        <w:t>treatment</w:t>
      </w:r>
      <w:r w:rsidRPr="00DB7EF4">
        <w:rPr>
          <w:lang w:bidi="bn-IN"/>
        </w:rPr>
        <w:t xml:space="preserve"> clustered closely with control samples.</w:t>
      </w:r>
    </w:p>
    <w:p w14:paraId="238B4626" w14:textId="1E358D2C" w:rsidR="00191CAE" w:rsidRPr="00DB7EF4" w:rsidRDefault="00DB7EF4" w:rsidP="00DB7EF4">
      <w:r w:rsidRPr="00DB7EF4">
        <w:t xml:space="preserve">Taken together, these results indicate that EPM concentration strongly influences elemental retention within the root system. Lower (50 </w:t>
      </w:r>
      <w:r w:rsidR="008D077B">
        <w:t>mg L⁻¹)</w:t>
      </w:r>
      <w:r w:rsidRPr="00DB7EF4">
        <w:t xml:space="preserve"> and higher (500 </w:t>
      </w:r>
      <w:r w:rsidR="008D077B">
        <w:t>mg L⁻¹</w:t>
      </w:r>
      <w:r w:rsidRPr="00DB7EF4">
        <w:t xml:space="preserve">) EPM additions promote accumulation of a broad range of elements in roots, whereas at 100 </w:t>
      </w:r>
      <w:r w:rsidR="008D077B">
        <w:t xml:space="preserve">mg L⁻¹ </w:t>
      </w:r>
      <w:r w:rsidRPr="00DB7EF4">
        <w:t xml:space="preserve">EPM, roots retain fewer nutrients despite improved shoot growth and superior pod development. This apparent decoupling between root elemental accumulation and fruit nutrient content suggests that, at </w:t>
      </w:r>
      <w:r w:rsidRPr="00DB7EF4">
        <w:lastRenderedPageBreak/>
        <w:t xml:space="preserve">intermediate EPM concentrations, nutrient translocation from roots to reproductive tissues is more efficient. In contrast, excessive or insufficient EPM may favor nutrient sequestration within the root system without proportional transfer to aboveground organs, consistent with the reduced pod yield observed at 500 </w:t>
      </w:r>
      <w:r w:rsidR="008D077B">
        <w:t>mg L⁻¹.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A10557" w:rsidRPr="00116DAF" w14:paraId="7740154C" w14:textId="77777777" w:rsidTr="00A10557">
        <w:tc>
          <w:tcPr>
            <w:tcW w:w="9360" w:type="dxa"/>
          </w:tcPr>
          <w:p w14:paraId="37D240B5" w14:textId="1370C3CC" w:rsidR="003A4438" w:rsidRDefault="003A4438" w:rsidP="00FB6BF5">
            <w:pPr>
              <w:pStyle w:val="Caption1"/>
              <w:jc w:val="center"/>
            </w:pPr>
            <w:bookmarkStart w:id="9" w:name="OLE_LINK2"/>
            <w:r w:rsidRPr="00116DAF">
              <w:rPr>
                <w:noProof/>
              </w:rPr>
              <w:drawing>
                <wp:inline distT="0" distB="0" distL="0" distR="0" wp14:anchorId="681411F1" wp14:editId="03FC0503">
                  <wp:extent cx="5898629" cy="1702435"/>
                  <wp:effectExtent l="0" t="0" r="6985" b="12065"/>
                  <wp:docPr id="109362918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61E2A1" w14:textId="622EAE30" w:rsidR="003A4438" w:rsidRPr="00116DAF" w:rsidRDefault="003A4438" w:rsidP="00FB6BF5">
            <w:pPr>
              <w:pStyle w:val="Caption1"/>
              <w:jc w:val="center"/>
            </w:pPr>
            <w:r>
              <w:t>(a)</w:t>
            </w:r>
          </w:p>
        </w:tc>
      </w:tr>
      <w:tr w:rsidR="00A10557" w:rsidRPr="00116DAF" w14:paraId="5FD35E4A" w14:textId="77777777" w:rsidTr="00A10557">
        <w:tc>
          <w:tcPr>
            <w:tcW w:w="9360" w:type="dxa"/>
          </w:tcPr>
          <w:p w14:paraId="66D21650" w14:textId="618FAFE7" w:rsidR="003A4438" w:rsidRDefault="003A4438" w:rsidP="00FB6BF5">
            <w:pPr>
              <w:pStyle w:val="Caption1"/>
              <w:jc w:val="center"/>
            </w:pPr>
            <w:r w:rsidRPr="00116DAF">
              <w:rPr>
                <w:noProof/>
              </w:rPr>
              <w:drawing>
                <wp:inline distT="0" distB="0" distL="0" distR="0" wp14:anchorId="605C2AE6" wp14:editId="7658F0F8">
                  <wp:extent cx="5838669" cy="1631315"/>
                  <wp:effectExtent l="0" t="0" r="16510" b="6985"/>
                  <wp:docPr id="254761953"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82AA7D" w14:textId="33DD525C" w:rsidR="003A4438" w:rsidRPr="00116DAF" w:rsidRDefault="003A4438" w:rsidP="00FB6BF5">
            <w:pPr>
              <w:pStyle w:val="Caption1"/>
              <w:jc w:val="center"/>
            </w:pPr>
            <w:r>
              <w:t>(b)</w:t>
            </w:r>
          </w:p>
        </w:tc>
      </w:tr>
      <w:tr w:rsidR="00A10557" w:rsidRPr="00116DAF" w14:paraId="70CC0FB7" w14:textId="77777777" w:rsidTr="00A10557">
        <w:tc>
          <w:tcPr>
            <w:tcW w:w="9360" w:type="dxa"/>
          </w:tcPr>
          <w:p w14:paraId="558F1FB8" w14:textId="4139647C" w:rsidR="003A4438" w:rsidRDefault="003A4438" w:rsidP="00FB6BF5">
            <w:pPr>
              <w:pStyle w:val="Caption1"/>
              <w:jc w:val="center"/>
            </w:pPr>
            <w:r w:rsidRPr="00116DAF">
              <w:rPr>
                <w:noProof/>
              </w:rPr>
              <w:drawing>
                <wp:inline distT="0" distB="0" distL="0" distR="0" wp14:anchorId="51D0B72F" wp14:editId="4D2152BA">
                  <wp:extent cx="5838190" cy="1591945"/>
                  <wp:effectExtent l="0" t="0" r="16510" b="8255"/>
                  <wp:docPr id="227254464"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D537D7" w14:textId="4CAD74FA" w:rsidR="003A4438" w:rsidRPr="00116DAF" w:rsidRDefault="003A4438" w:rsidP="00FB6BF5">
            <w:pPr>
              <w:pStyle w:val="Caption1"/>
              <w:jc w:val="center"/>
            </w:pPr>
            <w:r>
              <w:t>(c)</w:t>
            </w:r>
          </w:p>
        </w:tc>
      </w:tr>
      <w:tr w:rsidR="00A10557" w:rsidRPr="00116DAF" w14:paraId="5E54AEE9" w14:textId="77777777" w:rsidTr="00A10557">
        <w:tc>
          <w:tcPr>
            <w:tcW w:w="9360" w:type="dxa"/>
          </w:tcPr>
          <w:p w14:paraId="762A9F33" w14:textId="6F444633" w:rsidR="003A4438" w:rsidRDefault="003A4438" w:rsidP="00FB6BF5">
            <w:pPr>
              <w:pStyle w:val="Caption1"/>
              <w:jc w:val="center"/>
              <w:rPr>
                <w:noProof/>
              </w:rPr>
            </w:pPr>
            <w:r w:rsidRPr="00116DAF">
              <w:rPr>
                <w:noProof/>
              </w:rPr>
              <w:lastRenderedPageBreak/>
              <w:drawing>
                <wp:inline distT="0" distB="0" distL="0" distR="0" wp14:anchorId="2945F55C" wp14:editId="126F9459">
                  <wp:extent cx="5861154" cy="1584325"/>
                  <wp:effectExtent l="0" t="0" r="6350" b="15875"/>
                  <wp:docPr id="898963109"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83CCCD" w14:textId="0D01F130" w:rsidR="003A4438" w:rsidRPr="00116DAF" w:rsidRDefault="003A4438" w:rsidP="00FB6BF5">
            <w:pPr>
              <w:pStyle w:val="Caption1"/>
              <w:jc w:val="center"/>
            </w:pPr>
            <w:r>
              <w:t>(d)</w:t>
            </w:r>
          </w:p>
        </w:tc>
      </w:tr>
      <w:tr w:rsidR="00A10557" w:rsidRPr="00116DAF" w14:paraId="7AE5C8CF" w14:textId="77777777" w:rsidTr="00A10557">
        <w:tc>
          <w:tcPr>
            <w:tcW w:w="9360" w:type="dxa"/>
          </w:tcPr>
          <w:p w14:paraId="414A9272" w14:textId="0CC1A2FC" w:rsidR="003A4438" w:rsidRDefault="003A4438" w:rsidP="00FB6BF5">
            <w:pPr>
              <w:pStyle w:val="Caption1"/>
              <w:jc w:val="center"/>
            </w:pPr>
            <w:r w:rsidRPr="00116DAF">
              <w:rPr>
                <w:noProof/>
              </w:rPr>
              <w:drawing>
                <wp:inline distT="0" distB="0" distL="0" distR="0" wp14:anchorId="7B965C09" wp14:editId="5D9AC796">
                  <wp:extent cx="5861050" cy="1663065"/>
                  <wp:effectExtent l="0" t="0" r="6350" b="13335"/>
                  <wp:docPr id="1053369471" name="Chart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C703B2" w14:textId="356D87B1" w:rsidR="003A4438" w:rsidRPr="00116DAF" w:rsidRDefault="003A4438" w:rsidP="00FB6BF5">
            <w:pPr>
              <w:pStyle w:val="Caption1"/>
              <w:jc w:val="center"/>
            </w:pPr>
            <w:r>
              <w:t>(e)</w:t>
            </w:r>
          </w:p>
        </w:tc>
      </w:tr>
    </w:tbl>
    <w:p w14:paraId="01206B18" w14:textId="62C521C6" w:rsidR="00D92258" w:rsidRDefault="00857161" w:rsidP="00D92258">
      <w:pPr>
        <w:pStyle w:val="Caption1"/>
      </w:pPr>
      <w:bookmarkStart w:id="10" w:name="_Ref221641047"/>
      <w:bookmarkEnd w:id="9"/>
      <w:r w:rsidRPr="00E27CE7">
        <w:rPr>
          <w:b/>
          <w:bCs/>
        </w:rPr>
        <w:t>Figure S</w:t>
      </w:r>
      <w:r w:rsidRPr="00E27CE7">
        <w:rPr>
          <w:b/>
          <w:bCs/>
        </w:rPr>
        <w:fldChar w:fldCharType="begin"/>
      </w:r>
      <w:r w:rsidRPr="00E27CE7">
        <w:rPr>
          <w:b/>
          <w:bCs/>
        </w:rPr>
        <w:instrText xml:space="preserve"> SEQ Figure \* ARABIC </w:instrText>
      </w:r>
      <w:r w:rsidRPr="00E27CE7">
        <w:rPr>
          <w:b/>
          <w:bCs/>
        </w:rPr>
        <w:fldChar w:fldCharType="separate"/>
      </w:r>
      <w:r w:rsidR="00271527">
        <w:rPr>
          <w:b/>
          <w:bCs/>
          <w:noProof/>
        </w:rPr>
        <w:t>7</w:t>
      </w:r>
      <w:r w:rsidRPr="00E27CE7">
        <w:rPr>
          <w:b/>
          <w:bCs/>
        </w:rPr>
        <w:fldChar w:fldCharType="end"/>
      </w:r>
      <w:bookmarkEnd w:id="10"/>
      <w:r w:rsidRPr="00E27CE7">
        <w:rPr>
          <w:b/>
          <w:bCs/>
        </w:rPr>
        <w:t xml:space="preserve"> | </w:t>
      </w:r>
      <w:r w:rsidR="00D92258" w:rsidRPr="00D92258">
        <w:rPr>
          <w:rStyle w:val="Strong"/>
        </w:rPr>
        <w:t>Elemental concentrations in bean roots grown in EPM-amended soil</w:t>
      </w:r>
    </w:p>
    <w:p w14:paraId="3A2995D4" w14:textId="55C97D5A" w:rsidR="00DA42ED" w:rsidRDefault="00D92258" w:rsidP="00D92258">
      <w:pPr>
        <w:pStyle w:val="Caption1"/>
      </w:pPr>
      <w:r>
        <w:t>XRF-determined elemental concentrations (ppm) in bean roots exposed to different EPM concentrations.</w:t>
      </w:r>
      <w:r>
        <w:br/>
        <w:t xml:space="preserve">(a) Essential macronutrients (Mg, P, Ca, K) are elevated in roots from 50 and 500 </w:t>
      </w:r>
      <w:r w:rsidR="008D077B">
        <w:t xml:space="preserve">mg L⁻¹ </w:t>
      </w:r>
      <w:r>
        <w:t xml:space="preserve"> EPM treatments, whereas roots from the 100 </w:t>
      </w:r>
      <w:r w:rsidR="008D077B">
        <w:t xml:space="preserve">mg L⁻¹ </w:t>
      </w:r>
      <w:r>
        <w:t xml:space="preserve"> treatment show concentrations comparable to the control.</w:t>
      </w:r>
      <w:r>
        <w:br/>
        <w:t>(b) Essential micronutrients (Mn, Fe, Cu, Zn, Mo, Ni) follow a similar trend.</w:t>
      </w:r>
      <w:r w:rsidR="00DA42ED">
        <w:t xml:space="preserve"> </w:t>
      </w:r>
    </w:p>
    <w:p w14:paraId="279F8BAD" w14:textId="42119B3F" w:rsidR="001E4632" w:rsidRDefault="00D92258" w:rsidP="00D92258">
      <w:pPr>
        <w:pStyle w:val="Caption1"/>
      </w:pPr>
      <w:r>
        <w:t xml:space="preserve">(c) Beneficial elements (Si, Co, Se, Sr, Rb) are lower in the 100 </w:t>
      </w:r>
      <w:r w:rsidR="008D077B">
        <w:t>mg L⁻</w:t>
      </w:r>
      <w:r w:rsidR="001E4632">
        <w:t>¹ treatment</w:t>
      </w:r>
      <w:r>
        <w:t xml:space="preserve"> relative to 50 and 500 </w:t>
      </w:r>
      <w:r w:rsidR="008D077B">
        <w:t>mg L⁻¹</w:t>
      </w:r>
      <w:r>
        <w:t>.</w:t>
      </w:r>
      <w:r w:rsidR="001E4632">
        <w:t xml:space="preserve"> </w:t>
      </w:r>
    </w:p>
    <w:p w14:paraId="090B701C" w14:textId="77777777" w:rsidR="001E4632" w:rsidRDefault="00D92258" w:rsidP="00D92258">
      <w:pPr>
        <w:pStyle w:val="Caption1"/>
      </w:pPr>
      <w:r>
        <w:t>(d)</w:t>
      </w:r>
      <w:r w:rsidR="001E4632">
        <w:t xml:space="preserve"> </w:t>
      </w:r>
      <w:r>
        <w:t>Potentially toxic elements (Cr, Cd, U) show no systematic variation across treatments.</w:t>
      </w:r>
      <w:r w:rsidR="001E4632">
        <w:t xml:space="preserve"> </w:t>
      </w:r>
    </w:p>
    <w:p w14:paraId="53B91803" w14:textId="6529A0D1" w:rsidR="00D92258" w:rsidRDefault="00D92258" w:rsidP="00D92258">
      <w:pPr>
        <w:pStyle w:val="Caption1"/>
      </w:pPr>
      <w:r>
        <w:t>(e) Lithogenic tracers (Sc, Ti, W) display trends comparable to macronutrients.</w:t>
      </w:r>
    </w:p>
    <w:p w14:paraId="6287F383" w14:textId="13D5D0D0" w:rsidR="00AE05F9" w:rsidRDefault="00D92258" w:rsidP="00857161">
      <w:pPr>
        <w:pStyle w:val="Caption1"/>
      </w:pPr>
      <w:r>
        <w:t xml:space="preserve">These results indicate enhanced elemental accumulation in roots at low and high EPM concentrations, while moderate EPM application maintains elemental levels </w:t>
      </w:r>
      <w:proofErr w:type="gramStart"/>
      <w:r>
        <w:t>similar to</w:t>
      </w:r>
      <w:proofErr w:type="gramEnd"/>
      <w:r>
        <w:t xml:space="preserve"> the control.</w:t>
      </w:r>
    </w:p>
    <w:p w14:paraId="764DD676" w14:textId="4EC01DC1" w:rsidR="00D63B03" w:rsidRDefault="00D63B03" w:rsidP="004132F0"/>
    <w:p w14:paraId="7C548A36" w14:textId="320F68CF" w:rsidR="009778F8" w:rsidRPr="009778F8" w:rsidRDefault="009778F8" w:rsidP="009778F8">
      <w:pPr>
        <w:rPr>
          <w:lang w:bidi="bn-IN"/>
        </w:rPr>
      </w:pPr>
      <w:r w:rsidRPr="009778F8">
        <w:rPr>
          <w:lang w:bidi="bn-IN"/>
        </w:rPr>
        <w:t>The PCA biplot of root elemental composition reveals a strong treatment-dependent structuring of elemental uptake and accumulation (</w:t>
      </w:r>
      <w:r>
        <w:fldChar w:fldCharType="begin"/>
      </w:r>
      <w:r>
        <w:instrText xml:space="preserve"> REF _Ref221743529 \h </w:instrText>
      </w:r>
      <w:r>
        <w:fldChar w:fldCharType="separate"/>
      </w:r>
      <w:r w:rsidR="00271527" w:rsidRPr="00E27CE7">
        <w:rPr>
          <w:b/>
          <w:bCs/>
        </w:rPr>
        <w:t>Figure S</w:t>
      </w:r>
      <w:r w:rsidR="00271527">
        <w:rPr>
          <w:b/>
          <w:bCs/>
          <w:noProof/>
        </w:rPr>
        <w:t>8</w:t>
      </w:r>
      <w:r>
        <w:fldChar w:fldCharType="end"/>
      </w:r>
      <w:r w:rsidRPr="009778F8">
        <w:rPr>
          <w:lang w:bidi="bn-IN"/>
        </w:rPr>
        <w:t xml:space="preserve">). </w:t>
      </w:r>
      <w:r w:rsidRPr="009778F8">
        <w:t>PC1 (61.6%) represents the dominant gradient in root geochemistry and clearly separates the control and low-to-moderate EPM treatments from the higher EPM concentration. Elements loading positively on PC1</w:t>
      </w:r>
      <w:r>
        <w:t xml:space="preserve">, </w:t>
      </w:r>
      <w:r w:rsidRPr="009778F8">
        <w:t>most notably U, Sc, Mo, and Zr</w:t>
      </w:r>
      <w:r>
        <w:rPr>
          <w:lang w:bidi="bn-IN"/>
        </w:rPr>
        <w:t xml:space="preserve">, </w:t>
      </w:r>
      <w:r w:rsidRPr="009778F8">
        <w:rPr>
          <w:lang w:bidi="bn-IN"/>
        </w:rPr>
        <w:t>align with the control and 100 mg L⁻¹ EPM samples, indicating a root elemental signature characterized by relatively conservative uptake of these elements under lower amendment levels.</w:t>
      </w:r>
    </w:p>
    <w:p w14:paraId="52472CC8" w14:textId="78FC803A" w:rsidR="009778F8" w:rsidRPr="009778F8" w:rsidRDefault="009778F8" w:rsidP="009778F8">
      <w:pPr>
        <w:rPr>
          <w:lang w:bidi="bn-IN"/>
        </w:rPr>
      </w:pPr>
      <w:r w:rsidRPr="009778F8">
        <w:rPr>
          <w:lang w:bidi="bn-IN"/>
        </w:rPr>
        <w:t xml:space="preserve">In contrast, </w:t>
      </w:r>
      <w:proofErr w:type="gramStart"/>
      <w:r w:rsidRPr="009778F8">
        <w:rPr>
          <w:lang w:bidi="bn-IN"/>
        </w:rPr>
        <w:t>the majority of</w:t>
      </w:r>
      <w:proofErr w:type="gramEnd"/>
      <w:r w:rsidRPr="009778F8">
        <w:rPr>
          <w:lang w:bidi="bn-IN"/>
        </w:rPr>
        <w:t xml:space="preserve"> elements, including </w:t>
      </w:r>
      <w:r w:rsidRPr="009778F8">
        <w:t>V, Cd, Nb, Rb, Sr, Cu, Fe, Cl, W, Cr, K, Ca, Si, S, P, Ag, Zn, and Ti,</w:t>
      </w:r>
      <w:r w:rsidRPr="009778F8">
        <w:rPr>
          <w:lang w:bidi="bn-IN"/>
        </w:rPr>
        <w:t xml:space="preserve"> load negatively along PC1 and are associated with higher EPM concentrations. </w:t>
      </w:r>
      <w:r w:rsidRPr="009778F8">
        <w:rPr>
          <w:lang w:bidi="bn-IN"/>
        </w:rPr>
        <w:lastRenderedPageBreak/>
        <w:t>This pattern indicates that increasing EPM dosage promotes enhanced accumulation of a broad suite of macro-, micro-, and potentially toxic elements in roots, consistent with increased ion retention, complexation, or facilitated transport at the root</w:t>
      </w:r>
      <w:r>
        <w:rPr>
          <w:lang w:bidi="bn-IN"/>
        </w:rPr>
        <w:t>-</w:t>
      </w:r>
      <w:r w:rsidRPr="009778F8">
        <w:rPr>
          <w:lang w:bidi="bn-IN"/>
        </w:rPr>
        <w:t>soil interface.</w:t>
      </w:r>
    </w:p>
    <w:p w14:paraId="0F8DD58B" w14:textId="77777777" w:rsidR="009778F8" w:rsidRPr="009778F8" w:rsidRDefault="009778F8" w:rsidP="009778F8">
      <w:pPr>
        <w:rPr>
          <w:lang w:bidi="bn-IN"/>
        </w:rPr>
      </w:pPr>
      <w:r w:rsidRPr="009778F8">
        <w:t>PC2 (28.7%) captures a secondary but substantial gradient dominated by V and Sc, with contributions from Pd and U, reflecting element</w:t>
      </w:r>
      <w:r w:rsidRPr="009778F8">
        <w:rPr>
          <w:lang w:bidi="bn-IN"/>
        </w:rPr>
        <w:t>-specific uptake pathways and physiological regulation rather than bulk nutrient accumulation. The separation of samples along PC2 suggests differential sensitivity of certain trace elements to EPM-mediated changes in rhizosphere chemistry, potentially involving redox behavior, ligand binding, or transporter-level controls.</w:t>
      </w:r>
    </w:p>
    <w:p w14:paraId="50269DCB" w14:textId="34D58C58" w:rsidR="009778F8" w:rsidRDefault="009778F8" w:rsidP="004132F0">
      <w:pPr>
        <w:rPr>
          <w:lang w:bidi="bn-IN"/>
        </w:rPr>
      </w:pPr>
      <w:r w:rsidRPr="009778F8">
        <w:rPr>
          <w:lang w:bidi="bn-IN"/>
        </w:rPr>
        <w:t>Overall, the biplot demonstrates that EPM concentration is the primary driver of root elemental composition (PC1), while PC2 reflects selective and element-specific uptake responses. Notably, the 100 mg L⁻¹ EPM treatment clusters close to the control, indicating that moderate amendment maintains a root elemental profile comparable to unamended conditions, whereas higher EPM levels induce broad-scale elemental enrichment in root tissues.</w:t>
      </w:r>
    </w:p>
    <w:p w14:paraId="1A04F746" w14:textId="4B8EFE30" w:rsidR="00370672" w:rsidRDefault="00370672" w:rsidP="00857161">
      <w:pPr>
        <w:pStyle w:val="Caption1"/>
        <w:rPr>
          <w:b/>
          <w:bCs/>
        </w:rPr>
      </w:pPr>
      <w:r w:rsidRPr="007A337A">
        <w:rPr>
          <w:noProof/>
        </w:rPr>
        <w:drawing>
          <wp:inline distT="0" distB="0" distL="0" distR="0" wp14:anchorId="47BA5566" wp14:editId="65E99EC4">
            <wp:extent cx="5933487" cy="4059621"/>
            <wp:effectExtent l="0" t="0" r="0" b="4445"/>
            <wp:docPr id="194843750"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750" name="Picture 1" descr="A diagram of a graph&#10;&#10;AI-generated content may be incorrect."/>
                    <pic:cNvPicPr/>
                  </pic:nvPicPr>
                  <pic:blipFill>
                    <a:blip r:embed="rId24" cstate="email">
                      <a:extLst>
                        <a:ext uri="{28A0092B-C50C-407E-A947-70E740481C1C}">
                          <a14:useLocalDpi xmlns:a14="http://schemas.microsoft.com/office/drawing/2010/main"/>
                        </a:ext>
                      </a:extLst>
                    </a:blip>
                    <a:stretch>
                      <a:fillRect/>
                    </a:stretch>
                  </pic:blipFill>
                  <pic:spPr>
                    <a:xfrm>
                      <a:off x="0" y="0"/>
                      <a:ext cx="6005748" cy="4109061"/>
                    </a:xfrm>
                    <a:prstGeom prst="rect">
                      <a:avLst/>
                    </a:prstGeom>
                  </pic:spPr>
                </pic:pic>
              </a:graphicData>
            </a:graphic>
          </wp:inline>
        </w:drawing>
      </w:r>
    </w:p>
    <w:p w14:paraId="3C95861F" w14:textId="15151DF5" w:rsidR="006706CF" w:rsidRPr="006706CF" w:rsidRDefault="005F78A7" w:rsidP="006706CF">
      <w:pPr>
        <w:pStyle w:val="Caption1"/>
      </w:pPr>
      <w:bookmarkStart w:id="11" w:name="_Ref221743529"/>
      <w:r w:rsidRPr="00E27CE7">
        <w:rPr>
          <w:b/>
          <w:bCs/>
        </w:rPr>
        <w:t>Figure S</w:t>
      </w:r>
      <w:r w:rsidRPr="00E27CE7">
        <w:rPr>
          <w:b/>
          <w:bCs/>
        </w:rPr>
        <w:fldChar w:fldCharType="begin"/>
      </w:r>
      <w:r w:rsidRPr="00E27CE7">
        <w:rPr>
          <w:b/>
          <w:bCs/>
        </w:rPr>
        <w:instrText xml:space="preserve"> SEQ Figure \* ARABIC </w:instrText>
      </w:r>
      <w:r w:rsidRPr="00E27CE7">
        <w:rPr>
          <w:b/>
          <w:bCs/>
        </w:rPr>
        <w:fldChar w:fldCharType="separate"/>
      </w:r>
      <w:r w:rsidR="00271527">
        <w:rPr>
          <w:b/>
          <w:bCs/>
          <w:noProof/>
        </w:rPr>
        <w:t>8</w:t>
      </w:r>
      <w:r w:rsidRPr="00E27CE7">
        <w:rPr>
          <w:b/>
          <w:bCs/>
        </w:rPr>
        <w:fldChar w:fldCharType="end"/>
      </w:r>
      <w:bookmarkEnd w:id="11"/>
      <w:r w:rsidRPr="00E27CE7">
        <w:rPr>
          <w:b/>
          <w:bCs/>
        </w:rPr>
        <w:t xml:space="preserve"> | </w:t>
      </w:r>
      <w:bookmarkEnd w:id="7"/>
      <w:r w:rsidR="006706CF" w:rsidRPr="006706CF">
        <w:rPr>
          <w:rStyle w:val="Strong"/>
        </w:rPr>
        <w:t>PCA loading plot of elemental contributions in bean roots</w:t>
      </w:r>
      <w:r w:rsidR="00D7278E">
        <w:rPr>
          <w:rStyle w:val="Strong"/>
        </w:rPr>
        <w:t>.</w:t>
      </w:r>
    </w:p>
    <w:p w14:paraId="2155CA69" w14:textId="59068AD5" w:rsidR="00857161" w:rsidRDefault="006706CF" w:rsidP="00857161">
      <w:pPr>
        <w:pStyle w:val="Caption1"/>
      </w:pPr>
      <w:r>
        <w:lastRenderedPageBreak/>
        <w:t xml:space="preserve">PCA loading plot illustrating the contribution of individual elements to sample separation across EPM treatments. Elements such as Pd, Sc, U, Mo, and Zr load on the same side of PC1 as the control and 100 </w:t>
      </w:r>
      <w:r w:rsidR="008D077B">
        <w:t xml:space="preserve">mg L⁻¹ </w:t>
      </w:r>
      <w:r>
        <w:t xml:space="preserve"> EPM samples, whereas elements including V, Cd, Nb, Rb, Sr, Cu, Fe, Cl, W, Cr, K, Ca, Si, S, P, Ag, Zn, and Ti load oppositely. This distribution indicates that increased EPM concentrations promote greater accumulation of most macro-, micro-, and potentially toxic elements in roots, while the 100 </w:t>
      </w:r>
      <w:r w:rsidR="008D077B">
        <w:t>mg L⁻</w:t>
      </w:r>
      <w:r w:rsidR="009778F8">
        <w:t>¹ treatment</w:t>
      </w:r>
      <w:r>
        <w:t xml:space="preserve"> maintains an elemental profile </w:t>
      </w:r>
      <w:proofErr w:type="gramStart"/>
      <w:r>
        <w:t>similar to</w:t>
      </w:r>
      <w:proofErr w:type="gramEnd"/>
      <w:r>
        <w:t xml:space="preserve"> the control.</w:t>
      </w:r>
    </w:p>
    <w:p w14:paraId="1A1BBE29" w14:textId="3987F78F" w:rsidR="00BB778D" w:rsidRDefault="00260B8E" w:rsidP="00BB778D">
      <w:pPr>
        <w:pStyle w:val="Heading2"/>
      </w:pPr>
      <w:r>
        <w:t>S</w:t>
      </w:r>
      <w:r w:rsidR="00A40E05">
        <w:t>5</w:t>
      </w:r>
      <w:r>
        <w:t xml:space="preserve">. </w:t>
      </w:r>
      <w:r w:rsidR="00BB778D">
        <w:t>Biological relevance of activated genes under EPM treatment</w:t>
      </w:r>
    </w:p>
    <w:p w14:paraId="7F8BF479" w14:textId="45DA165C" w:rsidR="00346984" w:rsidRDefault="00346984" w:rsidP="00346984">
      <w:pPr>
        <w:rPr>
          <w:lang w:bidi="bn-IN"/>
        </w:rPr>
      </w:pPr>
      <w:r w:rsidRPr="00F91AE2">
        <w:rPr>
          <w:lang w:bidi="bn-IN"/>
        </w:rPr>
        <w:t xml:space="preserve">To gain mechanistic insight into the biological processes underlying the growth-promoting effects of EPM, experiments were extended to </w:t>
      </w:r>
      <w:r w:rsidRPr="00F91AE2">
        <w:rPr>
          <w:i/>
          <w:iCs/>
          <w:lang w:bidi="bn-IN"/>
        </w:rPr>
        <w:t>Arabidopsis thaliana</w:t>
      </w:r>
      <w:r w:rsidRPr="00F91AE2">
        <w:rPr>
          <w:lang w:bidi="bn-IN"/>
        </w:rPr>
        <w:t>, a genetically well-characterized model organism that enables downstream analysis of gene-level regulation associated with plant growth and development. Digital root imaging revealed clear morphological differences between water-treated control plants and those exposed to EPM (</w:t>
      </w:r>
      <w:r>
        <w:rPr>
          <w:lang w:bidi="bn-IN"/>
        </w:rPr>
        <w:fldChar w:fldCharType="begin"/>
      </w:r>
      <w:r>
        <w:rPr>
          <w:lang w:bidi="bn-IN"/>
        </w:rPr>
        <w:instrText xml:space="preserve"> REF _Ref222236178 \h </w:instrText>
      </w:r>
      <w:r>
        <w:rPr>
          <w:lang w:bidi="bn-IN"/>
        </w:rPr>
      </w:r>
      <w:r>
        <w:rPr>
          <w:lang w:bidi="bn-IN"/>
        </w:rPr>
        <w:fldChar w:fldCharType="separate"/>
      </w:r>
      <w:r w:rsidR="00271527" w:rsidRPr="00E27CE7">
        <w:rPr>
          <w:b/>
          <w:bCs/>
        </w:rPr>
        <w:t>Figure S</w:t>
      </w:r>
      <w:r w:rsidR="00271527">
        <w:rPr>
          <w:b/>
          <w:bCs/>
          <w:noProof/>
        </w:rPr>
        <w:t>9</w:t>
      </w:r>
      <w:r>
        <w:rPr>
          <w:lang w:bidi="bn-IN"/>
        </w:rPr>
        <w:fldChar w:fldCharType="end"/>
      </w:r>
      <w:r w:rsidRPr="00F91AE2">
        <w:rPr>
          <w:lang w:bidi="bn-IN"/>
        </w:rPr>
        <w:t xml:space="preserve">). In control </w:t>
      </w:r>
      <w:r w:rsidRPr="00F91AE2">
        <w:rPr>
          <w:i/>
          <w:iCs/>
          <w:lang w:bidi="bn-IN"/>
        </w:rPr>
        <w:t>Arabidopsis</w:t>
      </w:r>
      <w:r w:rsidRPr="00F91AE2">
        <w:rPr>
          <w:lang w:bidi="bn-IN"/>
        </w:rPr>
        <w:t xml:space="preserve"> roots (</w:t>
      </w:r>
      <w:r>
        <w:rPr>
          <w:lang w:bidi="bn-IN"/>
        </w:rPr>
        <w:fldChar w:fldCharType="begin"/>
      </w:r>
      <w:r>
        <w:rPr>
          <w:lang w:bidi="bn-IN"/>
        </w:rPr>
        <w:instrText xml:space="preserve"> REF _Ref222236178 \h </w:instrText>
      </w:r>
      <w:r>
        <w:rPr>
          <w:lang w:bidi="bn-IN"/>
        </w:rPr>
      </w:r>
      <w:r>
        <w:rPr>
          <w:lang w:bidi="bn-IN"/>
        </w:rPr>
        <w:fldChar w:fldCharType="separate"/>
      </w:r>
      <w:r w:rsidR="00271527" w:rsidRPr="00E27CE7">
        <w:rPr>
          <w:b/>
          <w:bCs/>
        </w:rPr>
        <w:t>Figure S</w:t>
      </w:r>
      <w:r w:rsidR="00271527">
        <w:rPr>
          <w:b/>
          <w:bCs/>
          <w:noProof/>
        </w:rPr>
        <w:t>9</w:t>
      </w:r>
      <w:r>
        <w:rPr>
          <w:lang w:bidi="bn-IN"/>
        </w:rPr>
        <w:fldChar w:fldCharType="end"/>
      </w:r>
      <w:r>
        <w:rPr>
          <w:lang w:bidi="bn-IN"/>
        </w:rPr>
        <w:t xml:space="preserve"> </w:t>
      </w:r>
      <w:proofErr w:type="spellStart"/>
      <w:proofErr w:type="gramStart"/>
      <w:r w:rsidRPr="00271527">
        <w:rPr>
          <w:b/>
          <w:bCs/>
          <w:lang w:bidi="bn-IN"/>
        </w:rPr>
        <w:t>a,b</w:t>
      </w:r>
      <w:proofErr w:type="spellEnd"/>
      <w:proofErr w:type="gramEnd"/>
      <w:r w:rsidRPr="00F91AE2">
        <w:rPr>
          <w:lang w:bidi="bn-IN"/>
        </w:rPr>
        <w:t>), the root system consisted of relatively thin primary roots with limited development of lateral and fine roots. In contrast, plants treated with 125 mg/</w:t>
      </w:r>
      <w:r>
        <w:rPr>
          <w:lang w:bidi="bn-IN"/>
        </w:rPr>
        <w:t>L</w:t>
      </w:r>
      <w:r w:rsidRPr="00F91AE2">
        <w:rPr>
          <w:lang w:bidi="bn-IN"/>
        </w:rPr>
        <w:t xml:space="preserve"> soil EPM (</w:t>
      </w:r>
      <w:r>
        <w:rPr>
          <w:lang w:bidi="bn-IN"/>
        </w:rPr>
        <w:fldChar w:fldCharType="begin"/>
      </w:r>
      <w:r>
        <w:rPr>
          <w:lang w:bidi="bn-IN"/>
        </w:rPr>
        <w:instrText xml:space="preserve"> REF _Ref222236178 \h </w:instrText>
      </w:r>
      <w:r>
        <w:rPr>
          <w:lang w:bidi="bn-IN"/>
        </w:rPr>
      </w:r>
      <w:r>
        <w:rPr>
          <w:lang w:bidi="bn-IN"/>
        </w:rPr>
        <w:fldChar w:fldCharType="separate"/>
      </w:r>
      <w:r w:rsidR="00271527" w:rsidRPr="00E27CE7">
        <w:rPr>
          <w:b/>
          <w:bCs/>
        </w:rPr>
        <w:t>Figure S</w:t>
      </w:r>
      <w:r w:rsidR="00271527">
        <w:rPr>
          <w:b/>
          <w:bCs/>
          <w:noProof/>
        </w:rPr>
        <w:t>9</w:t>
      </w:r>
      <w:r>
        <w:rPr>
          <w:lang w:bidi="bn-IN"/>
        </w:rPr>
        <w:fldChar w:fldCharType="end"/>
      </w:r>
      <w:r>
        <w:rPr>
          <w:lang w:bidi="bn-IN"/>
        </w:rPr>
        <w:t xml:space="preserve"> </w:t>
      </w:r>
      <w:proofErr w:type="spellStart"/>
      <w:proofErr w:type="gramStart"/>
      <w:r w:rsidRPr="0092105E">
        <w:rPr>
          <w:b/>
          <w:bCs/>
          <w:lang w:bidi="bn-IN"/>
        </w:rPr>
        <w:t>c,d</w:t>
      </w:r>
      <w:proofErr w:type="spellEnd"/>
      <w:proofErr w:type="gramEnd"/>
      <w:r w:rsidRPr="00F91AE2">
        <w:rPr>
          <w:lang w:bidi="bn-IN"/>
        </w:rPr>
        <w:t xml:space="preserve">) exhibited visibly thicker roots and a markedly denser network of fine roots, resulting in a more compact and structurally complex root architecture. Root surfaces in the EPM-treated samples also appeared less uniform, with increased local bundling and aggregation of root strands compared to controls. These observations indicate that the root growth responses induced by EPM extend to </w:t>
      </w:r>
      <w:r w:rsidRPr="00F91AE2">
        <w:rPr>
          <w:i/>
          <w:iCs/>
          <w:lang w:bidi="bn-IN"/>
        </w:rPr>
        <w:t>Arabidopsis thaliana</w:t>
      </w:r>
      <w:r w:rsidRPr="00F91AE2">
        <w:rPr>
          <w:lang w:bidi="bn-IN"/>
        </w:rPr>
        <w:t xml:space="preserve">, supporting the use of this model system for probing EPM-mediated regulation of plant growth at the molecular level. </w:t>
      </w:r>
      <w:r>
        <w:rPr>
          <w:lang w:bidi="bn-IN"/>
        </w:rPr>
        <w:t xml:space="preserve"> </w:t>
      </w:r>
    </w:p>
    <w:p w14:paraId="372EBC6B" w14:textId="77777777" w:rsidR="00346984" w:rsidRPr="00F91AE2" w:rsidRDefault="00346984" w:rsidP="00346984">
      <w:pPr>
        <w:pStyle w:val="Caption1"/>
        <w:rPr>
          <w:rFonts w:cs="Times New Roman"/>
          <w:color w:val="auto"/>
          <w:lang w:bidi="bn-IN"/>
        </w:rPr>
      </w:pPr>
      <w:r w:rsidRPr="00F91AE2">
        <w:rPr>
          <w:noProof/>
          <w:bdr w:val="none" w:sz="0" w:space="0" w:color="auto" w:frame="1"/>
          <w:lang w:bidi="bn-IN"/>
        </w:rPr>
        <w:lastRenderedPageBreak/>
        <w:drawing>
          <wp:inline distT="0" distB="0" distL="0" distR="0" wp14:anchorId="7637D1EE" wp14:editId="567D8767">
            <wp:extent cx="5943600" cy="4422775"/>
            <wp:effectExtent l="0" t="0" r="0" b="0"/>
            <wp:docPr id="1665117568" name="Picture 6" descr="A collage of several images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17568" name="Picture 6" descr="A collage of several images of a plant&#10;&#10;AI-generated content may be incorrec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3600" cy="4422775"/>
                    </a:xfrm>
                    <a:prstGeom prst="rect">
                      <a:avLst/>
                    </a:prstGeom>
                    <a:noFill/>
                    <a:ln>
                      <a:noFill/>
                    </a:ln>
                  </pic:spPr>
                </pic:pic>
              </a:graphicData>
            </a:graphic>
          </wp:inline>
        </w:drawing>
      </w:r>
    </w:p>
    <w:p w14:paraId="16FF3575" w14:textId="6093294F" w:rsidR="00346984" w:rsidRPr="00F91AE2" w:rsidRDefault="00346984" w:rsidP="00346984">
      <w:pPr>
        <w:pStyle w:val="Caption1"/>
        <w:rPr>
          <w:rFonts w:cs="Times New Roman"/>
          <w:color w:val="auto"/>
          <w:lang w:bidi="bn-IN"/>
        </w:rPr>
      </w:pPr>
      <w:bookmarkStart w:id="12" w:name="_Ref222236178"/>
      <w:r w:rsidRPr="00E27CE7">
        <w:rPr>
          <w:b/>
          <w:bCs/>
        </w:rPr>
        <w:t>Figure S</w:t>
      </w:r>
      <w:r w:rsidRPr="00E27CE7">
        <w:rPr>
          <w:b/>
          <w:bCs/>
        </w:rPr>
        <w:fldChar w:fldCharType="begin"/>
      </w:r>
      <w:r w:rsidRPr="00E27CE7">
        <w:rPr>
          <w:b/>
          <w:bCs/>
        </w:rPr>
        <w:instrText xml:space="preserve"> SEQ Figure \* ARABIC </w:instrText>
      </w:r>
      <w:r w:rsidRPr="00E27CE7">
        <w:rPr>
          <w:b/>
          <w:bCs/>
        </w:rPr>
        <w:fldChar w:fldCharType="separate"/>
      </w:r>
      <w:r w:rsidR="00271527">
        <w:rPr>
          <w:b/>
          <w:bCs/>
          <w:noProof/>
        </w:rPr>
        <w:t>9</w:t>
      </w:r>
      <w:r w:rsidRPr="00E27CE7">
        <w:rPr>
          <w:b/>
          <w:bCs/>
        </w:rPr>
        <w:fldChar w:fldCharType="end"/>
      </w:r>
      <w:bookmarkEnd w:id="12"/>
      <w:r w:rsidRPr="0012133F">
        <w:t xml:space="preserve"> |</w:t>
      </w:r>
      <w:r w:rsidRPr="00F91AE2">
        <w:rPr>
          <w:lang w:bidi="bn-IN"/>
        </w:rPr>
        <w:t xml:space="preserve"> Roots digital imaging obtained from water treated Arabidopsis (a, b) and Arabidopsis treated with 125 mg/</w:t>
      </w:r>
      <w:r>
        <w:rPr>
          <w:lang w:bidi="bn-IN"/>
        </w:rPr>
        <w:t>L</w:t>
      </w:r>
      <w:r w:rsidRPr="00F91AE2">
        <w:rPr>
          <w:lang w:bidi="bn-IN"/>
        </w:rPr>
        <w:t xml:space="preserve"> soil of EPM (c, d). (Red scale bar – 1000 </w:t>
      </w:r>
      <w:proofErr w:type="spellStart"/>
      <w:r w:rsidRPr="00F91AE2">
        <w:rPr>
          <w:lang w:bidi="bn-IN"/>
        </w:rPr>
        <w:t>μm</w:t>
      </w:r>
      <w:proofErr w:type="spellEnd"/>
      <w:r w:rsidRPr="00F91AE2">
        <w:rPr>
          <w:lang w:bidi="bn-IN"/>
        </w:rPr>
        <w:t xml:space="preserve">; blue scale bar – 250 </w:t>
      </w:r>
      <w:proofErr w:type="spellStart"/>
      <w:r w:rsidRPr="00F91AE2">
        <w:rPr>
          <w:lang w:bidi="bn-IN"/>
        </w:rPr>
        <w:t>μm</w:t>
      </w:r>
      <w:proofErr w:type="spellEnd"/>
      <w:r w:rsidRPr="00F91AE2">
        <w:rPr>
          <w:lang w:bidi="bn-IN"/>
        </w:rPr>
        <w:t>).</w:t>
      </w:r>
    </w:p>
    <w:p w14:paraId="2D024C1B" w14:textId="24B5A827" w:rsidR="008B6B0D" w:rsidRDefault="00FB5B7B">
      <w:r>
        <w:t>Activated genes under EPM treatment reveal a coordinated molecular response supporting root adaptation to altered soil conditions (</w:t>
      </w:r>
      <w:r>
        <w:rPr>
          <w:b/>
          <w:bCs/>
        </w:rPr>
        <w:fldChar w:fldCharType="begin"/>
      </w:r>
      <w:r>
        <w:rPr>
          <w:b/>
          <w:bCs/>
        </w:rPr>
        <w:instrText xml:space="preserve"> REF _Ref221131479 \h </w:instrText>
      </w:r>
      <w:r>
        <w:rPr>
          <w:b/>
          <w:bCs/>
        </w:rPr>
      </w:r>
      <w:r>
        <w:rPr>
          <w:b/>
          <w:bCs/>
        </w:rPr>
        <w:fldChar w:fldCharType="separate"/>
      </w:r>
      <w:r w:rsidR="00271527" w:rsidRPr="003E6A54">
        <w:rPr>
          <w:b/>
          <w:bCs/>
        </w:rPr>
        <w:t>Figure S</w:t>
      </w:r>
      <w:r w:rsidR="00271527">
        <w:rPr>
          <w:b/>
          <w:bCs/>
          <w:noProof/>
        </w:rPr>
        <w:t>10</w:t>
      </w:r>
      <w:r>
        <w:rPr>
          <w:b/>
          <w:bCs/>
        </w:rPr>
        <w:fldChar w:fldCharType="end"/>
      </w:r>
      <w:r>
        <w:t xml:space="preserve">). Strong induction of small heat shock proteins (HSP22.0 and HSP18.1/HSP18.2) suggests enhanced molecular chaperone activity to stabilize proteins and cellular structures under mechanical and environmental stress imposed by EPM-amended soil. Upregulation of GPT2 indicates increased metabolite exchange between the cytosol and chloroplasts, supporting elevated energy and carbon demands during stress-responsive growth. Elevated expression of APX2 reflects strengthened antioxidant capacity and redox homeostasis, consistent with controlled ROS signaling during root adjustment. Activation of the transcription factor SPL5 implies broader transcriptional reprogramming linked to developmental and stress-adaptive pathways. Increased EXT17 expression further indicates active cell wall remodeling and reinforcement, suggesting structural modification of roots to accommodate changes in soil physical properties. Moderately activated genes reinforce this response, showing coordinated upregulation of ROS-scavenging enzymes (PEROX, APX1, APX3), additional small heat shock </w:t>
      </w:r>
      <w:r>
        <w:lastRenderedPageBreak/>
        <w:t xml:space="preserve">proteins (HSP17, HSP20, HSP21), transcription factors (MYB, NAC, SPL3), and metabolic regulators, collectively supporting cellular protection, hormonal balance, and structural integrity during root growth in EPM-treated soil. </w:t>
      </w:r>
      <w:r>
        <w:rPr>
          <w:b/>
          <w:bCs/>
        </w:rPr>
        <w:fldChar w:fldCharType="begin"/>
      </w:r>
      <w:r>
        <w:rPr>
          <w:b/>
          <w:bCs/>
        </w:rPr>
        <w:instrText xml:space="preserve"> REF _Ref221131479 \h </w:instrText>
      </w:r>
      <w:r>
        <w:rPr>
          <w:b/>
          <w:bCs/>
        </w:rPr>
      </w:r>
      <w:r>
        <w:rPr>
          <w:b/>
          <w:bCs/>
        </w:rPr>
        <w:fldChar w:fldCharType="separate"/>
      </w:r>
      <w:r w:rsidR="00271527" w:rsidRPr="003E6A54">
        <w:rPr>
          <w:b/>
          <w:bCs/>
        </w:rPr>
        <w:t>Figure S</w:t>
      </w:r>
      <w:r w:rsidR="00271527">
        <w:rPr>
          <w:b/>
          <w:bCs/>
          <w:noProof/>
        </w:rPr>
        <w:t>10</w:t>
      </w:r>
      <w:r>
        <w:rPr>
          <w:b/>
          <w:bCs/>
        </w:rPr>
        <w:fldChar w:fldCharType="end"/>
      </w:r>
      <w:r>
        <w:t xml:space="preserve"> presents these responses as three bar plots depicting strongly (a), moderately (b), and lightly (c) activated genes.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0"/>
      </w:tblGrid>
      <w:tr w:rsidR="006E795B" w14:paraId="029D7606" w14:textId="77777777" w:rsidTr="00EE218D">
        <w:tc>
          <w:tcPr>
            <w:tcW w:w="8820" w:type="dxa"/>
          </w:tcPr>
          <w:p w14:paraId="79DD2878" w14:textId="674254C9" w:rsidR="006E795B" w:rsidRDefault="006E795B" w:rsidP="00ED309D">
            <w:pPr>
              <w:pStyle w:val="Caption1"/>
              <w:jc w:val="center"/>
            </w:pPr>
            <w:r>
              <w:rPr>
                <w:noProof/>
              </w:rPr>
              <w:drawing>
                <wp:inline distT="0" distB="0" distL="0" distR="0" wp14:anchorId="76BB8F4A" wp14:editId="15E7BA9C">
                  <wp:extent cx="5876144" cy="1585595"/>
                  <wp:effectExtent l="0" t="0" r="17145" b="14605"/>
                  <wp:docPr id="1711824633" name="Chart 1">
                    <a:extLst xmlns:a="http://schemas.openxmlformats.org/drawingml/2006/main">
                      <a:ext uri="{FF2B5EF4-FFF2-40B4-BE49-F238E27FC236}">
                        <a16:creationId xmlns:a16="http://schemas.microsoft.com/office/drawing/2014/main" id="{11C5D740-1336-AEBE-0196-A3C896759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34D35E" w14:textId="2B275823" w:rsidR="006E795B" w:rsidRDefault="006E795B" w:rsidP="00ED309D">
            <w:pPr>
              <w:pStyle w:val="Caption1"/>
              <w:jc w:val="center"/>
            </w:pPr>
            <w:r>
              <w:t>(a)</w:t>
            </w:r>
          </w:p>
        </w:tc>
      </w:tr>
      <w:tr w:rsidR="006E795B" w14:paraId="4AC5E2A1" w14:textId="77777777" w:rsidTr="00EE218D">
        <w:tc>
          <w:tcPr>
            <w:tcW w:w="8820" w:type="dxa"/>
          </w:tcPr>
          <w:p w14:paraId="4E37A240" w14:textId="38B23DAF" w:rsidR="006E795B" w:rsidRDefault="006E795B" w:rsidP="00ED309D">
            <w:pPr>
              <w:pStyle w:val="Caption1"/>
              <w:jc w:val="center"/>
            </w:pPr>
            <w:r>
              <w:rPr>
                <w:noProof/>
              </w:rPr>
              <w:drawing>
                <wp:inline distT="0" distB="0" distL="0" distR="0" wp14:anchorId="28F52F4D" wp14:editId="75EEA279">
                  <wp:extent cx="5748655" cy="2233295"/>
                  <wp:effectExtent l="0" t="0" r="17145" b="14605"/>
                  <wp:docPr id="1733916190" name="Chart 1">
                    <a:extLst xmlns:a="http://schemas.openxmlformats.org/drawingml/2006/main">
                      <a:ext uri="{FF2B5EF4-FFF2-40B4-BE49-F238E27FC236}">
                        <a16:creationId xmlns:a16="http://schemas.microsoft.com/office/drawing/2014/main" id="{4A461B95-07E7-A444-BFC8-984C3741B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C5727C" w14:textId="5277D600" w:rsidR="006E795B" w:rsidRDefault="006E795B" w:rsidP="00ED309D">
            <w:pPr>
              <w:pStyle w:val="Caption1"/>
              <w:jc w:val="center"/>
            </w:pPr>
            <w:r>
              <w:t>(b)</w:t>
            </w:r>
          </w:p>
        </w:tc>
      </w:tr>
      <w:tr w:rsidR="006E795B" w14:paraId="5FDCAC30" w14:textId="77777777" w:rsidTr="00EE218D">
        <w:tc>
          <w:tcPr>
            <w:tcW w:w="8820" w:type="dxa"/>
          </w:tcPr>
          <w:p w14:paraId="24941454" w14:textId="1F6D0E88" w:rsidR="006E795B" w:rsidRDefault="006E795B" w:rsidP="00ED309D">
            <w:pPr>
              <w:pStyle w:val="Caption1"/>
              <w:jc w:val="center"/>
            </w:pPr>
            <w:r>
              <w:rPr>
                <w:noProof/>
              </w:rPr>
              <w:lastRenderedPageBreak/>
              <w:drawing>
                <wp:inline distT="0" distB="0" distL="0" distR="0" wp14:anchorId="37C4DA2F" wp14:editId="5EDBF7D0">
                  <wp:extent cx="5853659" cy="3078480"/>
                  <wp:effectExtent l="0" t="0" r="13970" b="7620"/>
                  <wp:docPr id="1955803091" name="Chart 1">
                    <a:extLst xmlns:a="http://schemas.openxmlformats.org/drawingml/2006/main">
                      <a:ext uri="{FF2B5EF4-FFF2-40B4-BE49-F238E27FC236}">
                        <a16:creationId xmlns:a16="http://schemas.microsoft.com/office/drawing/2014/main" id="{513E0564-4294-0C46-903F-08D973443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(c)</w:t>
            </w:r>
          </w:p>
        </w:tc>
      </w:tr>
    </w:tbl>
    <w:p w14:paraId="33711F59" w14:textId="6D132B06" w:rsidR="00676188" w:rsidRDefault="008B6B0D" w:rsidP="00D24A77">
      <w:pPr>
        <w:pStyle w:val="Caption1"/>
      </w:pPr>
      <w:bookmarkStart w:id="13" w:name="_Ref221131479"/>
      <w:r w:rsidRPr="003E6A54">
        <w:rPr>
          <w:b/>
          <w:bCs/>
        </w:rPr>
        <w:t>Figure S</w:t>
      </w:r>
      <w:r w:rsidRPr="003E6A54">
        <w:rPr>
          <w:b/>
          <w:bCs/>
        </w:rPr>
        <w:fldChar w:fldCharType="begin"/>
      </w:r>
      <w:r w:rsidRPr="003E6A54">
        <w:rPr>
          <w:b/>
          <w:bCs/>
        </w:rPr>
        <w:instrText xml:space="preserve"> SEQ Figure \* ARABIC </w:instrText>
      </w:r>
      <w:r w:rsidRPr="003E6A54">
        <w:rPr>
          <w:b/>
          <w:bCs/>
        </w:rPr>
        <w:fldChar w:fldCharType="separate"/>
      </w:r>
      <w:r w:rsidR="00271527">
        <w:rPr>
          <w:b/>
          <w:bCs/>
          <w:noProof/>
        </w:rPr>
        <w:t>10</w:t>
      </w:r>
      <w:r w:rsidRPr="003E6A54">
        <w:rPr>
          <w:b/>
          <w:bCs/>
        </w:rPr>
        <w:fldChar w:fldCharType="end"/>
      </w:r>
      <w:bookmarkEnd w:id="13"/>
      <w:r w:rsidRPr="003E6A54">
        <w:rPr>
          <w:b/>
          <w:bCs/>
        </w:rPr>
        <w:t xml:space="preserve"> | </w:t>
      </w:r>
      <w:r w:rsidRPr="006535AF">
        <w:rPr>
          <w:rStyle w:val="Strong"/>
        </w:rPr>
        <w:t>G</w:t>
      </w:r>
      <w:r>
        <w:rPr>
          <w:rStyle w:val="Strong"/>
        </w:rPr>
        <w:t xml:space="preserve">ene activation for </w:t>
      </w:r>
      <w:r w:rsidRPr="008627BF">
        <w:rPr>
          <w:rStyle w:val="Strong"/>
          <w:i w:val="0"/>
          <w:iCs w:val="0"/>
        </w:rPr>
        <w:t>Arabidopsis thaliana</w:t>
      </w:r>
      <w:r>
        <w:rPr>
          <w:rStyle w:val="Strong"/>
        </w:rPr>
        <w:t xml:space="preserve"> with EPM over control</w:t>
      </w:r>
      <w:r w:rsidR="00726679">
        <w:rPr>
          <w:rStyle w:val="Strong"/>
        </w:rPr>
        <w:t xml:space="preserve"> (RNA-seq)</w:t>
      </w:r>
      <w:r w:rsidR="00BF0F9C">
        <w:rPr>
          <w:rStyle w:val="Strong"/>
        </w:rPr>
        <w:t>.</w:t>
      </w:r>
      <w:r w:rsidR="00BF0F9C">
        <w:t xml:space="preserve"> Bar plots showing gene activation in Arabidopsis roots under EPM-amended soil. Panel (a) depicts strongly activated genes, panel (b) shows moderately activated genes, and panel (c) presents lightly activated genes, highlighting coordinated responses in stress protection, antioxidant activity, transcriptional regulation, and cell wall remodeling supporting root adaptation to altered soil conditions.</w:t>
      </w:r>
      <w:bookmarkEnd w:id="0"/>
    </w:p>
    <w:p w14:paraId="70964911" w14:textId="4D21BD5F" w:rsidR="004403D3" w:rsidRPr="0018749C" w:rsidRDefault="004403D3" w:rsidP="00796E4B">
      <w:pPr>
        <w:pStyle w:val="Bibliography"/>
      </w:pPr>
    </w:p>
    <w:sectPr w:rsidR="004403D3" w:rsidRPr="0018749C" w:rsidSect="00785A4F">
      <w:footerReference w:type="even" r:id="rId29"/>
      <w:footerReference w:type="default" r:id="rId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85210" w14:textId="77777777" w:rsidR="009A3A22" w:rsidRDefault="009A3A22" w:rsidP="00B66737">
      <w:pPr>
        <w:spacing w:after="0" w:line="240" w:lineRule="auto"/>
      </w:pPr>
      <w:r>
        <w:separator/>
      </w:r>
    </w:p>
  </w:endnote>
  <w:endnote w:type="continuationSeparator" w:id="0">
    <w:p w14:paraId="3A5321B2" w14:textId="77777777" w:rsidR="009A3A22" w:rsidRDefault="009A3A22" w:rsidP="00B66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924090"/>
      <w:docPartObj>
        <w:docPartGallery w:val="Page Numbers (Bottom of Page)"/>
        <w:docPartUnique/>
      </w:docPartObj>
    </w:sdtPr>
    <w:sdtContent>
      <w:p w14:paraId="23F7DFEE" w14:textId="4B276273" w:rsidR="00B66737" w:rsidRDefault="00B66737" w:rsidP="0064249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18F47C5" w14:textId="77777777" w:rsidR="00B66737" w:rsidRDefault="00B66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0940691"/>
      <w:docPartObj>
        <w:docPartGallery w:val="Page Numbers (Bottom of Page)"/>
        <w:docPartUnique/>
      </w:docPartObj>
    </w:sdtPr>
    <w:sdtEndPr>
      <w:rPr>
        <w:rStyle w:val="PageNumber"/>
        <w:sz w:val="20"/>
        <w:szCs w:val="20"/>
      </w:rPr>
    </w:sdtEndPr>
    <w:sdtContent>
      <w:p w14:paraId="5C20EDDA" w14:textId="0E888D98" w:rsidR="00B66737" w:rsidRPr="00B66737" w:rsidRDefault="00B66737" w:rsidP="0064249E">
        <w:pPr>
          <w:pStyle w:val="Footer"/>
          <w:framePr w:wrap="none" w:vAnchor="text" w:hAnchor="margin" w:xAlign="center" w:y="1"/>
          <w:rPr>
            <w:rStyle w:val="PageNumber"/>
            <w:sz w:val="20"/>
            <w:szCs w:val="20"/>
          </w:rPr>
        </w:pPr>
        <w:r w:rsidRPr="00B66737">
          <w:rPr>
            <w:rStyle w:val="PageNumber"/>
            <w:sz w:val="20"/>
            <w:szCs w:val="20"/>
          </w:rPr>
          <w:fldChar w:fldCharType="begin"/>
        </w:r>
        <w:r w:rsidRPr="00B66737">
          <w:rPr>
            <w:rStyle w:val="PageNumber"/>
            <w:sz w:val="20"/>
            <w:szCs w:val="20"/>
          </w:rPr>
          <w:instrText xml:space="preserve"> PAGE </w:instrText>
        </w:r>
        <w:r w:rsidRPr="00B66737">
          <w:rPr>
            <w:rStyle w:val="PageNumber"/>
            <w:sz w:val="20"/>
            <w:szCs w:val="20"/>
          </w:rPr>
          <w:fldChar w:fldCharType="separate"/>
        </w:r>
        <w:r w:rsidRPr="00B66737">
          <w:rPr>
            <w:rStyle w:val="PageNumber"/>
            <w:noProof/>
            <w:sz w:val="20"/>
            <w:szCs w:val="20"/>
          </w:rPr>
          <w:t>1</w:t>
        </w:r>
        <w:r w:rsidRPr="00B66737">
          <w:rPr>
            <w:rStyle w:val="PageNumber"/>
            <w:sz w:val="20"/>
            <w:szCs w:val="20"/>
          </w:rPr>
          <w:fldChar w:fldCharType="end"/>
        </w:r>
      </w:p>
    </w:sdtContent>
  </w:sdt>
  <w:p w14:paraId="7C76759B" w14:textId="77777777" w:rsidR="00B66737" w:rsidRPr="00B66737" w:rsidRDefault="00B66737">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94A40" w14:textId="77777777" w:rsidR="009A3A22" w:rsidRDefault="009A3A22" w:rsidP="00B66737">
      <w:pPr>
        <w:spacing w:after="0" w:line="240" w:lineRule="auto"/>
      </w:pPr>
      <w:r>
        <w:separator/>
      </w:r>
    </w:p>
  </w:footnote>
  <w:footnote w:type="continuationSeparator" w:id="0">
    <w:p w14:paraId="270B8939" w14:textId="77777777" w:rsidR="009A3A22" w:rsidRDefault="009A3A22" w:rsidP="00B667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47E9A"/>
    <w:multiLevelType w:val="multilevel"/>
    <w:tmpl w:val="448877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8252B0"/>
    <w:multiLevelType w:val="multilevel"/>
    <w:tmpl w:val="F8A0D2D8"/>
    <w:lvl w:ilvl="0">
      <w:start w:val="3"/>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 w15:restartNumberingAfterBreak="0">
    <w:nsid w:val="1FC87423"/>
    <w:multiLevelType w:val="multilevel"/>
    <w:tmpl w:val="59FEC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6C417E"/>
    <w:multiLevelType w:val="multilevel"/>
    <w:tmpl w:val="70FCCB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0829217">
    <w:abstractNumId w:val="2"/>
  </w:num>
  <w:num w:numId="2" w16cid:durableId="1658915658">
    <w:abstractNumId w:val="0"/>
    <w:lvlOverride w:ilvl="0">
      <w:lvl w:ilvl="0">
        <w:numFmt w:val="decimal"/>
        <w:lvlText w:val="%1."/>
        <w:lvlJc w:val="left"/>
      </w:lvl>
    </w:lvlOverride>
  </w:num>
  <w:num w:numId="3" w16cid:durableId="1778939527">
    <w:abstractNumId w:val="3"/>
    <w:lvlOverride w:ilvl="0">
      <w:lvl w:ilvl="0">
        <w:numFmt w:val="decimal"/>
        <w:lvlText w:val="%1."/>
        <w:lvlJc w:val="left"/>
      </w:lvl>
    </w:lvlOverride>
  </w:num>
  <w:num w:numId="4" w16cid:durableId="426117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605"/>
    <w:rsid w:val="0000786E"/>
    <w:rsid w:val="00015657"/>
    <w:rsid w:val="000254BE"/>
    <w:rsid w:val="00035FD6"/>
    <w:rsid w:val="000647A3"/>
    <w:rsid w:val="000718BB"/>
    <w:rsid w:val="00081A0E"/>
    <w:rsid w:val="000A489D"/>
    <w:rsid w:val="000A6E01"/>
    <w:rsid w:val="000B12AD"/>
    <w:rsid w:val="000C46B6"/>
    <w:rsid w:val="000D7498"/>
    <w:rsid w:val="000D7BCD"/>
    <w:rsid w:val="000E2648"/>
    <w:rsid w:val="000E2FA8"/>
    <w:rsid w:val="000F3C59"/>
    <w:rsid w:val="000F3CAA"/>
    <w:rsid w:val="000F5850"/>
    <w:rsid w:val="00100480"/>
    <w:rsid w:val="00106ED3"/>
    <w:rsid w:val="00107989"/>
    <w:rsid w:val="00112E63"/>
    <w:rsid w:val="00116DAF"/>
    <w:rsid w:val="0012133F"/>
    <w:rsid w:val="00131741"/>
    <w:rsid w:val="0014240F"/>
    <w:rsid w:val="001529CD"/>
    <w:rsid w:val="001644AA"/>
    <w:rsid w:val="00166A9D"/>
    <w:rsid w:val="00175D78"/>
    <w:rsid w:val="0018749C"/>
    <w:rsid w:val="00191CAE"/>
    <w:rsid w:val="00196886"/>
    <w:rsid w:val="001B23C4"/>
    <w:rsid w:val="001B43A7"/>
    <w:rsid w:val="001D55EF"/>
    <w:rsid w:val="001D5F33"/>
    <w:rsid w:val="001E3389"/>
    <w:rsid w:val="001E4632"/>
    <w:rsid w:val="001E7F1E"/>
    <w:rsid w:val="001F3147"/>
    <w:rsid w:val="0020292E"/>
    <w:rsid w:val="002033FB"/>
    <w:rsid w:val="002137AD"/>
    <w:rsid w:val="00223C92"/>
    <w:rsid w:val="002240BA"/>
    <w:rsid w:val="00225251"/>
    <w:rsid w:val="00226772"/>
    <w:rsid w:val="00233D0A"/>
    <w:rsid w:val="002409E3"/>
    <w:rsid w:val="00254052"/>
    <w:rsid w:val="00255B27"/>
    <w:rsid w:val="0025729C"/>
    <w:rsid w:val="00260B8E"/>
    <w:rsid w:val="00265F14"/>
    <w:rsid w:val="00267E02"/>
    <w:rsid w:val="00271527"/>
    <w:rsid w:val="00273159"/>
    <w:rsid w:val="002820A9"/>
    <w:rsid w:val="00282A9E"/>
    <w:rsid w:val="002A102C"/>
    <w:rsid w:val="002A19CF"/>
    <w:rsid w:val="002A2481"/>
    <w:rsid w:val="002A345F"/>
    <w:rsid w:val="002A7A10"/>
    <w:rsid w:val="002B0980"/>
    <w:rsid w:val="002D445A"/>
    <w:rsid w:val="002E2CD1"/>
    <w:rsid w:val="002F07E6"/>
    <w:rsid w:val="00311A6E"/>
    <w:rsid w:val="00316046"/>
    <w:rsid w:val="00323726"/>
    <w:rsid w:val="00332318"/>
    <w:rsid w:val="0033290B"/>
    <w:rsid w:val="00336159"/>
    <w:rsid w:val="0034511B"/>
    <w:rsid w:val="00346984"/>
    <w:rsid w:val="00350A49"/>
    <w:rsid w:val="00352A8C"/>
    <w:rsid w:val="003552E6"/>
    <w:rsid w:val="003675F6"/>
    <w:rsid w:val="00370672"/>
    <w:rsid w:val="00377930"/>
    <w:rsid w:val="00384486"/>
    <w:rsid w:val="00393079"/>
    <w:rsid w:val="003A4438"/>
    <w:rsid w:val="003A520B"/>
    <w:rsid w:val="003B7DAE"/>
    <w:rsid w:val="003C1CEC"/>
    <w:rsid w:val="003C7852"/>
    <w:rsid w:val="003E41B1"/>
    <w:rsid w:val="003E5334"/>
    <w:rsid w:val="003E6A54"/>
    <w:rsid w:val="003E7596"/>
    <w:rsid w:val="00400637"/>
    <w:rsid w:val="00400995"/>
    <w:rsid w:val="00404B7F"/>
    <w:rsid w:val="004132F0"/>
    <w:rsid w:val="004360E1"/>
    <w:rsid w:val="004369C4"/>
    <w:rsid w:val="00437C82"/>
    <w:rsid w:val="004403D3"/>
    <w:rsid w:val="00453207"/>
    <w:rsid w:val="00453344"/>
    <w:rsid w:val="004564D0"/>
    <w:rsid w:val="0046149C"/>
    <w:rsid w:val="00463C6C"/>
    <w:rsid w:val="00487A2B"/>
    <w:rsid w:val="004A34A7"/>
    <w:rsid w:val="004B003C"/>
    <w:rsid w:val="004C45C9"/>
    <w:rsid w:val="004C639D"/>
    <w:rsid w:val="004E5A0B"/>
    <w:rsid w:val="004F0C5B"/>
    <w:rsid w:val="005032BF"/>
    <w:rsid w:val="005053D8"/>
    <w:rsid w:val="00520D0B"/>
    <w:rsid w:val="005244B9"/>
    <w:rsid w:val="005277E7"/>
    <w:rsid w:val="00537492"/>
    <w:rsid w:val="00541A0D"/>
    <w:rsid w:val="005451A8"/>
    <w:rsid w:val="00547329"/>
    <w:rsid w:val="0056443A"/>
    <w:rsid w:val="005676CC"/>
    <w:rsid w:val="00583A7A"/>
    <w:rsid w:val="0058473F"/>
    <w:rsid w:val="005A0CC7"/>
    <w:rsid w:val="005A14A3"/>
    <w:rsid w:val="005A4724"/>
    <w:rsid w:val="005A6470"/>
    <w:rsid w:val="005B6BA9"/>
    <w:rsid w:val="005C47D0"/>
    <w:rsid w:val="005C53F9"/>
    <w:rsid w:val="005D0373"/>
    <w:rsid w:val="005D41A8"/>
    <w:rsid w:val="005D4DEF"/>
    <w:rsid w:val="005E6D63"/>
    <w:rsid w:val="005F1C99"/>
    <w:rsid w:val="005F78A7"/>
    <w:rsid w:val="00600DAC"/>
    <w:rsid w:val="0060229C"/>
    <w:rsid w:val="00603364"/>
    <w:rsid w:val="00604E23"/>
    <w:rsid w:val="006143D5"/>
    <w:rsid w:val="00615504"/>
    <w:rsid w:val="00624F01"/>
    <w:rsid w:val="00625F64"/>
    <w:rsid w:val="006300B5"/>
    <w:rsid w:val="00635FE5"/>
    <w:rsid w:val="0065220B"/>
    <w:rsid w:val="006535AF"/>
    <w:rsid w:val="00655B2A"/>
    <w:rsid w:val="00655DCD"/>
    <w:rsid w:val="00656047"/>
    <w:rsid w:val="006601F7"/>
    <w:rsid w:val="006706CF"/>
    <w:rsid w:val="006709A7"/>
    <w:rsid w:val="00672FB7"/>
    <w:rsid w:val="00676188"/>
    <w:rsid w:val="00687A17"/>
    <w:rsid w:val="006A56F7"/>
    <w:rsid w:val="006C4F0C"/>
    <w:rsid w:val="006C7D97"/>
    <w:rsid w:val="006D0FAA"/>
    <w:rsid w:val="006D155E"/>
    <w:rsid w:val="006D4DCB"/>
    <w:rsid w:val="006E795B"/>
    <w:rsid w:val="006F1673"/>
    <w:rsid w:val="006F55FD"/>
    <w:rsid w:val="006F6A84"/>
    <w:rsid w:val="007037AF"/>
    <w:rsid w:val="00721DC4"/>
    <w:rsid w:val="00726458"/>
    <w:rsid w:val="00726679"/>
    <w:rsid w:val="007271D4"/>
    <w:rsid w:val="00731CAC"/>
    <w:rsid w:val="007349B3"/>
    <w:rsid w:val="00744103"/>
    <w:rsid w:val="00757954"/>
    <w:rsid w:val="00777D9F"/>
    <w:rsid w:val="0078446B"/>
    <w:rsid w:val="00785A4F"/>
    <w:rsid w:val="00796E4B"/>
    <w:rsid w:val="007B37E9"/>
    <w:rsid w:val="007B763F"/>
    <w:rsid w:val="007C47F1"/>
    <w:rsid w:val="007C521E"/>
    <w:rsid w:val="007D1D51"/>
    <w:rsid w:val="007D2FEA"/>
    <w:rsid w:val="0080063D"/>
    <w:rsid w:val="00811F50"/>
    <w:rsid w:val="00814EA2"/>
    <w:rsid w:val="008150A9"/>
    <w:rsid w:val="00815352"/>
    <w:rsid w:val="00816986"/>
    <w:rsid w:val="0081791D"/>
    <w:rsid w:val="00817BAC"/>
    <w:rsid w:val="00817F6B"/>
    <w:rsid w:val="0082042E"/>
    <w:rsid w:val="00840718"/>
    <w:rsid w:val="00840983"/>
    <w:rsid w:val="0084385D"/>
    <w:rsid w:val="00850A6A"/>
    <w:rsid w:val="008531CE"/>
    <w:rsid w:val="00857161"/>
    <w:rsid w:val="008627BF"/>
    <w:rsid w:val="00864B0A"/>
    <w:rsid w:val="00875BC3"/>
    <w:rsid w:val="00882C2B"/>
    <w:rsid w:val="00893995"/>
    <w:rsid w:val="008B3768"/>
    <w:rsid w:val="008B6B0D"/>
    <w:rsid w:val="008C1371"/>
    <w:rsid w:val="008D077B"/>
    <w:rsid w:val="008D78D9"/>
    <w:rsid w:val="008E0B26"/>
    <w:rsid w:val="008E3E2E"/>
    <w:rsid w:val="008F28B2"/>
    <w:rsid w:val="008F5546"/>
    <w:rsid w:val="009007CC"/>
    <w:rsid w:val="0090093F"/>
    <w:rsid w:val="00903A96"/>
    <w:rsid w:val="00917298"/>
    <w:rsid w:val="0092105E"/>
    <w:rsid w:val="0092294C"/>
    <w:rsid w:val="00922F03"/>
    <w:rsid w:val="00925D9D"/>
    <w:rsid w:val="00925DA8"/>
    <w:rsid w:val="0093595B"/>
    <w:rsid w:val="00942983"/>
    <w:rsid w:val="009641D7"/>
    <w:rsid w:val="00970C99"/>
    <w:rsid w:val="009778F8"/>
    <w:rsid w:val="0098477F"/>
    <w:rsid w:val="009A3A22"/>
    <w:rsid w:val="009C0946"/>
    <w:rsid w:val="009C1018"/>
    <w:rsid w:val="009C3DCB"/>
    <w:rsid w:val="009D6314"/>
    <w:rsid w:val="009E366B"/>
    <w:rsid w:val="009F2D0B"/>
    <w:rsid w:val="00A0708B"/>
    <w:rsid w:val="00A10557"/>
    <w:rsid w:val="00A24249"/>
    <w:rsid w:val="00A2509F"/>
    <w:rsid w:val="00A255E6"/>
    <w:rsid w:val="00A26B66"/>
    <w:rsid w:val="00A26F32"/>
    <w:rsid w:val="00A32798"/>
    <w:rsid w:val="00A32FAB"/>
    <w:rsid w:val="00A3739A"/>
    <w:rsid w:val="00A40E05"/>
    <w:rsid w:val="00A41700"/>
    <w:rsid w:val="00A545B5"/>
    <w:rsid w:val="00A7216E"/>
    <w:rsid w:val="00A7244D"/>
    <w:rsid w:val="00A95DCC"/>
    <w:rsid w:val="00A97191"/>
    <w:rsid w:val="00A97F8B"/>
    <w:rsid w:val="00AA4039"/>
    <w:rsid w:val="00AB06BE"/>
    <w:rsid w:val="00AB0F19"/>
    <w:rsid w:val="00AB395D"/>
    <w:rsid w:val="00AC5190"/>
    <w:rsid w:val="00AD7974"/>
    <w:rsid w:val="00AE05F9"/>
    <w:rsid w:val="00AE2E5C"/>
    <w:rsid w:val="00AF000B"/>
    <w:rsid w:val="00AF27AA"/>
    <w:rsid w:val="00AF5F7C"/>
    <w:rsid w:val="00B07E1D"/>
    <w:rsid w:val="00B10D39"/>
    <w:rsid w:val="00B113B6"/>
    <w:rsid w:val="00B126C1"/>
    <w:rsid w:val="00B14524"/>
    <w:rsid w:val="00B23EEB"/>
    <w:rsid w:val="00B2680E"/>
    <w:rsid w:val="00B45299"/>
    <w:rsid w:val="00B51870"/>
    <w:rsid w:val="00B572A3"/>
    <w:rsid w:val="00B61AF1"/>
    <w:rsid w:val="00B66737"/>
    <w:rsid w:val="00B763E5"/>
    <w:rsid w:val="00B775D3"/>
    <w:rsid w:val="00B83529"/>
    <w:rsid w:val="00B90760"/>
    <w:rsid w:val="00BA2383"/>
    <w:rsid w:val="00BB460A"/>
    <w:rsid w:val="00BB778D"/>
    <w:rsid w:val="00BC108F"/>
    <w:rsid w:val="00BC4362"/>
    <w:rsid w:val="00BC4A10"/>
    <w:rsid w:val="00BC5959"/>
    <w:rsid w:val="00BE042F"/>
    <w:rsid w:val="00BE23CB"/>
    <w:rsid w:val="00BE28E5"/>
    <w:rsid w:val="00BE3B54"/>
    <w:rsid w:val="00BE761E"/>
    <w:rsid w:val="00BF0C3E"/>
    <w:rsid w:val="00BF0F9C"/>
    <w:rsid w:val="00BF7182"/>
    <w:rsid w:val="00C07FEC"/>
    <w:rsid w:val="00C2005B"/>
    <w:rsid w:val="00C23E44"/>
    <w:rsid w:val="00C318BA"/>
    <w:rsid w:val="00C417B9"/>
    <w:rsid w:val="00C4742D"/>
    <w:rsid w:val="00C54AD6"/>
    <w:rsid w:val="00C7291B"/>
    <w:rsid w:val="00C914AD"/>
    <w:rsid w:val="00C93C12"/>
    <w:rsid w:val="00CA35B9"/>
    <w:rsid w:val="00CC28AA"/>
    <w:rsid w:val="00CE722A"/>
    <w:rsid w:val="00CE7F13"/>
    <w:rsid w:val="00CF1F74"/>
    <w:rsid w:val="00CF5950"/>
    <w:rsid w:val="00D044E6"/>
    <w:rsid w:val="00D048C0"/>
    <w:rsid w:val="00D13A41"/>
    <w:rsid w:val="00D15BC2"/>
    <w:rsid w:val="00D1793B"/>
    <w:rsid w:val="00D24A77"/>
    <w:rsid w:val="00D26D2C"/>
    <w:rsid w:val="00D27745"/>
    <w:rsid w:val="00D27B1E"/>
    <w:rsid w:val="00D315FE"/>
    <w:rsid w:val="00D31697"/>
    <w:rsid w:val="00D36954"/>
    <w:rsid w:val="00D41187"/>
    <w:rsid w:val="00D46103"/>
    <w:rsid w:val="00D46B62"/>
    <w:rsid w:val="00D475AB"/>
    <w:rsid w:val="00D63B03"/>
    <w:rsid w:val="00D641C2"/>
    <w:rsid w:val="00D7278E"/>
    <w:rsid w:val="00D76F91"/>
    <w:rsid w:val="00D7755B"/>
    <w:rsid w:val="00D81B93"/>
    <w:rsid w:val="00D82E6E"/>
    <w:rsid w:val="00D87B1C"/>
    <w:rsid w:val="00D92258"/>
    <w:rsid w:val="00D92438"/>
    <w:rsid w:val="00D93D2B"/>
    <w:rsid w:val="00DA41FF"/>
    <w:rsid w:val="00DA42ED"/>
    <w:rsid w:val="00DA460F"/>
    <w:rsid w:val="00DA75A4"/>
    <w:rsid w:val="00DB1780"/>
    <w:rsid w:val="00DB7EF4"/>
    <w:rsid w:val="00DC231F"/>
    <w:rsid w:val="00DC23E7"/>
    <w:rsid w:val="00DC3203"/>
    <w:rsid w:val="00DC73DA"/>
    <w:rsid w:val="00DD488B"/>
    <w:rsid w:val="00DD7E10"/>
    <w:rsid w:val="00DF0043"/>
    <w:rsid w:val="00DF1B38"/>
    <w:rsid w:val="00E003B4"/>
    <w:rsid w:val="00E019B5"/>
    <w:rsid w:val="00E07DC7"/>
    <w:rsid w:val="00E1055A"/>
    <w:rsid w:val="00E11418"/>
    <w:rsid w:val="00E141EC"/>
    <w:rsid w:val="00E248C1"/>
    <w:rsid w:val="00E25A03"/>
    <w:rsid w:val="00E27CE7"/>
    <w:rsid w:val="00E668B5"/>
    <w:rsid w:val="00E76732"/>
    <w:rsid w:val="00E97309"/>
    <w:rsid w:val="00EA574A"/>
    <w:rsid w:val="00EA5D40"/>
    <w:rsid w:val="00EC0E01"/>
    <w:rsid w:val="00EC33E2"/>
    <w:rsid w:val="00ED2747"/>
    <w:rsid w:val="00ED309D"/>
    <w:rsid w:val="00EE0DCE"/>
    <w:rsid w:val="00EE107F"/>
    <w:rsid w:val="00EE218D"/>
    <w:rsid w:val="00EF0EA7"/>
    <w:rsid w:val="00EF4071"/>
    <w:rsid w:val="00F11091"/>
    <w:rsid w:val="00F21887"/>
    <w:rsid w:val="00F223F7"/>
    <w:rsid w:val="00F3327D"/>
    <w:rsid w:val="00F3577B"/>
    <w:rsid w:val="00F45810"/>
    <w:rsid w:val="00F46C6A"/>
    <w:rsid w:val="00F47AFB"/>
    <w:rsid w:val="00F63605"/>
    <w:rsid w:val="00F642EB"/>
    <w:rsid w:val="00F64FC0"/>
    <w:rsid w:val="00F739AD"/>
    <w:rsid w:val="00F77E84"/>
    <w:rsid w:val="00F80685"/>
    <w:rsid w:val="00F91AE2"/>
    <w:rsid w:val="00F9295A"/>
    <w:rsid w:val="00F92A30"/>
    <w:rsid w:val="00FA3754"/>
    <w:rsid w:val="00FA3ED5"/>
    <w:rsid w:val="00FA4E7A"/>
    <w:rsid w:val="00FB5B7B"/>
    <w:rsid w:val="00FB6BF5"/>
    <w:rsid w:val="00FC58F2"/>
    <w:rsid w:val="00FD6D1A"/>
    <w:rsid w:val="00FE2041"/>
    <w:rsid w:val="00FF195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877C1"/>
  <w15:chartTrackingRefBased/>
  <w15:docId w15:val="{97968619-D2F5-E348-8B08-208A527E7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color w:val="000000" w:themeColor="text1"/>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5B9"/>
    <w:pPr>
      <w:spacing w:after="120" w:line="360" w:lineRule="auto"/>
      <w:jc w:val="both"/>
    </w:pPr>
  </w:style>
  <w:style w:type="paragraph" w:styleId="Heading1">
    <w:name w:val="heading 1"/>
    <w:basedOn w:val="Normal"/>
    <w:next w:val="Normal"/>
    <w:link w:val="Heading1Char"/>
    <w:uiPriority w:val="9"/>
    <w:qFormat/>
    <w:rsid w:val="00F636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53344"/>
    <w:pPr>
      <w:keepNext/>
      <w:keepLines/>
      <w:spacing w:before="120" w:line="240" w:lineRule="auto"/>
      <w:outlineLvl w:val="1"/>
    </w:pPr>
    <w:rPr>
      <w:rFonts w:eastAsiaTheme="majorEastAsia" w:cstheme="majorBidi"/>
      <w:b/>
      <w:sz w:val="28"/>
      <w:szCs w:val="32"/>
    </w:rPr>
  </w:style>
  <w:style w:type="paragraph" w:styleId="Heading3">
    <w:name w:val="heading 3"/>
    <w:basedOn w:val="Normal"/>
    <w:next w:val="Normal"/>
    <w:link w:val="Heading3Char"/>
    <w:uiPriority w:val="9"/>
    <w:unhideWhenUsed/>
    <w:qFormat/>
    <w:rsid w:val="00785A4F"/>
    <w:pPr>
      <w:keepNext/>
      <w:keepLines/>
      <w:spacing w:before="160" w:after="80" w:line="240" w:lineRule="auto"/>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656047"/>
    <w:pPr>
      <w:keepNext/>
      <w:keepLines/>
      <w:spacing w:before="80" w:after="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F6360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6360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6360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6360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6360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CC28AA"/>
    <w:pPr>
      <w:tabs>
        <w:tab w:val="left" w:pos="260"/>
      </w:tabs>
      <w:spacing w:after="0" w:line="480" w:lineRule="auto"/>
      <w:ind w:left="264" w:hanging="264"/>
    </w:pPr>
  </w:style>
  <w:style w:type="character" w:customStyle="1" w:styleId="Heading1Char">
    <w:name w:val="Heading 1 Char"/>
    <w:basedOn w:val="DefaultParagraphFont"/>
    <w:link w:val="Heading1"/>
    <w:uiPriority w:val="9"/>
    <w:rsid w:val="00F636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53344"/>
    <w:rPr>
      <w:rFonts w:eastAsiaTheme="majorEastAsia" w:cstheme="majorBidi"/>
      <w:b/>
      <w:sz w:val="28"/>
      <w:szCs w:val="32"/>
    </w:rPr>
  </w:style>
  <w:style w:type="character" w:customStyle="1" w:styleId="Heading3Char">
    <w:name w:val="Heading 3 Char"/>
    <w:basedOn w:val="DefaultParagraphFont"/>
    <w:link w:val="Heading3"/>
    <w:uiPriority w:val="9"/>
    <w:rsid w:val="00785A4F"/>
    <w:rPr>
      <w:rFonts w:eastAsiaTheme="majorEastAsia" w:cstheme="majorBidi"/>
      <w:b/>
      <w:szCs w:val="28"/>
    </w:rPr>
  </w:style>
  <w:style w:type="character" w:customStyle="1" w:styleId="Heading4Char">
    <w:name w:val="Heading 4 Char"/>
    <w:basedOn w:val="DefaultParagraphFont"/>
    <w:link w:val="Heading4"/>
    <w:uiPriority w:val="9"/>
    <w:rsid w:val="00656047"/>
    <w:rPr>
      <w:rFonts w:eastAsiaTheme="majorEastAsia" w:cstheme="majorBidi"/>
      <w:i/>
      <w:iCs/>
    </w:rPr>
  </w:style>
  <w:style w:type="character" w:customStyle="1" w:styleId="Heading5Char">
    <w:name w:val="Heading 5 Char"/>
    <w:basedOn w:val="DefaultParagraphFont"/>
    <w:link w:val="Heading5"/>
    <w:uiPriority w:val="9"/>
    <w:semiHidden/>
    <w:rsid w:val="00F6360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6360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6360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6360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6360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65F14"/>
    <w:pPr>
      <w:spacing w:after="80" w:line="24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265F14"/>
    <w:rPr>
      <w:rFonts w:eastAsiaTheme="majorEastAsia" w:cstheme="majorBidi"/>
      <w:b/>
      <w:spacing w:val="-10"/>
      <w:kern w:val="28"/>
      <w:sz w:val="40"/>
      <w:szCs w:val="56"/>
    </w:rPr>
  </w:style>
  <w:style w:type="paragraph" w:styleId="Subtitle">
    <w:name w:val="Subtitle"/>
    <w:basedOn w:val="Normal"/>
    <w:next w:val="Normal"/>
    <w:link w:val="SubtitleChar"/>
    <w:uiPriority w:val="11"/>
    <w:qFormat/>
    <w:rsid w:val="00F6360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360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63605"/>
    <w:pPr>
      <w:spacing w:before="160"/>
      <w:jc w:val="center"/>
    </w:pPr>
    <w:rPr>
      <w:i/>
      <w:iCs/>
      <w:color w:val="404040" w:themeColor="text1" w:themeTint="BF"/>
    </w:rPr>
  </w:style>
  <w:style w:type="character" w:customStyle="1" w:styleId="QuoteChar">
    <w:name w:val="Quote Char"/>
    <w:basedOn w:val="DefaultParagraphFont"/>
    <w:link w:val="Quote"/>
    <w:uiPriority w:val="29"/>
    <w:rsid w:val="00F63605"/>
    <w:rPr>
      <w:i/>
      <w:iCs/>
      <w:color w:val="404040" w:themeColor="text1" w:themeTint="BF"/>
    </w:rPr>
  </w:style>
  <w:style w:type="paragraph" w:styleId="ListParagraph">
    <w:name w:val="List Paragraph"/>
    <w:basedOn w:val="Normal"/>
    <w:uiPriority w:val="34"/>
    <w:qFormat/>
    <w:rsid w:val="00F63605"/>
    <w:pPr>
      <w:ind w:left="720"/>
      <w:contextualSpacing/>
    </w:pPr>
  </w:style>
  <w:style w:type="character" w:styleId="IntenseEmphasis">
    <w:name w:val="Intense Emphasis"/>
    <w:basedOn w:val="DefaultParagraphFont"/>
    <w:uiPriority w:val="21"/>
    <w:qFormat/>
    <w:rsid w:val="00F63605"/>
    <w:rPr>
      <w:i/>
      <w:iCs/>
      <w:color w:val="0F4761" w:themeColor="accent1" w:themeShade="BF"/>
    </w:rPr>
  </w:style>
  <w:style w:type="paragraph" w:styleId="IntenseQuote">
    <w:name w:val="Intense Quote"/>
    <w:basedOn w:val="Normal"/>
    <w:next w:val="Normal"/>
    <w:link w:val="IntenseQuoteChar"/>
    <w:uiPriority w:val="30"/>
    <w:qFormat/>
    <w:rsid w:val="00F636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3605"/>
    <w:rPr>
      <w:i/>
      <w:iCs/>
      <w:color w:val="0F4761" w:themeColor="accent1" w:themeShade="BF"/>
    </w:rPr>
  </w:style>
  <w:style w:type="character" w:styleId="IntenseReference">
    <w:name w:val="Intense Reference"/>
    <w:basedOn w:val="DefaultParagraphFont"/>
    <w:uiPriority w:val="32"/>
    <w:qFormat/>
    <w:rsid w:val="00F63605"/>
    <w:rPr>
      <w:b/>
      <w:bCs/>
      <w:smallCaps/>
      <w:color w:val="0F4761" w:themeColor="accent1" w:themeShade="BF"/>
      <w:spacing w:val="5"/>
    </w:rPr>
  </w:style>
  <w:style w:type="paragraph" w:styleId="NormalWeb">
    <w:name w:val="Normal (Web)"/>
    <w:basedOn w:val="Normal"/>
    <w:uiPriority w:val="99"/>
    <w:semiHidden/>
    <w:unhideWhenUsed/>
    <w:rsid w:val="00785A4F"/>
    <w:pPr>
      <w:spacing w:before="100" w:beforeAutospacing="1" w:after="100" w:afterAutospacing="1" w:line="240" w:lineRule="auto"/>
    </w:pPr>
    <w:rPr>
      <w:rFonts w:eastAsia="Times New Roman" w:cs="Times New Roman"/>
      <w:color w:val="auto"/>
      <w14:ligatures w14:val="none"/>
    </w:rPr>
  </w:style>
  <w:style w:type="paragraph" w:styleId="Caption">
    <w:name w:val="caption"/>
    <w:basedOn w:val="Normal"/>
    <w:next w:val="Normal"/>
    <w:uiPriority w:val="35"/>
    <w:unhideWhenUsed/>
    <w:qFormat/>
    <w:rsid w:val="00AB0F19"/>
    <w:pPr>
      <w:spacing w:after="200" w:line="240" w:lineRule="auto"/>
      <w:jc w:val="left"/>
    </w:pPr>
    <w:rPr>
      <w:iCs/>
      <w:sz w:val="18"/>
      <w:szCs w:val="18"/>
    </w:rPr>
  </w:style>
  <w:style w:type="paragraph" w:customStyle="1" w:styleId="Caption1">
    <w:name w:val="Caption1"/>
    <w:basedOn w:val="Caption"/>
    <w:qFormat/>
    <w:rsid w:val="00EA5D40"/>
    <w:pPr>
      <w:spacing w:after="40"/>
      <w:jc w:val="both"/>
    </w:pPr>
    <w:rPr>
      <w:i/>
      <w:sz w:val="22"/>
    </w:rPr>
  </w:style>
  <w:style w:type="table" w:styleId="TableGrid">
    <w:name w:val="Table Grid"/>
    <w:basedOn w:val="TableNormal"/>
    <w:uiPriority w:val="39"/>
    <w:rsid w:val="0028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B1780"/>
    <w:rPr>
      <w:b/>
      <w:bCs/>
    </w:rPr>
  </w:style>
  <w:style w:type="character" w:styleId="Emphasis">
    <w:name w:val="Emphasis"/>
    <w:basedOn w:val="DefaultParagraphFont"/>
    <w:uiPriority w:val="20"/>
    <w:qFormat/>
    <w:rsid w:val="00AB0F19"/>
    <w:rPr>
      <w:i/>
      <w:iCs/>
    </w:rPr>
  </w:style>
  <w:style w:type="paragraph" w:styleId="Header">
    <w:name w:val="header"/>
    <w:basedOn w:val="Normal"/>
    <w:link w:val="HeaderChar"/>
    <w:uiPriority w:val="99"/>
    <w:unhideWhenUsed/>
    <w:rsid w:val="00B66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737"/>
  </w:style>
  <w:style w:type="paragraph" w:styleId="Footer">
    <w:name w:val="footer"/>
    <w:basedOn w:val="Normal"/>
    <w:link w:val="FooterChar"/>
    <w:uiPriority w:val="99"/>
    <w:unhideWhenUsed/>
    <w:rsid w:val="00B66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737"/>
  </w:style>
  <w:style w:type="character" w:styleId="PageNumber">
    <w:name w:val="page number"/>
    <w:basedOn w:val="DefaultParagraphFont"/>
    <w:uiPriority w:val="99"/>
    <w:semiHidden/>
    <w:unhideWhenUsed/>
    <w:rsid w:val="00B66737"/>
  </w:style>
  <w:style w:type="paragraph" w:styleId="NoSpacing">
    <w:name w:val="No Spacing"/>
    <w:uiPriority w:val="1"/>
    <w:qFormat/>
    <w:rsid w:val="00E27CE7"/>
    <w:pPr>
      <w:spacing w:after="0" w:line="240" w:lineRule="auto"/>
      <w:jc w:val="both"/>
    </w:pPr>
  </w:style>
  <w:style w:type="table" w:styleId="PlainTable5">
    <w:name w:val="Plain Table 5"/>
    <w:basedOn w:val="TableNormal"/>
    <w:uiPriority w:val="45"/>
    <w:rsid w:val="003C1C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F223F7"/>
  </w:style>
  <w:style w:type="character" w:customStyle="1" w:styleId="whitespace-normal">
    <w:name w:val="whitespace-normal"/>
    <w:basedOn w:val="DefaultParagraphFont"/>
    <w:rsid w:val="00D31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anizfatema/Library/CloudStorage/GoogleDrive-kaniz.fatema@stonybrook.edu/My%20Drive/1_KF_SBUdrive/EPM_application/papers_sbu/plant_paper_Jan26/1_max_stress_all_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kanizfatema/Library/CloudStorage/GoogleDrive-kaniz.fatema@stonybrook.edu/My%20Drive/1_KF_SBUdrive/EPM_application/papers_sbu/plant_paper_Jan26/4_RNAseq_arabidopsis_4-14-2025_002.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kanizfatema/Library/CloudStorage/GoogleDrive-kaniz.fatema@stonybrook.edu/My%20Drive/1_KF_SBUdrive/EPM_application/papers_sbu/plant_paper_Jan26/4_RNAseq_arabidopsis_4-14-2025_002.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anizfatema/Library/CloudStorage/GoogleDrive-kaniz.fatema@stonybrook.edu/My%20Drive/1_KF_SBUdrive/EPM_application/papers_sbu/plant_paper_Jan26/1_max_stress_all_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anizfatema/Library/CloudStorage/GoogleDrive-kaniz.fatema@stonybrook.edu/My%20Drive/1_KF_SBUdrive/EPM_application/papers_sbu/plant_paper_Jan26/2_porosity_125_50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Users/kanizfatema/Library/CloudStorage/GoogleDrive-kaniz.fatema@stonybrook.edu/My%20Drive/1_KF_SBUdrive/EPM_application/papers_sbu/plant_paper_Jan26/4_xrf_beans_roo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kanizfatema/Library/CloudStorage/GoogleDrive-kaniz.fatema@stonybrook.edu/My%20Drive/1_KF_SBUdrive/EPM_application/papers_sbu/plant_paper_Jan26/4_xrf_beans_roo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kanizfatema/Library/CloudStorage/GoogleDrive-kaniz.fatema@stonybrook.edu/My%20Drive/1_KF_SBUdrive/EPM_application/papers_sbu/plant_paper_Jan26/4_xrf_beans_roo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kanizfatema/Library/CloudStorage/GoogleDrive-kaniz.fatema@stonybrook.edu/My%20Drive/1_KF_SBUdrive/EPM_application/papers_sbu/plant_paper_Jan26/4_xrf_beans_roo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kanizfatema/Library/CloudStorage/GoogleDrive-kaniz.fatema@stonybrook.edu/My%20Drive/1_KF_SBUdrive/EPM_application/papers_sbu/plant_paper_Jan26/4_xrf_beans_root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Users/kanizfatema/Library/CloudStorage/GoogleDrive-kaniz.fatema@stonybrook.edu/My%20Drive/1_KF_SBUdrive/EPM_application/papers_sbu/plant_paper_Jan26/4_RNAseq_arabidopsis_4-14-2025_00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'3-day'!$A$4</c:f>
              <c:strCache>
                <c:ptCount val="1"/>
                <c:pt idx="0">
                  <c:v>1-day</c:v>
                </c:pt>
              </c:strCache>
            </c:strRef>
          </c:tx>
          <c:spPr>
            <a:solidFill>
              <a:schemeClr val="bg1">
                <a:lumMod val="95000"/>
              </a:schemeClr>
            </a:solidFill>
            <a:ln>
              <a:solidFill>
                <a:schemeClr val="tx1"/>
              </a:solidFill>
            </a:ln>
            <a:effectLst/>
          </c:spPr>
          <c:invertIfNegative val="0"/>
          <c:dPt>
            <c:idx val="0"/>
            <c:invertIfNegative val="0"/>
            <c:bubble3D val="0"/>
            <c:spPr>
              <a:solidFill>
                <a:srgbClr val="F0F0F0"/>
              </a:solidFill>
              <a:ln>
                <a:solidFill>
                  <a:schemeClr val="tx1"/>
                </a:solidFill>
              </a:ln>
              <a:effectLst/>
            </c:spPr>
            <c:extLst>
              <c:ext xmlns:c16="http://schemas.microsoft.com/office/drawing/2014/chart" uri="{C3380CC4-5D6E-409C-BE32-E72D297353CC}">
                <c16:uniqueId val="{00000001-C64E-A640-9331-0C6C5898309E}"/>
              </c:ext>
            </c:extLst>
          </c:dPt>
          <c:dPt>
            <c:idx val="1"/>
            <c:invertIfNegative val="0"/>
            <c:bubble3D val="0"/>
            <c:spPr>
              <a:solidFill>
                <a:srgbClr val="E5F5F9"/>
              </a:solidFill>
              <a:ln>
                <a:solidFill>
                  <a:schemeClr val="tx1"/>
                </a:solidFill>
              </a:ln>
              <a:effectLst/>
            </c:spPr>
            <c:extLst>
              <c:ext xmlns:c16="http://schemas.microsoft.com/office/drawing/2014/chart" uri="{C3380CC4-5D6E-409C-BE32-E72D297353CC}">
                <c16:uniqueId val="{00000003-C64E-A640-9331-0C6C5898309E}"/>
              </c:ext>
            </c:extLst>
          </c:dPt>
          <c:dPt>
            <c:idx val="2"/>
            <c:invertIfNegative val="0"/>
            <c:bubble3D val="0"/>
            <c:spPr>
              <a:solidFill>
                <a:srgbClr val="E7E1EF"/>
              </a:solidFill>
              <a:ln>
                <a:solidFill>
                  <a:schemeClr val="tx1"/>
                </a:solidFill>
              </a:ln>
              <a:effectLst/>
            </c:spPr>
            <c:extLst>
              <c:ext xmlns:c16="http://schemas.microsoft.com/office/drawing/2014/chart" uri="{C3380CC4-5D6E-409C-BE32-E72D297353CC}">
                <c16:uniqueId val="{00000005-C64E-A640-9331-0C6C5898309E}"/>
              </c:ext>
            </c:extLst>
          </c:dPt>
          <c:dLbls>
            <c:numFmt formatCode="#,##0.00" sourceLinked="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'3-day'!$B$9:$D$9</c:f>
                <c:numCache>
                  <c:formatCode>General</c:formatCode>
                  <c:ptCount val="3"/>
                  <c:pt idx="0">
                    <c:v>5.4390660350533242E-2</c:v>
                  </c:pt>
                  <c:pt idx="1">
                    <c:v>8.6300000000000002E-2</c:v>
                  </c:pt>
                  <c:pt idx="2">
                    <c:v>2.7066173612326973E-2</c:v>
                  </c:pt>
                </c:numCache>
              </c:numRef>
            </c:plus>
            <c:minus>
              <c:numRef>
                <c:f>'3-day'!$B$9:$D$9</c:f>
                <c:numCache>
                  <c:formatCode>General</c:formatCode>
                  <c:ptCount val="3"/>
                  <c:pt idx="0">
                    <c:v>5.4390660350533242E-2</c:v>
                  </c:pt>
                  <c:pt idx="1">
                    <c:v>8.6300000000000002E-2</c:v>
                  </c:pt>
                  <c:pt idx="2">
                    <c:v>2.7066173612326973E-2</c:v>
                  </c:pt>
                </c:numCache>
              </c:numRef>
            </c:minus>
            <c:spPr>
              <a:noFill/>
              <a:ln w="9525" cap="flat" cmpd="sng" algn="ctr">
                <a:solidFill>
                  <a:schemeClr val="bg1">
                    <a:lumMod val="50000"/>
                  </a:schemeClr>
                </a:solidFill>
                <a:round/>
              </a:ln>
              <a:effectLst/>
            </c:spPr>
          </c:errBars>
          <c:cat>
            <c:multiLvlStrRef>
              <c:f>'3-day'!$B$1:$D$3</c:f>
              <c:multiLvlStrCache>
                <c:ptCount val="3"/>
                <c:lvl>
                  <c:pt idx="0">
                    <c:v>0</c:v>
                  </c:pt>
                  <c:pt idx="1">
                    <c:v>125</c:v>
                  </c:pt>
                  <c:pt idx="2">
                    <c:v>500</c:v>
                  </c:pt>
                </c:lvl>
                <c:lvl>
                  <c:pt idx="0">
                    <c:v>Polymer concentration (mg/L)</c:v>
                  </c:pt>
                </c:lvl>
                <c:lvl>
                  <c:pt idx="0">
                    <c:v>EPM (silt = 0%)</c:v>
                  </c:pt>
                </c:lvl>
              </c:multiLvlStrCache>
            </c:multiLvlStrRef>
          </c:cat>
          <c:val>
            <c:numRef>
              <c:f>'3-day'!$B$4:$D$4</c:f>
              <c:numCache>
                <c:formatCode>0.0000</c:formatCode>
                <c:ptCount val="3"/>
                <c:pt idx="0">
                  <c:v>0.206607662</c:v>
                </c:pt>
                <c:pt idx="1">
                  <c:v>0.21659999999999999</c:v>
                </c:pt>
                <c:pt idx="2">
                  <c:v>0.22844343750000001</c:v>
                </c:pt>
              </c:numCache>
            </c:numRef>
          </c:val>
          <c:extLst>
            <c:ext xmlns:c16="http://schemas.microsoft.com/office/drawing/2014/chart" uri="{C3380CC4-5D6E-409C-BE32-E72D297353CC}">
              <c16:uniqueId val="{00000006-C64E-A640-9331-0C6C5898309E}"/>
            </c:ext>
          </c:extLst>
        </c:ser>
        <c:ser>
          <c:idx val="1"/>
          <c:order val="1"/>
          <c:tx>
            <c:strRef>
              <c:f>'3-day'!$A$5</c:f>
              <c:strCache>
                <c:ptCount val="1"/>
                <c:pt idx="0">
                  <c:v>2-day</c:v>
                </c:pt>
              </c:strCache>
            </c:strRef>
          </c:tx>
          <c:spPr>
            <a:solidFill>
              <a:srgbClr val="CCCCCC"/>
            </a:solidFill>
            <a:ln>
              <a:solidFill>
                <a:schemeClr val="tx1"/>
              </a:solidFill>
            </a:ln>
            <a:effectLst/>
          </c:spPr>
          <c:invertIfNegative val="0"/>
          <c:dPt>
            <c:idx val="0"/>
            <c:invertIfNegative val="0"/>
            <c:bubble3D val="0"/>
            <c:spPr>
              <a:solidFill>
                <a:srgbClr val="BDBDBD"/>
              </a:solidFill>
              <a:ln>
                <a:solidFill>
                  <a:schemeClr val="tx1"/>
                </a:solidFill>
              </a:ln>
              <a:effectLst/>
            </c:spPr>
            <c:extLst>
              <c:ext xmlns:c16="http://schemas.microsoft.com/office/drawing/2014/chart" uri="{C3380CC4-5D6E-409C-BE32-E72D297353CC}">
                <c16:uniqueId val="{00000008-C64E-A640-9331-0C6C5898309E}"/>
              </c:ext>
            </c:extLst>
          </c:dPt>
          <c:dPt>
            <c:idx val="1"/>
            <c:invertIfNegative val="0"/>
            <c:bubble3D val="0"/>
            <c:spPr>
              <a:solidFill>
                <a:srgbClr val="99D8C9"/>
              </a:solidFill>
              <a:ln>
                <a:solidFill>
                  <a:schemeClr val="tx1"/>
                </a:solidFill>
              </a:ln>
              <a:effectLst/>
            </c:spPr>
            <c:extLst>
              <c:ext xmlns:c16="http://schemas.microsoft.com/office/drawing/2014/chart" uri="{C3380CC4-5D6E-409C-BE32-E72D297353CC}">
                <c16:uniqueId val="{0000000A-C64E-A640-9331-0C6C5898309E}"/>
              </c:ext>
            </c:extLst>
          </c:dPt>
          <c:dPt>
            <c:idx val="2"/>
            <c:invertIfNegative val="0"/>
            <c:bubble3D val="0"/>
            <c:spPr>
              <a:solidFill>
                <a:srgbClr val="C994C7"/>
              </a:solidFill>
              <a:ln>
                <a:solidFill>
                  <a:schemeClr val="tx1"/>
                </a:solidFill>
              </a:ln>
              <a:effectLst/>
            </c:spPr>
            <c:extLst>
              <c:ext xmlns:c16="http://schemas.microsoft.com/office/drawing/2014/chart" uri="{C3380CC4-5D6E-409C-BE32-E72D297353CC}">
                <c16:uniqueId val="{0000000C-C64E-A640-9331-0C6C5898309E}"/>
              </c:ext>
            </c:extLst>
          </c:dPt>
          <c:dLbls>
            <c:numFmt formatCode="#,##0.00" sourceLinked="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'3-day'!$B$10:$D$10</c:f>
                <c:numCache>
                  <c:formatCode>General</c:formatCode>
                  <c:ptCount val="3"/>
                  <c:pt idx="0">
                    <c:v>9.4693184116504028E-2</c:v>
                  </c:pt>
                  <c:pt idx="1">
                    <c:v>5.3568749736283089E-2</c:v>
                  </c:pt>
                  <c:pt idx="2">
                    <c:v>3.5776934349606875E-2</c:v>
                  </c:pt>
                </c:numCache>
              </c:numRef>
            </c:plus>
            <c:minus>
              <c:numRef>
                <c:f>'3-day'!$B$10:$D$10</c:f>
                <c:numCache>
                  <c:formatCode>General</c:formatCode>
                  <c:ptCount val="3"/>
                  <c:pt idx="0">
                    <c:v>9.4693184116504028E-2</c:v>
                  </c:pt>
                  <c:pt idx="1">
                    <c:v>5.3568749736283089E-2</c:v>
                  </c:pt>
                  <c:pt idx="2">
                    <c:v>3.5776934349606875E-2</c:v>
                  </c:pt>
                </c:numCache>
              </c:numRef>
            </c:minus>
            <c:spPr>
              <a:noFill/>
              <a:ln w="9525" cap="flat" cmpd="sng" algn="ctr">
                <a:solidFill>
                  <a:schemeClr val="bg1">
                    <a:lumMod val="50000"/>
                  </a:schemeClr>
                </a:solidFill>
                <a:round/>
              </a:ln>
              <a:effectLst/>
            </c:spPr>
          </c:errBars>
          <c:cat>
            <c:multiLvlStrRef>
              <c:f>'3-day'!$B$1:$D$3</c:f>
              <c:multiLvlStrCache>
                <c:ptCount val="3"/>
                <c:lvl>
                  <c:pt idx="0">
                    <c:v>0</c:v>
                  </c:pt>
                  <c:pt idx="1">
                    <c:v>125</c:v>
                  </c:pt>
                  <c:pt idx="2">
                    <c:v>500</c:v>
                  </c:pt>
                </c:lvl>
                <c:lvl>
                  <c:pt idx="0">
                    <c:v>Polymer concentration (mg/L)</c:v>
                  </c:pt>
                </c:lvl>
                <c:lvl>
                  <c:pt idx="0">
                    <c:v>EPM (silt = 0%)</c:v>
                  </c:pt>
                </c:lvl>
              </c:multiLvlStrCache>
            </c:multiLvlStrRef>
          </c:cat>
          <c:val>
            <c:numRef>
              <c:f>'3-day'!$B$5:$D$5</c:f>
              <c:numCache>
                <c:formatCode>0.0000</c:formatCode>
                <c:ptCount val="3"/>
                <c:pt idx="0">
                  <c:v>0.210015332</c:v>
                </c:pt>
                <c:pt idx="1">
                  <c:v>0.25096406399999999</c:v>
                </c:pt>
                <c:pt idx="2">
                  <c:v>0.35484141599999997</c:v>
                </c:pt>
              </c:numCache>
            </c:numRef>
          </c:val>
          <c:extLst>
            <c:ext xmlns:c16="http://schemas.microsoft.com/office/drawing/2014/chart" uri="{C3380CC4-5D6E-409C-BE32-E72D297353CC}">
              <c16:uniqueId val="{0000000D-C64E-A640-9331-0C6C5898309E}"/>
            </c:ext>
          </c:extLst>
        </c:ser>
        <c:ser>
          <c:idx val="2"/>
          <c:order val="2"/>
          <c:tx>
            <c:strRef>
              <c:f>'3-day'!$A$6</c:f>
              <c:strCache>
                <c:ptCount val="1"/>
                <c:pt idx="0">
                  <c:v>3-day</c:v>
                </c:pt>
              </c:strCache>
            </c:strRef>
          </c:tx>
          <c:spPr>
            <a:solidFill>
              <a:schemeClr val="bg1">
                <a:lumMod val="65000"/>
              </a:schemeClr>
            </a:solidFill>
            <a:ln>
              <a:solidFill>
                <a:schemeClr val="tx1"/>
              </a:solidFill>
            </a:ln>
            <a:effectLst/>
          </c:spPr>
          <c:invertIfNegative val="0"/>
          <c:dPt>
            <c:idx val="0"/>
            <c:invertIfNegative val="0"/>
            <c:bubble3D val="0"/>
            <c:spPr>
              <a:solidFill>
                <a:srgbClr val="636363"/>
              </a:solidFill>
              <a:ln>
                <a:solidFill>
                  <a:schemeClr val="tx1"/>
                </a:solidFill>
              </a:ln>
              <a:effectLst/>
            </c:spPr>
            <c:extLst>
              <c:ext xmlns:c16="http://schemas.microsoft.com/office/drawing/2014/chart" uri="{C3380CC4-5D6E-409C-BE32-E72D297353CC}">
                <c16:uniqueId val="{0000000F-C64E-A640-9331-0C6C5898309E}"/>
              </c:ext>
            </c:extLst>
          </c:dPt>
          <c:dPt>
            <c:idx val="1"/>
            <c:invertIfNegative val="0"/>
            <c:bubble3D val="0"/>
            <c:spPr>
              <a:solidFill>
                <a:srgbClr val="2CA25F"/>
              </a:solidFill>
              <a:ln>
                <a:solidFill>
                  <a:schemeClr val="tx1"/>
                </a:solidFill>
              </a:ln>
              <a:effectLst/>
            </c:spPr>
            <c:extLst>
              <c:ext xmlns:c16="http://schemas.microsoft.com/office/drawing/2014/chart" uri="{C3380CC4-5D6E-409C-BE32-E72D297353CC}">
                <c16:uniqueId val="{00000011-C64E-A640-9331-0C6C5898309E}"/>
              </c:ext>
            </c:extLst>
          </c:dPt>
          <c:dPt>
            <c:idx val="2"/>
            <c:invertIfNegative val="0"/>
            <c:bubble3D val="0"/>
            <c:spPr>
              <a:solidFill>
                <a:srgbClr val="DD1C77"/>
              </a:solidFill>
              <a:ln>
                <a:solidFill>
                  <a:schemeClr val="tx1"/>
                </a:solidFill>
              </a:ln>
              <a:effectLst/>
            </c:spPr>
            <c:extLst>
              <c:ext xmlns:c16="http://schemas.microsoft.com/office/drawing/2014/chart" uri="{C3380CC4-5D6E-409C-BE32-E72D297353CC}">
                <c16:uniqueId val="{00000013-C64E-A640-9331-0C6C5898309E}"/>
              </c:ext>
            </c:extLst>
          </c:dPt>
          <c:dLbls>
            <c:numFmt formatCode="#,##0.00" sourceLinked="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'3-day'!$B$11:$D$11</c:f>
                <c:numCache>
                  <c:formatCode>General</c:formatCode>
                  <c:ptCount val="3"/>
                  <c:pt idx="0">
                    <c:v>8.7400000000000005E-2</c:v>
                  </c:pt>
                  <c:pt idx="1">
                    <c:v>1.6799999999999999E-2</c:v>
                  </c:pt>
                  <c:pt idx="2">
                    <c:v>0.10618906069337103</c:v>
                  </c:pt>
                </c:numCache>
              </c:numRef>
            </c:plus>
            <c:minus>
              <c:numRef>
                <c:f>'3-day'!$B$11:$D$11</c:f>
                <c:numCache>
                  <c:formatCode>General</c:formatCode>
                  <c:ptCount val="3"/>
                  <c:pt idx="0">
                    <c:v>8.7400000000000005E-2</c:v>
                  </c:pt>
                  <c:pt idx="1">
                    <c:v>1.6799999999999999E-2</c:v>
                  </c:pt>
                  <c:pt idx="2">
                    <c:v>0.10618906069337103</c:v>
                  </c:pt>
                </c:numCache>
              </c:numRef>
            </c:minus>
            <c:spPr>
              <a:noFill/>
              <a:ln w="9525" cap="flat" cmpd="sng" algn="ctr">
                <a:solidFill>
                  <a:schemeClr val="bg1">
                    <a:lumMod val="50000"/>
                  </a:schemeClr>
                </a:solidFill>
                <a:round/>
              </a:ln>
              <a:effectLst/>
            </c:spPr>
          </c:errBars>
          <c:cat>
            <c:multiLvlStrRef>
              <c:f>'3-day'!$B$1:$D$3</c:f>
              <c:multiLvlStrCache>
                <c:ptCount val="3"/>
                <c:lvl>
                  <c:pt idx="0">
                    <c:v>0</c:v>
                  </c:pt>
                  <c:pt idx="1">
                    <c:v>125</c:v>
                  </c:pt>
                  <c:pt idx="2">
                    <c:v>500</c:v>
                  </c:pt>
                </c:lvl>
                <c:lvl>
                  <c:pt idx="0">
                    <c:v>Polymer concentration (mg/L)</c:v>
                  </c:pt>
                </c:lvl>
                <c:lvl>
                  <c:pt idx="0">
                    <c:v>EPM (silt = 0%)</c:v>
                  </c:pt>
                </c:lvl>
              </c:multiLvlStrCache>
            </c:multiLvlStrRef>
          </c:cat>
          <c:val>
            <c:numRef>
              <c:f>'3-day'!$B$6:$D$6</c:f>
              <c:numCache>
                <c:formatCode>0.0000</c:formatCode>
                <c:ptCount val="3"/>
                <c:pt idx="0">
                  <c:v>0.2198</c:v>
                </c:pt>
                <c:pt idx="1">
                  <c:v>0.29533377599999999</c:v>
                </c:pt>
                <c:pt idx="2">
                  <c:v>0.46643526000000002</c:v>
                </c:pt>
              </c:numCache>
            </c:numRef>
          </c:val>
          <c:extLst>
            <c:ext xmlns:c16="http://schemas.microsoft.com/office/drawing/2014/chart" uri="{C3380CC4-5D6E-409C-BE32-E72D297353CC}">
              <c16:uniqueId val="{00000014-C64E-A640-9331-0C6C5898309E}"/>
            </c:ext>
          </c:extLst>
        </c:ser>
        <c:dLbls>
          <c:dLblPos val="outEnd"/>
          <c:showLegendKey val="0"/>
          <c:showVal val="1"/>
          <c:showCatName val="0"/>
          <c:showSerName val="0"/>
          <c:showPercent val="0"/>
          <c:showBubbleSize val="0"/>
        </c:dLbls>
        <c:gapWidth val="140"/>
        <c:overlap val="-5"/>
        <c:axId val="328879167"/>
        <c:axId val="328886335"/>
      </c:barChart>
      <c:catAx>
        <c:axId val="32887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886335"/>
        <c:crosses val="autoZero"/>
        <c:auto val="1"/>
        <c:lblAlgn val="ctr"/>
        <c:lblOffset val="100"/>
        <c:noMultiLvlLbl val="0"/>
      </c:catAx>
      <c:valAx>
        <c:axId val="3288863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Compressive strength (MPa)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solidFill>
            <a:schemeClr val="bg1">
              <a:lumMod val="95000"/>
            </a:schemeClr>
          </a:solid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879167"/>
        <c:crosses val="autoZero"/>
        <c:crossBetween val="between"/>
        <c:majorUnit val="0.2"/>
      </c:valAx>
      <c:spPr>
        <a:solidFill>
          <a:schemeClr val="bg1"/>
        </a:solidFill>
        <a:ln>
          <a:solidFill>
            <a:schemeClr val="bg1">
              <a:lumMod val="50000"/>
            </a:schemeClr>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lumMod val="85000"/>
        <a:alpha val="60000"/>
      </a:schemeClr>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bar_plot_activation!$C$10</c:f>
              <c:strCache>
                <c:ptCount val="1"/>
                <c:pt idx="0">
                  <c:v>log2_fold_change</c:v>
                </c:pt>
              </c:strCache>
            </c:strRef>
          </c:tx>
          <c:spPr>
            <a:solidFill>
              <a:schemeClr val="bg1">
                <a:lumMod val="85000"/>
              </a:schemeClr>
            </a:solidFill>
            <a:ln>
              <a:solidFill>
                <a:schemeClr val="bg1">
                  <a:lumMod val="65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bar_plot_activation!$B$11:$B$22</c:f>
              <c:strCache>
                <c:ptCount val="12"/>
                <c:pt idx="0">
                  <c:v>EXT17 (Cell wall/structural)</c:v>
                </c:pt>
                <c:pt idx="1">
                  <c:v>PEROX (Redox / stress)</c:v>
                </c:pt>
                <c:pt idx="2">
                  <c:v>HSP17 (Heat shock)</c:v>
                </c:pt>
                <c:pt idx="3">
                  <c:v>APX1 (Redox enzyme)</c:v>
                </c:pt>
                <c:pt idx="4">
                  <c:v>MYB TF (Transcription factor)</c:v>
                </c:pt>
                <c:pt idx="5">
                  <c:v>CKX1 (Hormone metabolism)</c:v>
                </c:pt>
                <c:pt idx="6">
                  <c:v>HSP20 (Heat shock)</c:v>
                </c:pt>
                <c:pt idx="7">
                  <c:v>APX3 (Redox enzyme)</c:v>
                </c:pt>
                <c:pt idx="8">
                  <c:v>HSP21 (Heat shock)</c:v>
                </c:pt>
                <c:pt idx="9">
                  <c:v>NAC TF (Transcription factor)</c:v>
                </c:pt>
                <c:pt idx="10">
                  <c:v>GPT1 (Chloroplast transporter)</c:v>
                </c:pt>
                <c:pt idx="11">
                  <c:v>SPL3 (Transcription factor)</c:v>
                </c:pt>
              </c:strCache>
            </c:strRef>
          </c:cat>
          <c:val>
            <c:numRef>
              <c:f>bar_plot_activation!$C$11:$C$22</c:f>
              <c:numCache>
                <c:formatCode>0.00</c:formatCode>
                <c:ptCount val="12"/>
                <c:pt idx="0">
                  <c:v>4.8826368363637576</c:v>
                </c:pt>
                <c:pt idx="1">
                  <c:v>4.6193568023277596</c:v>
                </c:pt>
                <c:pt idx="2">
                  <c:v>4.448894392991912</c:v>
                </c:pt>
                <c:pt idx="3">
                  <c:v>4.4361998327124663</c:v>
                </c:pt>
                <c:pt idx="4">
                  <c:v>4.3071153297371607</c:v>
                </c:pt>
                <c:pt idx="5">
                  <c:v>4.1874043434145882</c:v>
                </c:pt>
                <c:pt idx="6">
                  <c:v>4.1537138356820869</c:v>
                </c:pt>
                <c:pt idx="7">
                  <c:v>4.1405777870367722</c:v>
                </c:pt>
                <c:pt idx="8">
                  <c:v>4.1310260924938795</c:v>
                </c:pt>
                <c:pt idx="9">
                  <c:v>4.1270643173147272</c:v>
                </c:pt>
                <c:pt idx="10">
                  <c:v>4.0592967066627414</c:v>
                </c:pt>
                <c:pt idx="11">
                  <c:v>4.0569598093456021</c:v>
                </c:pt>
              </c:numCache>
            </c:numRef>
          </c:val>
          <c:extLst>
            <c:ext xmlns:c16="http://schemas.microsoft.com/office/drawing/2014/chart" uri="{C3380CC4-5D6E-409C-BE32-E72D297353CC}">
              <c16:uniqueId val="{00000000-42B3-8A43-A849-EE4F736849A6}"/>
            </c:ext>
          </c:extLst>
        </c:ser>
        <c:dLbls>
          <c:dLblPos val="outEnd"/>
          <c:showLegendKey val="0"/>
          <c:showVal val="1"/>
          <c:showCatName val="0"/>
          <c:showSerName val="0"/>
          <c:showPercent val="0"/>
          <c:showBubbleSize val="0"/>
        </c:dLbls>
        <c:gapWidth val="20"/>
        <c:axId val="766680063"/>
        <c:axId val="766677823"/>
      </c:barChart>
      <c:catAx>
        <c:axId val="76668006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a:t>Gene name (gene id)</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6677823"/>
        <c:crosses val="autoZero"/>
        <c:auto val="1"/>
        <c:lblAlgn val="ctr"/>
        <c:lblOffset val="100"/>
        <c:noMultiLvlLbl val="0"/>
      </c:catAx>
      <c:valAx>
        <c:axId val="766677823"/>
        <c:scaling>
          <c:orientation val="minMax"/>
          <c:min val="4"/>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a:t>log2 fold change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6680063"/>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bar_plot_activation!$C$25</c:f>
              <c:strCache>
                <c:ptCount val="1"/>
                <c:pt idx="0">
                  <c:v>log2_fold_change</c:v>
                </c:pt>
              </c:strCache>
            </c:strRef>
          </c:tx>
          <c:spPr>
            <a:solidFill>
              <a:schemeClr val="bg1">
                <a:lumMod val="85000"/>
              </a:schemeClr>
            </a:solidFill>
            <a:ln>
              <a:solidFill>
                <a:schemeClr val="bg1">
                  <a:lumMod val="95000"/>
                </a:schemeClr>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bar_plot_activation!$B$26:$B$59</c:f>
              <c:strCache>
                <c:ptCount val="34"/>
                <c:pt idx="0">
                  <c:v>CYP82C4 (Cytochrome P450)</c:v>
                </c:pt>
                <c:pt idx="1">
                  <c:v>HSP20‑like (Chaperone)</c:v>
                </c:pt>
                <c:pt idx="2">
                  <c:v>Protease / Saposin‑like</c:v>
                </c:pt>
                <c:pt idx="3">
                  <c:v>P‑loop NTP hydrolase</c:v>
                </c:pt>
                <c:pt idx="4">
                  <c:v>NIA1 (Nitrate Reductase 1)</c:v>
                </c:pt>
                <c:pt idx="5">
                  <c:v>Nse4 (DNA repair)</c:v>
                </c:pt>
                <c:pt idx="6">
                  <c:v>PSI‑N subunit / unknown</c:v>
                </c:pt>
                <c:pt idx="7">
                  <c:v>Unknown mobile protein</c:v>
                </c:pt>
                <c:pt idx="8">
                  <c:v>HSP17.6A (Heat shock)</c:v>
                </c:pt>
                <c:pt idx="9">
                  <c:v>CYP monooxygenase</c:v>
                </c:pt>
                <c:pt idx="10">
                  <c:v>ATCKX2 (Cytokinin oxidase)</c:v>
                </c:pt>
                <c:pt idx="11">
                  <c:v>FBA2 (Fructose bisphosphate aldolase)</c:v>
                </c:pt>
                <c:pt idx="12">
                  <c:v>UGT73C5 (Glucosyltransferase)</c:v>
                </c:pt>
                <c:pt idx="13">
                  <c:v>ENH1 (Rubredoxin)</c:v>
                </c:pt>
                <c:pt idx="14">
                  <c:v>APRR9 (Clock regulator)</c:v>
                </c:pt>
                <c:pt idx="15">
                  <c:v>snoRNA (noncoding)</c:v>
                </c:pt>
                <c:pt idx="16">
                  <c:v>GAPCp (GAPDH)</c:v>
                </c:pt>
                <c:pt idx="17">
                  <c:v>IDL3 (Inflorescence/abscission)</c:v>
                </c:pt>
                <c:pt idx="18">
                  <c:v>GAPC2 (GAPDH)</c:v>
                </c:pt>
                <c:pt idx="19">
                  <c:v>Transposable element gene</c:v>
                </c:pt>
                <c:pt idx="20">
                  <c:v>F‑box protein</c:v>
                </c:pt>
                <c:pt idx="21">
                  <c:v>SWEET transporter</c:v>
                </c:pt>
                <c:pt idx="22">
                  <c:v>CAB (Chlorophyll binding)</c:v>
                </c:pt>
                <c:pt idx="23">
                  <c:v>Novel transcribed region</c:v>
                </c:pt>
                <c:pt idx="24">
                  <c:v>DUF177B domain protein</c:v>
                </c:pt>
                <c:pt idx="25">
                  <c:v>PAP16 (Acid phosphatase)</c:v>
                </c:pt>
                <c:pt idx="26">
                  <c:v>Uncharacterized gene</c:v>
                </c:pt>
                <c:pt idx="27">
                  <c:v>Uncharacterized gene</c:v>
                </c:pt>
                <c:pt idx="28">
                  <c:v>Uncharacterized gene</c:v>
                </c:pt>
                <c:pt idx="29">
                  <c:v>Uncharacterized gene</c:v>
                </c:pt>
                <c:pt idx="30">
                  <c:v>Early light‑inducible protein</c:v>
                </c:pt>
                <c:pt idx="31">
                  <c:v>Unknown / uncharacterized</c:v>
                </c:pt>
                <c:pt idx="32">
                  <c:v>ELIP1 (Light stress)</c:v>
                </c:pt>
                <c:pt idx="33">
                  <c:v>Unknown / uncharacterized</c:v>
                </c:pt>
              </c:strCache>
            </c:strRef>
          </c:cat>
          <c:val>
            <c:numRef>
              <c:f>bar_plot_activation!$C$26:$C$59</c:f>
              <c:numCache>
                <c:formatCode>0.00</c:formatCode>
                <c:ptCount val="34"/>
                <c:pt idx="0">
                  <c:v>3.9729704511444233</c:v>
                </c:pt>
                <c:pt idx="1">
                  <c:v>3.9667594742525307</c:v>
                </c:pt>
                <c:pt idx="2">
                  <c:v>3.708851714668175</c:v>
                </c:pt>
                <c:pt idx="3">
                  <c:v>3.6654657088821989</c:v>
                </c:pt>
                <c:pt idx="4">
                  <c:v>3.6093826954728625</c:v>
                </c:pt>
                <c:pt idx="5">
                  <c:v>3.5937285403083319</c:v>
                </c:pt>
                <c:pt idx="6">
                  <c:v>3.5768085422794553</c:v>
                </c:pt>
                <c:pt idx="7">
                  <c:v>3.5665304148880406</c:v>
                </c:pt>
                <c:pt idx="8">
                  <c:v>3.538406854199446</c:v>
                </c:pt>
                <c:pt idx="9">
                  <c:v>3.5251879325541133</c:v>
                </c:pt>
                <c:pt idx="10">
                  <c:v>3.5246428841722302</c:v>
                </c:pt>
                <c:pt idx="11">
                  <c:v>3.4981427250325159</c:v>
                </c:pt>
                <c:pt idx="12">
                  <c:v>3.4641605660015453</c:v>
                </c:pt>
                <c:pt idx="13">
                  <c:v>3.4318005611997227</c:v>
                </c:pt>
                <c:pt idx="14">
                  <c:v>3.4173233012060922</c:v>
                </c:pt>
                <c:pt idx="15">
                  <c:v>3.3900834034332141</c:v>
                </c:pt>
                <c:pt idx="16">
                  <c:v>3.3584163118413106</c:v>
                </c:pt>
                <c:pt idx="17">
                  <c:v>3.356854823661457</c:v>
                </c:pt>
                <c:pt idx="18">
                  <c:v>3.3534980670616852</c:v>
                </c:pt>
                <c:pt idx="19">
                  <c:v>3.3407492573190742</c:v>
                </c:pt>
                <c:pt idx="20">
                  <c:v>3.3184279716419756</c:v>
                </c:pt>
                <c:pt idx="21">
                  <c:v>3.3178376193784027</c:v>
                </c:pt>
                <c:pt idx="22">
                  <c:v>3.3143705587929428</c:v>
                </c:pt>
                <c:pt idx="23">
                  <c:v>3.2866665095377288</c:v>
                </c:pt>
                <c:pt idx="24">
                  <c:v>3.2177461546842108</c:v>
                </c:pt>
                <c:pt idx="25">
                  <c:v>3.1904420092072354</c:v>
                </c:pt>
                <c:pt idx="26">
                  <c:v>3.1618417556562068</c:v>
                </c:pt>
                <c:pt idx="27">
                  <c:v>3.1610856804361132</c:v>
                </c:pt>
                <c:pt idx="28">
                  <c:v>3.1422399313491178</c:v>
                </c:pt>
                <c:pt idx="29">
                  <c:v>3.0785597991410714</c:v>
                </c:pt>
                <c:pt idx="30">
                  <c:v>3.0403586533128757</c:v>
                </c:pt>
                <c:pt idx="31">
                  <c:v>3.0390201334920843</c:v>
                </c:pt>
                <c:pt idx="32">
                  <c:v>3.0227324390282786</c:v>
                </c:pt>
                <c:pt idx="33">
                  <c:v>3.0133301105076398</c:v>
                </c:pt>
              </c:numCache>
            </c:numRef>
          </c:val>
          <c:extLst>
            <c:ext xmlns:c16="http://schemas.microsoft.com/office/drawing/2014/chart" uri="{C3380CC4-5D6E-409C-BE32-E72D297353CC}">
              <c16:uniqueId val="{00000000-41D2-104D-9F68-323625EC69B3}"/>
            </c:ext>
          </c:extLst>
        </c:ser>
        <c:dLbls>
          <c:dLblPos val="outEnd"/>
          <c:showLegendKey val="0"/>
          <c:showVal val="1"/>
          <c:showCatName val="0"/>
          <c:showSerName val="0"/>
          <c:showPercent val="0"/>
          <c:showBubbleSize val="0"/>
        </c:dLbls>
        <c:gapWidth val="20"/>
        <c:axId val="766680063"/>
        <c:axId val="766677823"/>
      </c:barChart>
      <c:catAx>
        <c:axId val="76668006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a:t>Gene name (gene id)</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6677823"/>
        <c:crosses val="autoZero"/>
        <c:auto val="1"/>
        <c:lblAlgn val="ctr"/>
        <c:lblOffset val="100"/>
        <c:noMultiLvlLbl val="0"/>
      </c:catAx>
      <c:valAx>
        <c:axId val="766677823"/>
        <c:scaling>
          <c:orientation val="minMax"/>
          <c:max val="4"/>
          <c:min val="3"/>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a:t>log2 fold change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6680063"/>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'3-day'!$F$4</c:f>
              <c:strCache>
                <c:ptCount val="1"/>
                <c:pt idx="0">
                  <c:v>1-day</c:v>
                </c:pt>
              </c:strCache>
            </c:strRef>
          </c:tx>
          <c:spPr>
            <a:solidFill>
              <a:schemeClr val="bg1">
                <a:lumMod val="95000"/>
              </a:schemeClr>
            </a:solidFill>
            <a:ln>
              <a:solidFill>
                <a:schemeClr val="tx1"/>
              </a:solidFill>
            </a:ln>
            <a:effectLst/>
          </c:spPr>
          <c:invertIfNegative val="0"/>
          <c:dPt>
            <c:idx val="0"/>
            <c:invertIfNegative val="0"/>
            <c:bubble3D val="0"/>
            <c:spPr>
              <a:solidFill>
                <a:srgbClr val="F0F0F0"/>
              </a:solidFill>
              <a:ln>
                <a:solidFill>
                  <a:schemeClr val="tx1"/>
                </a:solidFill>
              </a:ln>
              <a:effectLst/>
            </c:spPr>
            <c:extLst>
              <c:ext xmlns:c16="http://schemas.microsoft.com/office/drawing/2014/chart" uri="{C3380CC4-5D6E-409C-BE32-E72D297353CC}">
                <c16:uniqueId val="{00000001-6730-4042-853B-733334F78E48}"/>
              </c:ext>
            </c:extLst>
          </c:dPt>
          <c:dPt>
            <c:idx val="1"/>
            <c:invertIfNegative val="0"/>
            <c:bubble3D val="0"/>
            <c:spPr>
              <a:solidFill>
                <a:srgbClr val="DEEBF7"/>
              </a:solidFill>
              <a:ln>
                <a:solidFill>
                  <a:schemeClr val="tx1"/>
                </a:solidFill>
              </a:ln>
              <a:effectLst/>
            </c:spPr>
            <c:extLst>
              <c:ext xmlns:c16="http://schemas.microsoft.com/office/drawing/2014/chart" uri="{C3380CC4-5D6E-409C-BE32-E72D297353CC}">
                <c16:uniqueId val="{00000003-6730-4042-853B-733334F78E48}"/>
              </c:ext>
            </c:extLst>
          </c:dPt>
          <c:dPt>
            <c:idx val="2"/>
            <c:invertIfNegative val="0"/>
            <c:bubble3D val="0"/>
            <c:spPr>
              <a:solidFill>
                <a:srgbClr val="FEE6CE"/>
              </a:solidFill>
              <a:ln>
                <a:solidFill>
                  <a:schemeClr val="tx1"/>
                </a:solidFill>
              </a:ln>
              <a:effectLst/>
            </c:spPr>
            <c:extLst>
              <c:ext xmlns:c16="http://schemas.microsoft.com/office/drawing/2014/chart" uri="{C3380CC4-5D6E-409C-BE32-E72D297353CC}">
                <c16:uniqueId val="{00000005-6730-4042-853B-733334F78E48}"/>
              </c:ext>
            </c:extLst>
          </c:dPt>
          <c:dLbls>
            <c:numFmt formatCode="#,##0.00" sourceLinked="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'3-day'!$G$9:$I$9</c:f>
                <c:numCache>
                  <c:formatCode>General</c:formatCode>
                  <c:ptCount val="3"/>
                  <c:pt idx="0">
                    <c:v>5.4390660350533242E-2</c:v>
                  </c:pt>
                  <c:pt idx="1">
                    <c:v>6.7500000000000004E-2</c:v>
                  </c:pt>
                  <c:pt idx="2">
                    <c:v>7.8448756029019476E-2</c:v>
                  </c:pt>
                </c:numCache>
              </c:numRef>
            </c:plus>
            <c:minus>
              <c:numRef>
                <c:f>'3-day'!$G$9:$I$9</c:f>
                <c:numCache>
                  <c:formatCode>General</c:formatCode>
                  <c:ptCount val="3"/>
                  <c:pt idx="0">
                    <c:v>5.4390660350533242E-2</c:v>
                  </c:pt>
                  <c:pt idx="1">
                    <c:v>6.7500000000000004E-2</c:v>
                  </c:pt>
                  <c:pt idx="2">
                    <c:v>7.8448756029019476E-2</c:v>
                  </c:pt>
                </c:numCache>
              </c:numRef>
            </c:minus>
            <c:spPr>
              <a:noFill/>
              <a:ln w="9525" cap="flat" cmpd="sng" algn="ctr">
                <a:solidFill>
                  <a:schemeClr val="bg1">
                    <a:lumMod val="50000"/>
                  </a:schemeClr>
                </a:solidFill>
                <a:round/>
              </a:ln>
              <a:effectLst/>
            </c:spPr>
          </c:errBars>
          <c:cat>
            <c:multiLvlStrRef>
              <c:f>'3-day'!$G$1:$I$3</c:f>
              <c:multiLvlStrCache>
                <c:ptCount val="3"/>
                <c:lvl>
                  <c:pt idx="0">
                    <c:v>0</c:v>
                  </c:pt>
                  <c:pt idx="1">
                    <c:v>125</c:v>
                  </c:pt>
                  <c:pt idx="2">
                    <c:v>500</c:v>
                  </c:pt>
                </c:lvl>
                <c:lvl>
                  <c:pt idx="0">
                    <c:v>Polymer concentration (mg/L)</c:v>
                  </c:pt>
                </c:lvl>
                <c:lvl>
                  <c:pt idx="0">
                    <c:v>Xanthan Gum (silt = 0%)</c:v>
                  </c:pt>
                </c:lvl>
              </c:multiLvlStrCache>
            </c:multiLvlStrRef>
          </c:cat>
          <c:val>
            <c:numRef>
              <c:f>'3-day'!$G$4:$I$4</c:f>
              <c:numCache>
                <c:formatCode>0.0000</c:formatCode>
                <c:ptCount val="3"/>
                <c:pt idx="0">
                  <c:v>0.206607662</c:v>
                </c:pt>
                <c:pt idx="1">
                  <c:v>0.22</c:v>
                </c:pt>
                <c:pt idx="2">
                  <c:v>0.25512724799999997</c:v>
                </c:pt>
              </c:numCache>
            </c:numRef>
          </c:val>
          <c:extLst>
            <c:ext xmlns:c16="http://schemas.microsoft.com/office/drawing/2014/chart" uri="{C3380CC4-5D6E-409C-BE32-E72D297353CC}">
              <c16:uniqueId val="{00000006-6730-4042-853B-733334F78E48}"/>
            </c:ext>
          </c:extLst>
        </c:ser>
        <c:ser>
          <c:idx val="1"/>
          <c:order val="1"/>
          <c:tx>
            <c:strRef>
              <c:f>'3-day'!$F$5</c:f>
              <c:strCache>
                <c:ptCount val="1"/>
                <c:pt idx="0">
                  <c:v>2-day</c:v>
                </c:pt>
              </c:strCache>
            </c:strRef>
          </c:tx>
          <c:spPr>
            <a:solidFill>
              <a:srgbClr val="BDBDBD"/>
            </a:solidFill>
            <a:ln>
              <a:solidFill>
                <a:schemeClr val="tx1"/>
              </a:solidFill>
            </a:ln>
            <a:effectLst/>
          </c:spPr>
          <c:invertIfNegative val="0"/>
          <c:dPt>
            <c:idx val="0"/>
            <c:invertIfNegative val="0"/>
            <c:bubble3D val="0"/>
            <c:spPr>
              <a:solidFill>
                <a:srgbClr val="BDBDBD"/>
              </a:solidFill>
              <a:ln>
                <a:solidFill>
                  <a:schemeClr val="tx1"/>
                </a:solidFill>
              </a:ln>
              <a:effectLst/>
            </c:spPr>
            <c:extLst>
              <c:ext xmlns:c16="http://schemas.microsoft.com/office/drawing/2014/chart" uri="{C3380CC4-5D6E-409C-BE32-E72D297353CC}">
                <c16:uniqueId val="{00000008-6730-4042-853B-733334F78E48}"/>
              </c:ext>
            </c:extLst>
          </c:dPt>
          <c:dPt>
            <c:idx val="1"/>
            <c:invertIfNegative val="0"/>
            <c:bubble3D val="0"/>
            <c:spPr>
              <a:solidFill>
                <a:srgbClr val="9ECAE1"/>
              </a:solidFill>
              <a:ln>
                <a:solidFill>
                  <a:schemeClr val="tx1"/>
                </a:solidFill>
              </a:ln>
              <a:effectLst/>
            </c:spPr>
            <c:extLst>
              <c:ext xmlns:c16="http://schemas.microsoft.com/office/drawing/2014/chart" uri="{C3380CC4-5D6E-409C-BE32-E72D297353CC}">
                <c16:uniqueId val="{0000000A-6730-4042-853B-733334F78E48}"/>
              </c:ext>
            </c:extLst>
          </c:dPt>
          <c:dPt>
            <c:idx val="2"/>
            <c:invertIfNegative val="0"/>
            <c:bubble3D val="0"/>
            <c:spPr>
              <a:solidFill>
                <a:srgbClr val="FDAE6B"/>
              </a:solidFill>
              <a:ln>
                <a:solidFill>
                  <a:schemeClr val="tx1"/>
                </a:solidFill>
              </a:ln>
              <a:effectLst/>
            </c:spPr>
            <c:extLst>
              <c:ext xmlns:c16="http://schemas.microsoft.com/office/drawing/2014/chart" uri="{C3380CC4-5D6E-409C-BE32-E72D297353CC}">
                <c16:uniqueId val="{0000000C-6730-4042-853B-733334F78E48}"/>
              </c:ext>
            </c:extLst>
          </c:dPt>
          <c:dLbls>
            <c:numFmt formatCode="#,##0.00" sourceLinked="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'3-day'!$G$10:$I$10</c:f>
                <c:numCache>
                  <c:formatCode>General</c:formatCode>
                  <c:ptCount val="3"/>
                  <c:pt idx="0">
                    <c:v>9.4693184116504028E-2</c:v>
                  </c:pt>
                  <c:pt idx="1">
                    <c:v>8.6954983513460399E-2</c:v>
                  </c:pt>
                  <c:pt idx="2">
                    <c:v>9.9909742725907913E-2</c:v>
                  </c:pt>
                </c:numCache>
              </c:numRef>
            </c:plus>
            <c:minus>
              <c:numRef>
                <c:f>'3-day'!$G$10:$I$10</c:f>
                <c:numCache>
                  <c:formatCode>General</c:formatCode>
                  <c:ptCount val="3"/>
                  <c:pt idx="0">
                    <c:v>9.4693184116504028E-2</c:v>
                  </c:pt>
                  <c:pt idx="1">
                    <c:v>8.6954983513460399E-2</c:v>
                  </c:pt>
                  <c:pt idx="2">
                    <c:v>9.9909742725907913E-2</c:v>
                  </c:pt>
                </c:numCache>
              </c:numRef>
            </c:minus>
            <c:spPr>
              <a:noFill/>
              <a:ln w="9525" cap="flat" cmpd="sng" algn="ctr">
                <a:solidFill>
                  <a:schemeClr val="bg1">
                    <a:lumMod val="50000"/>
                  </a:schemeClr>
                </a:solidFill>
                <a:round/>
              </a:ln>
              <a:effectLst/>
            </c:spPr>
          </c:errBars>
          <c:cat>
            <c:multiLvlStrRef>
              <c:f>'3-day'!$G$1:$I$3</c:f>
              <c:multiLvlStrCache>
                <c:ptCount val="3"/>
                <c:lvl>
                  <c:pt idx="0">
                    <c:v>0</c:v>
                  </c:pt>
                  <c:pt idx="1">
                    <c:v>125</c:v>
                  </c:pt>
                  <c:pt idx="2">
                    <c:v>500</c:v>
                  </c:pt>
                </c:lvl>
                <c:lvl>
                  <c:pt idx="0">
                    <c:v>Polymer concentration (mg/L)</c:v>
                  </c:pt>
                </c:lvl>
                <c:lvl>
                  <c:pt idx="0">
                    <c:v>Xanthan Gum (silt = 0%)</c:v>
                  </c:pt>
                </c:lvl>
              </c:multiLvlStrCache>
            </c:multiLvlStrRef>
          </c:cat>
          <c:val>
            <c:numRef>
              <c:f>'3-day'!$G$5:$I$5</c:f>
              <c:numCache>
                <c:formatCode>0.0000</c:formatCode>
                <c:ptCount val="3"/>
                <c:pt idx="0">
                  <c:v>0.210015332</c:v>
                </c:pt>
                <c:pt idx="1">
                  <c:v>0.277115202</c:v>
                </c:pt>
                <c:pt idx="2">
                  <c:v>0.45457362000000001</c:v>
                </c:pt>
              </c:numCache>
            </c:numRef>
          </c:val>
          <c:extLst>
            <c:ext xmlns:c16="http://schemas.microsoft.com/office/drawing/2014/chart" uri="{C3380CC4-5D6E-409C-BE32-E72D297353CC}">
              <c16:uniqueId val="{0000000D-6730-4042-853B-733334F78E48}"/>
            </c:ext>
          </c:extLst>
        </c:ser>
        <c:ser>
          <c:idx val="2"/>
          <c:order val="2"/>
          <c:tx>
            <c:strRef>
              <c:f>'3-day'!$F$6</c:f>
              <c:strCache>
                <c:ptCount val="1"/>
                <c:pt idx="0">
                  <c:v>3-day</c:v>
                </c:pt>
              </c:strCache>
            </c:strRef>
          </c:tx>
          <c:spPr>
            <a:solidFill>
              <a:schemeClr val="bg1">
                <a:lumMod val="65000"/>
              </a:schemeClr>
            </a:solidFill>
            <a:ln>
              <a:solidFill>
                <a:schemeClr val="tx1"/>
              </a:solidFill>
            </a:ln>
            <a:effectLst/>
          </c:spPr>
          <c:invertIfNegative val="0"/>
          <c:dPt>
            <c:idx val="0"/>
            <c:invertIfNegative val="0"/>
            <c:bubble3D val="0"/>
            <c:spPr>
              <a:solidFill>
                <a:srgbClr val="636363"/>
              </a:solidFill>
              <a:ln>
                <a:solidFill>
                  <a:schemeClr val="tx1"/>
                </a:solidFill>
              </a:ln>
              <a:effectLst/>
            </c:spPr>
            <c:extLst>
              <c:ext xmlns:c16="http://schemas.microsoft.com/office/drawing/2014/chart" uri="{C3380CC4-5D6E-409C-BE32-E72D297353CC}">
                <c16:uniqueId val="{0000000F-6730-4042-853B-733334F78E48}"/>
              </c:ext>
            </c:extLst>
          </c:dPt>
          <c:dPt>
            <c:idx val="1"/>
            <c:invertIfNegative val="0"/>
            <c:bubble3D val="0"/>
            <c:spPr>
              <a:solidFill>
                <a:srgbClr val="3182BD"/>
              </a:solidFill>
              <a:ln>
                <a:solidFill>
                  <a:schemeClr val="tx1"/>
                </a:solidFill>
              </a:ln>
              <a:effectLst/>
            </c:spPr>
            <c:extLst>
              <c:ext xmlns:c16="http://schemas.microsoft.com/office/drawing/2014/chart" uri="{C3380CC4-5D6E-409C-BE32-E72D297353CC}">
                <c16:uniqueId val="{00000011-6730-4042-853B-733334F78E48}"/>
              </c:ext>
            </c:extLst>
          </c:dPt>
          <c:dPt>
            <c:idx val="2"/>
            <c:invertIfNegative val="0"/>
            <c:bubble3D val="0"/>
            <c:spPr>
              <a:solidFill>
                <a:srgbClr val="E6550D"/>
              </a:solidFill>
              <a:ln>
                <a:solidFill>
                  <a:schemeClr val="tx1"/>
                </a:solidFill>
              </a:ln>
              <a:effectLst/>
            </c:spPr>
            <c:extLst>
              <c:ext xmlns:c16="http://schemas.microsoft.com/office/drawing/2014/chart" uri="{C3380CC4-5D6E-409C-BE32-E72D297353CC}">
                <c16:uniqueId val="{00000013-6730-4042-853B-733334F78E48}"/>
              </c:ext>
            </c:extLst>
          </c:dPt>
          <c:dLbls>
            <c:numFmt formatCode="#,##0.00" sourceLinked="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'3-day'!$G$11:$I$11</c:f>
                <c:numCache>
                  <c:formatCode>General</c:formatCode>
                  <c:ptCount val="3"/>
                  <c:pt idx="0">
                    <c:v>8.7400000000000005E-2</c:v>
                  </c:pt>
                  <c:pt idx="1">
                    <c:v>3.9600000000000003E-2</c:v>
                  </c:pt>
                  <c:pt idx="2">
                    <c:v>0.24104620848241637</c:v>
                  </c:pt>
                </c:numCache>
              </c:numRef>
            </c:plus>
            <c:minus>
              <c:numRef>
                <c:f>'3-day'!$G$11:$I$11</c:f>
                <c:numCache>
                  <c:formatCode>General</c:formatCode>
                  <c:ptCount val="3"/>
                  <c:pt idx="0">
                    <c:v>8.7400000000000005E-2</c:v>
                  </c:pt>
                  <c:pt idx="1">
                    <c:v>3.9600000000000003E-2</c:v>
                  </c:pt>
                  <c:pt idx="2">
                    <c:v>0.24104620848241637</c:v>
                  </c:pt>
                </c:numCache>
              </c:numRef>
            </c:minus>
            <c:spPr>
              <a:noFill/>
              <a:ln w="9525" cap="flat" cmpd="sng" algn="ctr">
                <a:solidFill>
                  <a:schemeClr val="bg1">
                    <a:lumMod val="50000"/>
                  </a:schemeClr>
                </a:solidFill>
                <a:round/>
              </a:ln>
              <a:effectLst/>
            </c:spPr>
          </c:errBars>
          <c:cat>
            <c:multiLvlStrRef>
              <c:f>'3-day'!$G$1:$I$3</c:f>
              <c:multiLvlStrCache>
                <c:ptCount val="3"/>
                <c:lvl>
                  <c:pt idx="0">
                    <c:v>0</c:v>
                  </c:pt>
                  <c:pt idx="1">
                    <c:v>125</c:v>
                  </c:pt>
                  <c:pt idx="2">
                    <c:v>500</c:v>
                  </c:pt>
                </c:lvl>
                <c:lvl>
                  <c:pt idx="0">
                    <c:v>Polymer concentration (mg/L)</c:v>
                  </c:pt>
                </c:lvl>
                <c:lvl>
                  <c:pt idx="0">
                    <c:v>Xanthan Gum (silt = 0%)</c:v>
                  </c:pt>
                </c:lvl>
              </c:multiLvlStrCache>
            </c:multiLvlStrRef>
          </c:cat>
          <c:val>
            <c:numRef>
              <c:f>'3-day'!$G$6:$I$6</c:f>
              <c:numCache>
                <c:formatCode>0.0000</c:formatCode>
                <c:ptCount val="3"/>
                <c:pt idx="0">
                  <c:v>0.2198</c:v>
                </c:pt>
                <c:pt idx="1">
                  <c:v>0.31390000000000001</c:v>
                </c:pt>
                <c:pt idx="2">
                  <c:v>0.57482074799999994</c:v>
                </c:pt>
              </c:numCache>
            </c:numRef>
          </c:val>
          <c:extLst>
            <c:ext xmlns:c16="http://schemas.microsoft.com/office/drawing/2014/chart" uri="{C3380CC4-5D6E-409C-BE32-E72D297353CC}">
              <c16:uniqueId val="{00000014-6730-4042-853B-733334F78E48}"/>
            </c:ext>
          </c:extLst>
        </c:ser>
        <c:dLbls>
          <c:dLblPos val="outEnd"/>
          <c:showLegendKey val="0"/>
          <c:showVal val="1"/>
          <c:showCatName val="0"/>
          <c:showSerName val="0"/>
          <c:showPercent val="0"/>
          <c:showBubbleSize val="0"/>
        </c:dLbls>
        <c:gapWidth val="140"/>
        <c:overlap val="-5"/>
        <c:axId val="328879167"/>
        <c:axId val="328886335"/>
      </c:barChart>
      <c:catAx>
        <c:axId val="32887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886335"/>
        <c:crosses val="autoZero"/>
        <c:auto val="1"/>
        <c:lblAlgn val="ctr"/>
        <c:lblOffset val="100"/>
        <c:noMultiLvlLbl val="0"/>
      </c:catAx>
      <c:valAx>
        <c:axId val="3288863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Compressive strength (MPa)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879167"/>
        <c:crosses val="autoZero"/>
        <c:crossBetween val="between"/>
        <c:majorUnit val="0.2"/>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'125_500_0s'!$B$9</c:f>
              <c:strCache>
                <c:ptCount val="1"/>
                <c:pt idx="0">
                  <c:v>porosity_percent</c:v>
                </c:pt>
              </c:strCache>
            </c:strRef>
          </c:tx>
          <c:spPr>
            <a:solidFill>
              <a:srgbClr val="BDBDBD"/>
            </a:solidFill>
            <a:ln>
              <a:solidFill>
                <a:schemeClr val="tx1"/>
              </a:solidFill>
            </a:ln>
            <a:effectLst/>
          </c:spPr>
          <c:invertIfNegative val="0"/>
          <c:dPt>
            <c:idx val="3"/>
            <c:invertIfNegative val="0"/>
            <c:bubble3D val="0"/>
            <c:spPr>
              <a:solidFill>
                <a:srgbClr val="A1D99B"/>
              </a:solidFill>
              <a:ln>
                <a:solidFill>
                  <a:schemeClr val="tx1"/>
                </a:solidFill>
              </a:ln>
              <a:effectLst/>
            </c:spPr>
            <c:extLst>
              <c:ext xmlns:c16="http://schemas.microsoft.com/office/drawing/2014/chart" uri="{C3380CC4-5D6E-409C-BE32-E72D297353CC}">
                <c16:uniqueId val="{00000001-E642-954A-B521-364293C05EF8}"/>
              </c:ext>
            </c:extLst>
          </c:dPt>
          <c:dPt>
            <c:idx val="4"/>
            <c:invertIfNegative val="0"/>
            <c:bubble3D val="0"/>
            <c:spPr>
              <a:solidFill>
                <a:srgbClr val="9ECAE1"/>
              </a:solidFill>
              <a:ln>
                <a:solidFill>
                  <a:schemeClr val="tx1"/>
                </a:solidFill>
              </a:ln>
              <a:effectLst/>
            </c:spPr>
            <c:extLst>
              <c:ext xmlns:c16="http://schemas.microsoft.com/office/drawing/2014/chart" uri="{C3380CC4-5D6E-409C-BE32-E72D297353CC}">
                <c16:uniqueId val="{00000003-E642-954A-B521-364293C05EF8}"/>
              </c:ext>
            </c:extLst>
          </c:dPt>
          <c:dPt>
            <c:idx val="6"/>
            <c:invertIfNegative val="0"/>
            <c:bubble3D val="0"/>
            <c:spPr>
              <a:solidFill>
                <a:srgbClr val="C994C7"/>
              </a:solidFill>
              <a:ln>
                <a:solidFill>
                  <a:schemeClr val="tx1"/>
                </a:solidFill>
              </a:ln>
              <a:effectLst/>
            </c:spPr>
            <c:extLst>
              <c:ext xmlns:c16="http://schemas.microsoft.com/office/drawing/2014/chart" uri="{C3380CC4-5D6E-409C-BE32-E72D297353CC}">
                <c16:uniqueId val="{00000005-E642-954A-B521-364293C05EF8}"/>
              </c:ext>
            </c:extLst>
          </c:dPt>
          <c:dPt>
            <c:idx val="7"/>
            <c:invertIfNegative val="0"/>
            <c:bubble3D val="0"/>
            <c:spPr>
              <a:solidFill>
                <a:srgbClr val="FDAE6B"/>
              </a:solidFill>
              <a:ln>
                <a:solidFill>
                  <a:schemeClr val="tx1"/>
                </a:solidFill>
              </a:ln>
              <a:effectLst/>
            </c:spPr>
            <c:extLst>
              <c:ext xmlns:c16="http://schemas.microsoft.com/office/drawing/2014/chart" uri="{C3380CC4-5D6E-409C-BE32-E72D297353CC}">
                <c16:uniqueId val="{00000007-E642-954A-B521-364293C05EF8}"/>
              </c:ext>
            </c:extLst>
          </c:dPt>
          <c:dLbls>
            <c:numFmt formatCode="#,##0.00" sourceLinked="0"/>
            <c:spPr>
              <a:solidFill>
                <a:schemeClr val="bg1">
                  <a:lumMod val="95000"/>
                </a:schemeClr>
              </a:solidFill>
              <a:ln>
                <a:solidFill>
                  <a:schemeClr val="bg1">
                    <a:lumMod val="9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'125_500_0s'!$A$10:$A$18</c:f>
              <c:strCache>
                <c:ptCount val="8"/>
                <c:pt idx="1">
                  <c:v>Control</c:v>
                </c:pt>
                <c:pt idx="3">
                  <c:v>125EPM</c:v>
                </c:pt>
                <c:pt idx="4">
                  <c:v>125XG</c:v>
                </c:pt>
                <c:pt idx="6">
                  <c:v>500EPM</c:v>
                </c:pt>
                <c:pt idx="7">
                  <c:v>500XG</c:v>
                </c:pt>
              </c:strCache>
            </c:strRef>
          </c:cat>
          <c:val>
            <c:numRef>
              <c:f>'125_500_0s'!$B$10:$B$18</c:f>
              <c:numCache>
                <c:formatCode>0.0000</c:formatCode>
                <c:ptCount val="9"/>
                <c:pt idx="1">
                  <c:v>42.550899999999999</c:v>
                </c:pt>
                <c:pt idx="3">
                  <c:v>39.941200000000002</c:v>
                </c:pt>
                <c:pt idx="4">
                  <c:v>39.319400000000002</c:v>
                </c:pt>
                <c:pt idx="6">
                  <c:v>39.470399999999998</c:v>
                </c:pt>
                <c:pt idx="7">
                  <c:v>39.015099999999997</c:v>
                </c:pt>
              </c:numCache>
            </c:numRef>
          </c:val>
          <c:extLst>
            <c:ext xmlns:c16="http://schemas.microsoft.com/office/drawing/2014/chart" uri="{C3380CC4-5D6E-409C-BE32-E72D297353CC}">
              <c16:uniqueId val="{00000008-E642-954A-B521-364293C05EF8}"/>
            </c:ext>
          </c:extLst>
        </c:ser>
        <c:dLbls>
          <c:dLblPos val="outEnd"/>
          <c:showLegendKey val="0"/>
          <c:showVal val="1"/>
          <c:showCatName val="0"/>
          <c:showSerName val="0"/>
          <c:showPercent val="0"/>
          <c:showBubbleSize val="0"/>
        </c:dLbls>
        <c:gapWidth val="10"/>
        <c:overlap val="-25"/>
        <c:axId val="1591211583"/>
        <c:axId val="1591201279"/>
      </c:barChart>
      <c:catAx>
        <c:axId val="159121158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Sample (silt = 0%)</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6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91201279"/>
        <c:crosses val="autoZero"/>
        <c:auto val="1"/>
        <c:lblAlgn val="ctr"/>
        <c:lblOffset val="100"/>
        <c:noMultiLvlLbl val="0"/>
      </c:catAx>
      <c:valAx>
        <c:axId val="1591201279"/>
        <c:scaling>
          <c:orientation val="minMax"/>
          <c:max val="44"/>
          <c:min val="3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Porosity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91211583"/>
        <c:crosses val="autoZero"/>
        <c:crossBetween val="between"/>
        <c:majorUnit val="2"/>
      </c:valAx>
      <c:spPr>
        <a:solidFill>
          <a:schemeClr val="bg1"/>
        </a:solidFill>
        <a:ln>
          <a:noFill/>
        </a:ln>
        <a:effectLst/>
      </c:spPr>
    </c:plotArea>
    <c:legend>
      <c:legendPos val="r"/>
      <c:legendEntry>
        <c:idx val="0"/>
        <c:delete val="1"/>
      </c:legendEntry>
      <c:legendEntry>
        <c:idx val="2"/>
        <c:delete val="1"/>
      </c:legendEntry>
      <c:legendEntry>
        <c:idx val="5"/>
        <c:delete val="1"/>
      </c:legendEntry>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bar_plot!$CR$1</c:f>
              <c:strCache>
                <c:ptCount val="1"/>
                <c:pt idx="0">
                  <c:v>control</c:v>
                </c:pt>
              </c:strCache>
            </c:strRef>
          </c:tx>
          <c:spPr>
            <a:solidFill>
              <a:schemeClr val="bg1"/>
            </a:solidFill>
            <a:ln>
              <a:solidFill>
                <a:schemeClr val="tx1"/>
              </a:solidFill>
              <a:prstDash val="solid"/>
            </a:ln>
          </c:spPr>
          <c:invertIfNegative val="0"/>
          <c:dLbls>
            <c:numFmt formatCode="#,##0" sourceLinked="0"/>
            <c:spPr>
              <a:noFill/>
              <a:ln>
                <a:noFill/>
                <a:prstDash val="solid"/>
              </a:ln>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bar_plot!$CV$2:$CV$7</c:f>
                <c:numCache>
                  <c:formatCode>General</c:formatCode>
                  <c:ptCount val="6"/>
                  <c:pt idx="0">
                    <c:v>0</c:v>
                  </c:pt>
                  <c:pt idx="1">
                    <c:v>578.35073654833354</c:v>
                  </c:pt>
                  <c:pt idx="2">
                    <c:v>130.78950449481798</c:v>
                  </c:pt>
                  <c:pt idx="3">
                    <c:v>2123.1450435700335</c:v>
                  </c:pt>
                  <c:pt idx="4">
                    <c:v>911.66700781261125</c:v>
                  </c:pt>
                  <c:pt idx="5">
                    <c:v>196.56433057907532</c:v>
                  </c:pt>
                </c:numCache>
              </c:numRef>
            </c:plus>
            <c:minus>
              <c:numRef>
                <c:f>bar_plot!$CV$2:$CV$7</c:f>
                <c:numCache>
                  <c:formatCode>General</c:formatCode>
                  <c:ptCount val="6"/>
                  <c:pt idx="0">
                    <c:v>0</c:v>
                  </c:pt>
                  <c:pt idx="1">
                    <c:v>578.35073654833354</c:v>
                  </c:pt>
                  <c:pt idx="2">
                    <c:v>130.78950449481798</c:v>
                  </c:pt>
                  <c:pt idx="3">
                    <c:v>2123.1450435700335</c:v>
                  </c:pt>
                  <c:pt idx="4">
                    <c:v>911.66700781261125</c:v>
                  </c:pt>
                  <c:pt idx="5">
                    <c:v>196.56433057907532</c:v>
                  </c:pt>
                </c:numCache>
              </c:numRef>
            </c:minus>
            <c:spPr>
              <a:noFill/>
              <a:ln w="9525" cap="flat" cmpd="sng" algn="ctr">
                <a:solidFill>
                  <a:schemeClr val="tx1">
                    <a:lumMod val="65000"/>
                    <a:lumOff val="35000"/>
                  </a:schemeClr>
                </a:solidFill>
                <a:prstDash val="solid"/>
                <a:round/>
              </a:ln>
            </c:spPr>
          </c:errBars>
          <c:cat>
            <c:multiLvlStrRef>
              <c:f>bar_plot!$CP$2:$CQ$7</c:f>
              <c:multiLvlStrCache>
                <c:ptCount val="6"/>
                <c:lvl>
                  <c:pt idx="0">
                    <c:v>Mg</c:v>
                  </c:pt>
                  <c:pt idx="1">
                    <c:v>P</c:v>
                  </c:pt>
                  <c:pt idx="2">
                    <c:v>S</c:v>
                  </c:pt>
                  <c:pt idx="3">
                    <c:v>K</c:v>
                  </c:pt>
                  <c:pt idx="4">
                    <c:v>Ca</c:v>
                  </c:pt>
                  <c:pt idx="5">
                    <c:v>Cl</c:v>
                  </c:pt>
                </c:lvl>
                <c:lvl>
                  <c:pt idx="0">
                    <c:v>Essential Macronutrients </c:v>
                  </c:pt>
                </c:lvl>
              </c:multiLvlStrCache>
            </c:multiLvlStrRef>
          </c:cat>
          <c:val>
            <c:numRef>
              <c:f>bar_plot!$CR$2:$CR$7</c:f>
              <c:numCache>
                <c:formatCode>0.00</c:formatCode>
                <c:ptCount val="6"/>
                <c:pt idx="1">
                  <c:v>2380.136</c:v>
                </c:pt>
                <c:pt idx="2">
                  <c:v>643.50599999999997</c:v>
                </c:pt>
                <c:pt idx="3">
                  <c:v>12218.056</c:v>
                </c:pt>
                <c:pt idx="4">
                  <c:v>3406.6020000000003</c:v>
                </c:pt>
                <c:pt idx="5">
                  <c:v>623.77399999999989</c:v>
                </c:pt>
              </c:numCache>
            </c:numRef>
          </c:val>
          <c:extLst>
            <c:ext xmlns:c16="http://schemas.microsoft.com/office/drawing/2014/chart" uri="{C3380CC4-5D6E-409C-BE32-E72D297353CC}">
              <c16:uniqueId val="{00000000-4191-3A41-84E4-3352AB37E42D}"/>
            </c:ext>
          </c:extLst>
        </c:ser>
        <c:ser>
          <c:idx val="1"/>
          <c:order val="1"/>
          <c:tx>
            <c:strRef>
              <c:f>bar_plot!$CS$1</c:f>
              <c:strCache>
                <c:ptCount val="1"/>
                <c:pt idx="0">
                  <c:v>50 mg/l</c:v>
                </c:pt>
              </c:strCache>
            </c:strRef>
          </c:tx>
          <c:spPr>
            <a:solidFill>
              <a:srgbClr val="C7E9C1"/>
            </a:solidFill>
            <a:ln>
              <a:solidFill>
                <a:schemeClr val="tx1"/>
              </a:solidFill>
              <a:prstDash val="solid"/>
            </a:ln>
          </c:spPr>
          <c:invertIfNegative val="0"/>
          <c:dLbls>
            <c:numFmt formatCode="#,##0" sourceLinked="0"/>
            <c:spPr>
              <a:noFill/>
              <a:ln>
                <a:noFill/>
                <a:prstDash val="solid"/>
              </a:ln>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bar_plot!$CW$2:$CW$7</c:f>
                <c:numCache>
                  <c:formatCode>General</c:formatCode>
                  <c:ptCount val="6"/>
                  <c:pt idx="0">
                    <c:v>0</c:v>
                  </c:pt>
                  <c:pt idx="1">
                    <c:v>4811.9214153457688</c:v>
                  </c:pt>
                  <c:pt idx="2">
                    <c:v>4155.1962185744806</c:v>
                  </c:pt>
                  <c:pt idx="3">
                    <c:v>19837.239038245069</c:v>
                  </c:pt>
                  <c:pt idx="4">
                    <c:v>13642.025849799842</c:v>
                  </c:pt>
                  <c:pt idx="5">
                    <c:v>762.4895052224216</c:v>
                  </c:pt>
                </c:numCache>
              </c:numRef>
            </c:plus>
            <c:minus>
              <c:numRef>
                <c:f>bar_plot!$CW$2:$CW$7</c:f>
                <c:numCache>
                  <c:formatCode>General</c:formatCode>
                  <c:ptCount val="6"/>
                  <c:pt idx="0">
                    <c:v>0</c:v>
                  </c:pt>
                  <c:pt idx="1">
                    <c:v>4811.9214153457688</c:v>
                  </c:pt>
                  <c:pt idx="2">
                    <c:v>4155.1962185744806</c:v>
                  </c:pt>
                  <c:pt idx="3">
                    <c:v>19837.239038245069</c:v>
                  </c:pt>
                  <c:pt idx="4">
                    <c:v>13642.025849799842</c:v>
                  </c:pt>
                  <c:pt idx="5">
                    <c:v>762.4895052224216</c:v>
                  </c:pt>
                </c:numCache>
              </c:numRef>
            </c:minus>
            <c:spPr>
              <a:noFill/>
              <a:ln w="9525" cap="flat" cmpd="sng" algn="ctr">
                <a:solidFill>
                  <a:schemeClr val="tx1">
                    <a:lumMod val="65000"/>
                    <a:lumOff val="35000"/>
                  </a:schemeClr>
                </a:solidFill>
                <a:prstDash val="solid"/>
                <a:round/>
              </a:ln>
            </c:spPr>
          </c:errBars>
          <c:cat>
            <c:multiLvlStrRef>
              <c:f>bar_plot!$CP$2:$CQ$7</c:f>
              <c:multiLvlStrCache>
                <c:ptCount val="6"/>
                <c:lvl>
                  <c:pt idx="0">
                    <c:v>Mg</c:v>
                  </c:pt>
                  <c:pt idx="1">
                    <c:v>P</c:v>
                  </c:pt>
                  <c:pt idx="2">
                    <c:v>S</c:v>
                  </c:pt>
                  <c:pt idx="3">
                    <c:v>K</c:v>
                  </c:pt>
                  <c:pt idx="4">
                    <c:v>Ca</c:v>
                  </c:pt>
                  <c:pt idx="5">
                    <c:v>Cl</c:v>
                  </c:pt>
                </c:lvl>
                <c:lvl>
                  <c:pt idx="0">
                    <c:v>Essential Macronutrients </c:v>
                  </c:pt>
                </c:lvl>
              </c:multiLvlStrCache>
            </c:multiLvlStrRef>
          </c:cat>
          <c:val>
            <c:numRef>
              <c:f>bar_plot!$CS$2:$CS$7</c:f>
              <c:numCache>
                <c:formatCode>0.00</c:formatCode>
                <c:ptCount val="6"/>
                <c:pt idx="1">
                  <c:v>16402.431</c:v>
                </c:pt>
                <c:pt idx="2">
                  <c:v>13296.263000000001</c:v>
                </c:pt>
                <c:pt idx="3">
                  <c:v>67537.681000000011</c:v>
                </c:pt>
                <c:pt idx="4">
                  <c:v>43771.236000000004</c:v>
                </c:pt>
                <c:pt idx="5">
                  <c:v>2601.0190000000002</c:v>
                </c:pt>
              </c:numCache>
            </c:numRef>
          </c:val>
          <c:extLst>
            <c:ext xmlns:c16="http://schemas.microsoft.com/office/drawing/2014/chart" uri="{C3380CC4-5D6E-409C-BE32-E72D297353CC}">
              <c16:uniqueId val="{00000001-4191-3A41-84E4-3352AB37E42D}"/>
            </c:ext>
          </c:extLst>
        </c:ser>
        <c:ser>
          <c:idx val="2"/>
          <c:order val="2"/>
          <c:tx>
            <c:strRef>
              <c:f>bar_plot!$CT$1</c:f>
              <c:strCache>
                <c:ptCount val="1"/>
                <c:pt idx="0">
                  <c:v>100 mg/l</c:v>
                </c:pt>
              </c:strCache>
            </c:strRef>
          </c:tx>
          <c:spPr>
            <a:solidFill>
              <a:srgbClr val="74C476"/>
            </a:solidFill>
            <a:ln>
              <a:solidFill>
                <a:schemeClr val="tx1"/>
              </a:solidFill>
              <a:prstDash val="solid"/>
            </a:ln>
          </c:spPr>
          <c:invertIfNegative val="0"/>
          <c:dLbls>
            <c:numFmt formatCode="#,##0" sourceLinked="0"/>
            <c:spPr>
              <a:noFill/>
              <a:ln>
                <a:noFill/>
                <a:prstDash val="solid"/>
              </a:ln>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bar_plot!$CX$2:$CX$7</c:f>
                <c:numCache>
                  <c:formatCode>General</c:formatCode>
                  <c:ptCount val="6"/>
                  <c:pt idx="0">
                    <c:v>0</c:v>
                  </c:pt>
                  <c:pt idx="1">
                    <c:v>869.30946388268399</c:v>
                  </c:pt>
                  <c:pt idx="2">
                    <c:v>643.16454805593901</c:v>
                  </c:pt>
                  <c:pt idx="3">
                    <c:v>1869.9975342561313</c:v>
                  </c:pt>
                  <c:pt idx="4">
                    <c:v>1929.8499109257159</c:v>
                  </c:pt>
                  <c:pt idx="5">
                    <c:v>241.80719151836644</c:v>
                  </c:pt>
                </c:numCache>
              </c:numRef>
            </c:plus>
            <c:minus>
              <c:numRef>
                <c:f>bar_plot!$CX$2:$CX$7</c:f>
                <c:numCache>
                  <c:formatCode>General</c:formatCode>
                  <c:ptCount val="6"/>
                  <c:pt idx="0">
                    <c:v>0</c:v>
                  </c:pt>
                  <c:pt idx="1">
                    <c:v>869.30946388268399</c:v>
                  </c:pt>
                  <c:pt idx="2">
                    <c:v>643.16454805593901</c:v>
                  </c:pt>
                  <c:pt idx="3">
                    <c:v>1869.9975342561313</c:v>
                  </c:pt>
                  <c:pt idx="4">
                    <c:v>1929.8499109257159</c:v>
                  </c:pt>
                  <c:pt idx="5">
                    <c:v>241.80719151836644</c:v>
                  </c:pt>
                </c:numCache>
              </c:numRef>
            </c:minus>
            <c:spPr>
              <a:noFill/>
              <a:ln w="9525" cap="flat" cmpd="sng" algn="ctr">
                <a:solidFill>
                  <a:schemeClr val="tx1">
                    <a:lumMod val="65000"/>
                    <a:lumOff val="35000"/>
                  </a:schemeClr>
                </a:solidFill>
                <a:prstDash val="solid"/>
                <a:round/>
              </a:ln>
            </c:spPr>
          </c:errBars>
          <c:cat>
            <c:multiLvlStrRef>
              <c:f>bar_plot!$CP$2:$CQ$7</c:f>
              <c:multiLvlStrCache>
                <c:ptCount val="6"/>
                <c:lvl>
                  <c:pt idx="0">
                    <c:v>Mg</c:v>
                  </c:pt>
                  <c:pt idx="1">
                    <c:v>P</c:v>
                  </c:pt>
                  <c:pt idx="2">
                    <c:v>S</c:v>
                  </c:pt>
                  <c:pt idx="3">
                    <c:v>K</c:v>
                  </c:pt>
                  <c:pt idx="4">
                    <c:v>Ca</c:v>
                  </c:pt>
                  <c:pt idx="5">
                    <c:v>Cl</c:v>
                  </c:pt>
                </c:lvl>
                <c:lvl>
                  <c:pt idx="0">
                    <c:v>Essential Macronutrients </c:v>
                  </c:pt>
                </c:lvl>
              </c:multiLvlStrCache>
            </c:multiLvlStrRef>
          </c:cat>
          <c:val>
            <c:numRef>
              <c:f>bar_plot!$CT$2:$CT$7</c:f>
              <c:numCache>
                <c:formatCode>0.00</c:formatCode>
                <c:ptCount val="6"/>
                <c:pt idx="1">
                  <c:v>4129.3239999999996</c:v>
                </c:pt>
                <c:pt idx="2">
                  <c:v>3066.674</c:v>
                </c:pt>
                <c:pt idx="3">
                  <c:v>17970.601999999999</c:v>
                </c:pt>
                <c:pt idx="4">
                  <c:v>12618.86</c:v>
                </c:pt>
                <c:pt idx="5">
                  <c:v>940.47</c:v>
                </c:pt>
              </c:numCache>
            </c:numRef>
          </c:val>
          <c:extLst>
            <c:ext xmlns:c16="http://schemas.microsoft.com/office/drawing/2014/chart" uri="{C3380CC4-5D6E-409C-BE32-E72D297353CC}">
              <c16:uniqueId val="{00000002-4191-3A41-84E4-3352AB37E42D}"/>
            </c:ext>
          </c:extLst>
        </c:ser>
        <c:ser>
          <c:idx val="3"/>
          <c:order val="3"/>
          <c:tx>
            <c:strRef>
              <c:f>bar_plot!$CU$1</c:f>
              <c:strCache>
                <c:ptCount val="1"/>
                <c:pt idx="0">
                  <c:v>500 mg/l</c:v>
                </c:pt>
              </c:strCache>
            </c:strRef>
          </c:tx>
          <c:spPr>
            <a:solidFill>
              <a:srgbClr val="228B45"/>
            </a:solidFill>
            <a:ln>
              <a:solidFill>
                <a:schemeClr val="tx1"/>
              </a:solidFill>
              <a:prstDash val="solid"/>
            </a:ln>
          </c:spPr>
          <c:invertIfNegative val="0"/>
          <c:dLbls>
            <c:numFmt formatCode="#,##0" sourceLinked="0"/>
            <c:spPr>
              <a:noFill/>
              <a:ln>
                <a:noFill/>
                <a:prstDash val="solid"/>
              </a:ln>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bar_plot!$CY$2:$CY$7</c:f>
                <c:numCache>
                  <c:formatCode>General</c:formatCode>
                  <c:ptCount val="6"/>
                  <c:pt idx="0">
                    <c:v>0</c:v>
                  </c:pt>
                  <c:pt idx="1">
                    <c:v>2896.4548157911831</c:v>
                  </c:pt>
                  <c:pt idx="2">
                    <c:v>1855.8738334057098</c:v>
                  </c:pt>
                  <c:pt idx="3">
                    <c:v>12211.585750172893</c:v>
                  </c:pt>
                  <c:pt idx="4">
                    <c:v>6133.2014424532063</c:v>
                  </c:pt>
                  <c:pt idx="5">
                    <c:v>417.30033147602569</c:v>
                  </c:pt>
                </c:numCache>
              </c:numRef>
            </c:plus>
            <c:minus>
              <c:numRef>
                <c:f>bar_plot!$CY$2:$CY$7</c:f>
                <c:numCache>
                  <c:formatCode>General</c:formatCode>
                  <c:ptCount val="6"/>
                  <c:pt idx="0">
                    <c:v>0</c:v>
                  </c:pt>
                  <c:pt idx="1">
                    <c:v>2896.4548157911831</c:v>
                  </c:pt>
                  <c:pt idx="2">
                    <c:v>1855.8738334057098</c:v>
                  </c:pt>
                  <c:pt idx="3">
                    <c:v>12211.585750172893</c:v>
                  </c:pt>
                  <c:pt idx="4">
                    <c:v>6133.2014424532063</c:v>
                  </c:pt>
                  <c:pt idx="5">
                    <c:v>417.30033147602569</c:v>
                  </c:pt>
                </c:numCache>
              </c:numRef>
            </c:minus>
            <c:spPr>
              <a:noFill/>
              <a:ln w="9525" cap="flat" cmpd="sng" algn="ctr">
                <a:solidFill>
                  <a:schemeClr val="tx1">
                    <a:lumMod val="65000"/>
                    <a:lumOff val="35000"/>
                  </a:schemeClr>
                </a:solidFill>
                <a:prstDash val="solid"/>
                <a:round/>
              </a:ln>
            </c:spPr>
          </c:errBars>
          <c:cat>
            <c:multiLvlStrRef>
              <c:f>bar_plot!$CP$2:$CQ$7</c:f>
              <c:multiLvlStrCache>
                <c:ptCount val="6"/>
                <c:lvl>
                  <c:pt idx="0">
                    <c:v>Mg</c:v>
                  </c:pt>
                  <c:pt idx="1">
                    <c:v>P</c:v>
                  </c:pt>
                  <c:pt idx="2">
                    <c:v>S</c:v>
                  </c:pt>
                  <c:pt idx="3">
                    <c:v>K</c:v>
                  </c:pt>
                  <c:pt idx="4">
                    <c:v>Ca</c:v>
                  </c:pt>
                  <c:pt idx="5">
                    <c:v>Cl</c:v>
                  </c:pt>
                </c:lvl>
                <c:lvl>
                  <c:pt idx="0">
                    <c:v>Essential Macronutrients </c:v>
                  </c:pt>
                </c:lvl>
              </c:multiLvlStrCache>
            </c:multiLvlStrRef>
          </c:cat>
          <c:val>
            <c:numRef>
              <c:f>bar_plot!$CU$2:$CU$7</c:f>
              <c:numCache>
                <c:formatCode>0.00</c:formatCode>
                <c:ptCount val="6"/>
                <c:pt idx="1">
                  <c:v>30242.690000000002</c:v>
                </c:pt>
                <c:pt idx="2">
                  <c:v>25476.78</c:v>
                </c:pt>
                <c:pt idx="3">
                  <c:v>124424.87199999997</c:v>
                </c:pt>
                <c:pt idx="4">
                  <c:v>83731.69</c:v>
                </c:pt>
                <c:pt idx="5">
                  <c:v>4810.34</c:v>
                </c:pt>
              </c:numCache>
            </c:numRef>
          </c:val>
          <c:extLst>
            <c:ext xmlns:c16="http://schemas.microsoft.com/office/drawing/2014/chart" uri="{C3380CC4-5D6E-409C-BE32-E72D297353CC}">
              <c16:uniqueId val="{00000003-4191-3A41-84E4-3352AB37E42D}"/>
            </c:ext>
          </c:extLst>
        </c:ser>
        <c:dLbls>
          <c:dLblPos val="outEnd"/>
          <c:showLegendKey val="0"/>
          <c:showVal val="1"/>
          <c:showCatName val="0"/>
          <c:showSerName val="0"/>
          <c:showPercent val="0"/>
          <c:showBubbleSize val="0"/>
        </c:dLbls>
        <c:gapWidth val="150"/>
        <c:overlap val="-20"/>
        <c:axId val="421374016"/>
        <c:axId val="421363712"/>
      </c:barChart>
      <c:catAx>
        <c:axId val="4213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vert="horz"/>
          <a:lstStyle/>
          <a:p>
            <a:pPr>
              <a:defRPr sz="800"/>
            </a:pPr>
            <a:endParaRPr lang="en-US"/>
          </a:p>
        </c:txPr>
        <c:crossAx val="421363712"/>
        <c:crosses val="autoZero"/>
        <c:auto val="1"/>
        <c:lblAlgn val="ctr"/>
        <c:lblOffset val="100"/>
        <c:noMultiLvlLbl val="0"/>
      </c:catAx>
      <c:valAx>
        <c:axId val="421363712"/>
        <c:scaling>
          <c:logBase val="10"/>
          <c:orientation val="minMax"/>
          <c:min val="100"/>
        </c:scaling>
        <c:delete val="0"/>
        <c:axPos val="l"/>
        <c:majorGridlines>
          <c:spPr>
            <a:ln w="9525" cap="flat" cmpd="sng" algn="ctr">
              <a:solidFill>
                <a:schemeClr val="tx1">
                  <a:lumMod val="15000"/>
                  <a:lumOff val="85000"/>
                </a:schemeClr>
              </a:solidFill>
              <a:prstDash val="solid"/>
              <a:round/>
            </a:ln>
          </c:spPr>
        </c:majorGridlines>
        <c:title>
          <c:tx>
            <c:rich>
              <a:bodyPr rot="-5400000" vert="horz"/>
              <a:lstStyle/>
              <a:p>
                <a:pPr>
                  <a:defRPr sz="800"/>
                </a:pPr>
                <a:r>
                  <a:rPr lang="en-US" sz="800"/>
                  <a:t>Concentration (ppm)</a:t>
                </a:r>
              </a:p>
            </c:rich>
          </c:tx>
          <c:overlay val="0"/>
          <c:spPr>
            <a:noFill/>
            <a:ln>
              <a:noFill/>
              <a:prstDash val="solid"/>
            </a:ln>
          </c:spPr>
        </c:title>
        <c:numFmt formatCode="0" sourceLinked="0"/>
        <c:majorTickMark val="none"/>
        <c:minorTickMark val="none"/>
        <c:tickLblPos val="nextTo"/>
        <c:spPr>
          <a:noFill/>
          <a:ln>
            <a:noFill/>
            <a:prstDash val="solid"/>
          </a:ln>
        </c:spPr>
        <c:txPr>
          <a:bodyPr rot="-60000000" vert="horz"/>
          <a:lstStyle/>
          <a:p>
            <a:pPr>
              <a:defRPr sz="800"/>
            </a:pPr>
            <a:endParaRPr lang="en-US"/>
          </a:p>
        </c:txPr>
        <c:crossAx val="421374016"/>
        <c:crosses val="autoZero"/>
        <c:crossBetween val="between"/>
      </c:valAx>
    </c:plotArea>
    <c:legend>
      <c:legendPos val="r"/>
      <c:overlay val="0"/>
      <c:spPr>
        <a:noFill/>
        <a:ln>
          <a:noFill/>
          <a:prstDash val="solid"/>
        </a:ln>
      </c:spPr>
      <c:txPr>
        <a:bodyPr rot="0" vert="horz"/>
        <a:lstStyle/>
        <a:p>
          <a:pPr>
            <a:defRPr sz="800"/>
          </a:pPr>
          <a:endParaRPr lang="en-US"/>
        </a:p>
      </c:txPr>
    </c:legend>
    <c:plotVisOnly val="1"/>
    <c:dispBlanksAs val="gap"/>
    <c:showDLblsOverMax val="1"/>
  </c:chart>
  <c:spPr>
    <a:solidFill>
      <a:schemeClr val="bg1">
        <a:lumMod val="85000"/>
      </a:schemeClr>
    </a:solidFill>
    <a:ln w="9525" cap="flat" cmpd="sng" algn="ctr">
      <a:solidFill>
        <a:schemeClr val="tx1">
          <a:lumMod val="15000"/>
          <a:lumOff val="85000"/>
        </a:schemeClr>
      </a:solidFill>
      <a:prstDash val="solid"/>
      <a:round/>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bar_plot!$CR$1</c:f>
              <c:strCache>
                <c:ptCount val="1"/>
                <c:pt idx="0">
                  <c:v>control</c:v>
                </c:pt>
              </c:strCache>
            </c:strRef>
          </c:tx>
          <c:spPr>
            <a:solidFill>
              <a:schemeClr val="bg1"/>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bar_plot!$CV$8:$CV$13</c:f>
                <c:numCache>
                  <c:formatCode>General</c:formatCode>
                  <c:ptCount val="6"/>
                  <c:pt idx="0">
                    <c:v>0</c:v>
                  </c:pt>
                  <c:pt idx="1">
                    <c:v>0</c:v>
                  </c:pt>
                  <c:pt idx="2">
                    <c:v>4.5505549112168717</c:v>
                  </c:pt>
                  <c:pt idx="3">
                    <c:v>11.478218938493891</c:v>
                  </c:pt>
                  <c:pt idx="4">
                    <c:v>0.69682565968827503</c:v>
                  </c:pt>
                  <c:pt idx="5">
                    <c:v>0</c:v>
                  </c:pt>
                </c:numCache>
              </c:numRef>
            </c:plus>
            <c:minus>
              <c:numRef>
                <c:f>bar_plot!$CV$8:$CV$13</c:f>
                <c:numCache>
                  <c:formatCode>General</c:formatCode>
                  <c:ptCount val="6"/>
                  <c:pt idx="0">
                    <c:v>0</c:v>
                  </c:pt>
                  <c:pt idx="1">
                    <c:v>0</c:v>
                  </c:pt>
                  <c:pt idx="2">
                    <c:v>4.5505549112168717</c:v>
                  </c:pt>
                  <c:pt idx="3">
                    <c:v>11.478218938493891</c:v>
                  </c:pt>
                  <c:pt idx="4">
                    <c:v>0.69682565968827503</c:v>
                  </c:pt>
                  <c:pt idx="5">
                    <c:v>0</c:v>
                  </c:pt>
                </c:numCache>
              </c:numRef>
            </c:minus>
            <c:spPr>
              <a:noFill/>
              <a:ln w="9525" cap="flat" cmpd="sng" algn="ctr">
                <a:solidFill>
                  <a:schemeClr val="tx1">
                    <a:lumMod val="65000"/>
                    <a:lumOff val="35000"/>
                  </a:schemeClr>
                </a:solidFill>
                <a:prstDash val="solid"/>
                <a:round/>
              </a:ln>
            </c:spPr>
          </c:errBars>
          <c:cat>
            <c:multiLvlStrRef>
              <c:f>bar_plot!$CP$8:$CQ$13</c:f>
              <c:multiLvlStrCache>
                <c:ptCount val="6"/>
                <c:lvl>
                  <c:pt idx="0">
                    <c:v>Mn</c:v>
                  </c:pt>
                  <c:pt idx="1">
                    <c:v>Fe</c:v>
                  </c:pt>
                  <c:pt idx="2">
                    <c:v>Cu</c:v>
                  </c:pt>
                  <c:pt idx="3">
                    <c:v>Zn</c:v>
                  </c:pt>
                  <c:pt idx="4">
                    <c:v>Mo</c:v>
                  </c:pt>
                  <c:pt idx="5">
                    <c:v>Ni</c:v>
                  </c:pt>
                </c:lvl>
                <c:lvl>
                  <c:pt idx="0">
                    <c:v>Essential Micronutrients </c:v>
                  </c:pt>
                </c:lvl>
              </c:multiLvlStrCache>
            </c:multiLvlStrRef>
          </c:cat>
          <c:val>
            <c:numRef>
              <c:f>bar_plot!$CR$8:$CR$13</c:f>
              <c:numCache>
                <c:formatCode>0.00</c:formatCode>
                <c:ptCount val="6"/>
                <c:pt idx="1">
                  <c:v>32.58</c:v>
                </c:pt>
                <c:pt idx="2">
                  <c:v>36.5</c:v>
                </c:pt>
                <c:pt idx="3">
                  <c:v>73.739999999999995</c:v>
                </c:pt>
                <c:pt idx="4">
                  <c:v>15.616</c:v>
                </c:pt>
              </c:numCache>
            </c:numRef>
          </c:val>
          <c:extLst>
            <c:ext xmlns:c16="http://schemas.microsoft.com/office/drawing/2014/chart" uri="{C3380CC4-5D6E-409C-BE32-E72D297353CC}">
              <c16:uniqueId val="{00000000-E4EC-6845-8BFC-87291522210F}"/>
            </c:ext>
          </c:extLst>
        </c:ser>
        <c:ser>
          <c:idx val="1"/>
          <c:order val="1"/>
          <c:tx>
            <c:strRef>
              <c:f>bar_plot!$CS$1</c:f>
              <c:strCache>
                <c:ptCount val="1"/>
                <c:pt idx="0">
                  <c:v>50 mg/l</c:v>
                </c:pt>
              </c:strCache>
            </c:strRef>
          </c:tx>
          <c:spPr>
            <a:solidFill>
              <a:srgbClr val="C7E9C1"/>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bar_plot!$CW$8:$CW$13</c:f>
                <c:numCache>
                  <c:formatCode>General</c:formatCode>
                  <c:ptCount val="6"/>
                  <c:pt idx="0">
                    <c:v>0</c:v>
                  </c:pt>
                  <c:pt idx="1">
                    <c:v>427.19258876803252</c:v>
                  </c:pt>
                  <c:pt idx="2">
                    <c:v>26.543457048981214</c:v>
                  </c:pt>
                  <c:pt idx="3">
                    <c:v>85.242108246648456</c:v>
                  </c:pt>
                  <c:pt idx="4">
                    <c:v>0.4263599157727867</c:v>
                  </c:pt>
                  <c:pt idx="5">
                    <c:v>0</c:v>
                  </c:pt>
                </c:numCache>
              </c:numRef>
            </c:plus>
            <c:minus>
              <c:numRef>
                <c:f>bar_plot!$CW$8:$CW$13</c:f>
                <c:numCache>
                  <c:formatCode>General</c:formatCode>
                  <c:ptCount val="6"/>
                  <c:pt idx="0">
                    <c:v>0</c:v>
                  </c:pt>
                  <c:pt idx="1">
                    <c:v>427.19258876803252</c:v>
                  </c:pt>
                  <c:pt idx="2">
                    <c:v>26.543457048981214</c:v>
                  </c:pt>
                  <c:pt idx="3">
                    <c:v>85.242108246648456</c:v>
                  </c:pt>
                  <c:pt idx="4">
                    <c:v>0.4263599157727867</c:v>
                  </c:pt>
                  <c:pt idx="5">
                    <c:v>0</c:v>
                  </c:pt>
                </c:numCache>
              </c:numRef>
            </c:minus>
            <c:spPr>
              <a:noFill/>
              <a:ln w="9525" cap="flat" cmpd="sng" algn="ctr">
                <a:solidFill>
                  <a:schemeClr val="tx1">
                    <a:lumMod val="65000"/>
                    <a:lumOff val="35000"/>
                  </a:schemeClr>
                </a:solidFill>
                <a:prstDash val="solid"/>
                <a:round/>
              </a:ln>
            </c:spPr>
          </c:errBars>
          <c:cat>
            <c:multiLvlStrRef>
              <c:f>bar_plot!$CP$8:$CQ$13</c:f>
              <c:multiLvlStrCache>
                <c:ptCount val="6"/>
                <c:lvl>
                  <c:pt idx="0">
                    <c:v>Mn</c:v>
                  </c:pt>
                  <c:pt idx="1">
                    <c:v>Fe</c:v>
                  </c:pt>
                  <c:pt idx="2">
                    <c:v>Cu</c:v>
                  </c:pt>
                  <c:pt idx="3">
                    <c:v>Zn</c:v>
                  </c:pt>
                  <c:pt idx="4">
                    <c:v>Mo</c:v>
                  </c:pt>
                  <c:pt idx="5">
                    <c:v>Ni</c:v>
                  </c:pt>
                </c:lvl>
                <c:lvl>
                  <c:pt idx="0">
                    <c:v>Essential Micronutrients </c:v>
                  </c:pt>
                </c:lvl>
              </c:multiLvlStrCache>
            </c:multiLvlStrRef>
          </c:cat>
          <c:val>
            <c:numRef>
              <c:f>bar_plot!$CS$8:$CS$13</c:f>
              <c:numCache>
                <c:formatCode>0.00</c:formatCode>
                <c:ptCount val="6"/>
                <c:pt idx="1">
                  <c:v>987.28499999999997</c:v>
                </c:pt>
                <c:pt idx="2">
                  <c:v>96.409000000000006</c:v>
                </c:pt>
                <c:pt idx="3">
                  <c:v>329.40500000000003</c:v>
                </c:pt>
                <c:pt idx="4">
                  <c:v>13.955000000000002</c:v>
                </c:pt>
              </c:numCache>
            </c:numRef>
          </c:val>
          <c:extLst>
            <c:ext xmlns:c16="http://schemas.microsoft.com/office/drawing/2014/chart" uri="{C3380CC4-5D6E-409C-BE32-E72D297353CC}">
              <c16:uniqueId val="{00000001-E4EC-6845-8BFC-87291522210F}"/>
            </c:ext>
          </c:extLst>
        </c:ser>
        <c:ser>
          <c:idx val="2"/>
          <c:order val="2"/>
          <c:tx>
            <c:strRef>
              <c:f>bar_plot!$CT$1</c:f>
              <c:strCache>
                <c:ptCount val="1"/>
                <c:pt idx="0">
                  <c:v>100 mg/l</c:v>
                </c:pt>
              </c:strCache>
            </c:strRef>
          </c:tx>
          <c:spPr>
            <a:solidFill>
              <a:srgbClr val="74C476"/>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bar_plot!$CX$8:$CX$13</c:f>
                <c:numCache>
                  <c:formatCode>General</c:formatCode>
                  <c:ptCount val="6"/>
                  <c:pt idx="0">
                    <c:v>0</c:v>
                  </c:pt>
                  <c:pt idx="1">
                    <c:v>1.7164595344293234</c:v>
                  </c:pt>
                  <c:pt idx="2">
                    <c:v>4.219463709999185</c:v>
                  </c:pt>
                  <c:pt idx="3">
                    <c:v>8.1784935043075055</c:v>
                  </c:pt>
                  <c:pt idx="4">
                    <c:v>0.38057850701267937</c:v>
                  </c:pt>
                  <c:pt idx="5">
                    <c:v>0</c:v>
                  </c:pt>
                </c:numCache>
              </c:numRef>
            </c:plus>
            <c:minus>
              <c:numRef>
                <c:f>bar_plot!$CX$8:$CX$13</c:f>
                <c:numCache>
                  <c:formatCode>General</c:formatCode>
                  <c:ptCount val="6"/>
                  <c:pt idx="0">
                    <c:v>0</c:v>
                  </c:pt>
                  <c:pt idx="1">
                    <c:v>1.7164595344293234</c:v>
                  </c:pt>
                  <c:pt idx="2">
                    <c:v>4.219463709999185</c:v>
                  </c:pt>
                  <c:pt idx="3">
                    <c:v>8.1784935043075055</c:v>
                  </c:pt>
                  <c:pt idx="4">
                    <c:v>0.38057850701267937</c:v>
                  </c:pt>
                  <c:pt idx="5">
                    <c:v>0</c:v>
                  </c:pt>
                </c:numCache>
              </c:numRef>
            </c:minus>
            <c:spPr>
              <a:noFill/>
              <a:ln w="9525" cap="flat" cmpd="sng" algn="ctr">
                <a:solidFill>
                  <a:schemeClr val="tx1">
                    <a:lumMod val="65000"/>
                    <a:lumOff val="35000"/>
                  </a:schemeClr>
                </a:solidFill>
                <a:prstDash val="solid"/>
                <a:round/>
              </a:ln>
            </c:spPr>
          </c:errBars>
          <c:cat>
            <c:multiLvlStrRef>
              <c:f>bar_plot!$CP$8:$CQ$13</c:f>
              <c:multiLvlStrCache>
                <c:ptCount val="6"/>
                <c:lvl>
                  <c:pt idx="0">
                    <c:v>Mn</c:v>
                  </c:pt>
                  <c:pt idx="1">
                    <c:v>Fe</c:v>
                  </c:pt>
                  <c:pt idx="2">
                    <c:v>Cu</c:v>
                  </c:pt>
                  <c:pt idx="3">
                    <c:v>Zn</c:v>
                  </c:pt>
                  <c:pt idx="4">
                    <c:v>Mo</c:v>
                  </c:pt>
                  <c:pt idx="5">
                    <c:v>Ni</c:v>
                  </c:pt>
                </c:lvl>
                <c:lvl>
                  <c:pt idx="0">
                    <c:v>Essential Micronutrients </c:v>
                  </c:pt>
                </c:lvl>
              </c:multiLvlStrCache>
            </c:multiLvlStrRef>
          </c:cat>
          <c:val>
            <c:numRef>
              <c:f>bar_plot!$CT$8:$CT$13</c:f>
              <c:numCache>
                <c:formatCode>0.00</c:formatCode>
                <c:ptCount val="6"/>
                <c:pt idx="1">
                  <c:v>44.550000000000004</c:v>
                </c:pt>
                <c:pt idx="2">
                  <c:v>52.231999999999992</c:v>
                </c:pt>
                <c:pt idx="3">
                  <c:v>82.496000000000009</c:v>
                </c:pt>
                <c:pt idx="4">
                  <c:v>14.790000000000001</c:v>
                </c:pt>
              </c:numCache>
            </c:numRef>
          </c:val>
          <c:extLst>
            <c:ext xmlns:c16="http://schemas.microsoft.com/office/drawing/2014/chart" uri="{C3380CC4-5D6E-409C-BE32-E72D297353CC}">
              <c16:uniqueId val="{00000002-E4EC-6845-8BFC-87291522210F}"/>
            </c:ext>
          </c:extLst>
        </c:ser>
        <c:ser>
          <c:idx val="3"/>
          <c:order val="3"/>
          <c:tx>
            <c:strRef>
              <c:f>bar_plot!$CU$1</c:f>
              <c:strCache>
                <c:ptCount val="1"/>
                <c:pt idx="0">
                  <c:v>500 mg/l</c:v>
                </c:pt>
              </c:strCache>
            </c:strRef>
          </c:tx>
          <c:spPr>
            <a:solidFill>
              <a:srgbClr val="228B45"/>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bar_plot!$CY$8:$CY$13</c:f>
                <c:numCache>
                  <c:formatCode>General</c:formatCode>
                  <c:ptCount val="6"/>
                  <c:pt idx="0">
                    <c:v>0</c:v>
                  </c:pt>
                  <c:pt idx="1">
                    <c:v>470.13476503445264</c:v>
                  </c:pt>
                  <c:pt idx="2">
                    <c:v>36.03353474195945</c:v>
                  </c:pt>
                  <c:pt idx="3">
                    <c:v>53.940308990586821</c:v>
                  </c:pt>
                  <c:pt idx="4">
                    <c:v>0.62170410968562828</c:v>
                  </c:pt>
                  <c:pt idx="5">
                    <c:v>0</c:v>
                  </c:pt>
                </c:numCache>
              </c:numRef>
            </c:plus>
            <c:minus>
              <c:numRef>
                <c:f>bar_plot!$CY$8:$CY$13</c:f>
                <c:numCache>
                  <c:formatCode>General</c:formatCode>
                  <c:ptCount val="6"/>
                  <c:pt idx="0">
                    <c:v>0</c:v>
                  </c:pt>
                  <c:pt idx="1">
                    <c:v>470.13476503445264</c:v>
                  </c:pt>
                  <c:pt idx="2">
                    <c:v>36.03353474195945</c:v>
                  </c:pt>
                  <c:pt idx="3">
                    <c:v>53.940308990586821</c:v>
                  </c:pt>
                  <c:pt idx="4">
                    <c:v>0.62170410968562828</c:v>
                  </c:pt>
                  <c:pt idx="5">
                    <c:v>0</c:v>
                  </c:pt>
                </c:numCache>
              </c:numRef>
            </c:minus>
            <c:spPr>
              <a:noFill/>
              <a:ln w="9525" cap="flat" cmpd="sng" algn="ctr">
                <a:solidFill>
                  <a:schemeClr val="tx1">
                    <a:lumMod val="65000"/>
                    <a:lumOff val="35000"/>
                  </a:schemeClr>
                </a:solidFill>
                <a:prstDash val="solid"/>
                <a:round/>
              </a:ln>
            </c:spPr>
          </c:errBars>
          <c:cat>
            <c:multiLvlStrRef>
              <c:f>bar_plot!$CP$8:$CQ$13</c:f>
              <c:multiLvlStrCache>
                <c:ptCount val="6"/>
                <c:lvl>
                  <c:pt idx="0">
                    <c:v>Mn</c:v>
                  </c:pt>
                  <c:pt idx="1">
                    <c:v>Fe</c:v>
                  </c:pt>
                  <c:pt idx="2">
                    <c:v>Cu</c:v>
                  </c:pt>
                  <c:pt idx="3">
                    <c:v>Zn</c:v>
                  </c:pt>
                  <c:pt idx="4">
                    <c:v>Mo</c:v>
                  </c:pt>
                  <c:pt idx="5">
                    <c:v>Ni</c:v>
                  </c:pt>
                </c:lvl>
                <c:lvl>
                  <c:pt idx="0">
                    <c:v>Essential Micronutrients </c:v>
                  </c:pt>
                </c:lvl>
              </c:multiLvlStrCache>
            </c:multiLvlStrRef>
          </c:cat>
          <c:val>
            <c:numRef>
              <c:f>bar_plot!$CU$8:$CU$13</c:f>
              <c:numCache>
                <c:formatCode>0.00</c:formatCode>
                <c:ptCount val="6"/>
                <c:pt idx="1">
                  <c:v>1174.748</c:v>
                </c:pt>
                <c:pt idx="2">
                  <c:v>157.36600000000001</c:v>
                </c:pt>
                <c:pt idx="3">
                  <c:v>573.08200000000011</c:v>
                </c:pt>
                <c:pt idx="4">
                  <c:v>13.386000000000001</c:v>
                </c:pt>
              </c:numCache>
            </c:numRef>
          </c:val>
          <c:extLst>
            <c:ext xmlns:c16="http://schemas.microsoft.com/office/drawing/2014/chart" uri="{C3380CC4-5D6E-409C-BE32-E72D297353CC}">
              <c16:uniqueId val="{00000003-E4EC-6845-8BFC-87291522210F}"/>
            </c:ext>
          </c:extLst>
        </c:ser>
        <c:dLbls>
          <c:dLblPos val="outEnd"/>
          <c:showLegendKey val="0"/>
          <c:showVal val="1"/>
          <c:showCatName val="0"/>
          <c:showSerName val="0"/>
          <c:showPercent val="0"/>
          <c:showBubbleSize val="0"/>
        </c:dLbls>
        <c:gapWidth val="150"/>
        <c:overlap val="-20"/>
        <c:axId val="421374016"/>
        <c:axId val="421363712"/>
      </c:barChart>
      <c:catAx>
        <c:axId val="4213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vert="horz"/>
          <a:lstStyle/>
          <a:p>
            <a:pPr>
              <a:defRPr/>
            </a:pPr>
            <a:endParaRPr lang="en-US"/>
          </a:p>
        </c:txPr>
        <c:crossAx val="421363712"/>
        <c:crosses val="autoZero"/>
        <c:auto val="1"/>
        <c:lblAlgn val="ctr"/>
        <c:lblOffset val="100"/>
        <c:noMultiLvlLbl val="0"/>
      </c:catAx>
      <c:valAx>
        <c:axId val="421363712"/>
        <c:scaling>
          <c:logBase val="10"/>
          <c:orientation val="minMax"/>
          <c:min val="10"/>
        </c:scaling>
        <c:delete val="0"/>
        <c:axPos val="l"/>
        <c:majorGridlines>
          <c:spPr>
            <a:ln w="9525" cap="flat" cmpd="sng" algn="ctr">
              <a:solidFill>
                <a:schemeClr val="tx1">
                  <a:lumMod val="15000"/>
                  <a:lumOff val="85000"/>
                </a:schemeClr>
              </a:solidFill>
              <a:prstDash val="solid"/>
              <a:round/>
            </a:ln>
          </c:spPr>
        </c:majorGridlines>
        <c:title>
          <c:tx>
            <c:rich>
              <a:bodyPr rot="-5400000" vert="horz"/>
              <a:lstStyle/>
              <a:p>
                <a:pPr>
                  <a:defRPr/>
                </a:pPr>
                <a:r>
                  <a:rPr lang="en-US"/>
                  <a:t>Concentration (ppm)</a:t>
                </a:r>
              </a:p>
            </c:rich>
          </c:tx>
          <c:overlay val="0"/>
          <c:spPr>
            <a:noFill/>
            <a:ln>
              <a:noFill/>
              <a:prstDash val="solid"/>
            </a:ln>
          </c:spPr>
        </c:title>
        <c:numFmt formatCode="0" sourceLinked="0"/>
        <c:majorTickMark val="none"/>
        <c:minorTickMark val="none"/>
        <c:tickLblPos val="nextTo"/>
        <c:spPr>
          <a:noFill/>
          <a:ln>
            <a:noFill/>
            <a:prstDash val="solid"/>
          </a:ln>
        </c:spPr>
        <c:txPr>
          <a:bodyPr rot="-60000000" vert="horz"/>
          <a:lstStyle/>
          <a:p>
            <a:pPr>
              <a:defRPr/>
            </a:pPr>
            <a:endParaRPr lang="en-US"/>
          </a:p>
        </c:txPr>
        <c:crossAx val="421374016"/>
        <c:crosses val="autoZero"/>
        <c:crossBetween val="between"/>
      </c:valAx>
    </c:plotArea>
    <c:legend>
      <c:legendPos val="r"/>
      <c:overlay val="0"/>
      <c:spPr>
        <a:noFill/>
        <a:ln>
          <a:noFill/>
          <a:prstDash val="solid"/>
        </a:ln>
      </c:spPr>
      <c:txPr>
        <a:bodyPr rot="0" vert="horz"/>
        <a:lstStyle/>
        <a:p>
          <a:pPr>
            <a:defRPr/>
          </a:pPr>
          <a:endParaRPr lang="en-US"/>
        </a:p>
      </c:txPr>
    </c:legend>
    <c:plotVisOnly val="1"/>
    <c:dispBlanksAs val="gap"/>
    <c:showDLblsOverMax val="1"/>
  </c:chart>
  <c:spPr>
    <a:solidFill>
      <a:schemeClr val="bg1">
        <a:lumMod val="95000"/>
      </a:schemeClr>
    </a:solidFill>
    <a:ln w="9525" cap="flat" cmpd="sng" algn="ctr">
      <a:solidFill>
        <a:schemeClr val="tx1">
          <a:lumMod val="15000"/>
          <a:lumOff val="85000"/>
        </a:schemeClr>
      </a:solidFill>
      <a:prstDash val="solid"/>
      <a:round/>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bar_plot!$CR$1</c:f>
              <c:strCache>
                <c:ptCount val="1"/>
                <c:pt idx="0">
                  <c:v>control</c:v>
                </c:pt>
              </c:strCache>
            </c:strRef>
          </c:tx>
          <c:spPr>
            <a:solidFill>
              <a:schemeClr val="bg1"/>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bar_plot!$CV$14:$CV$18</c:f>
                <c:numCache>
                  <c:formatCode>General</c:formatCode>
                  <c:ptCount val="5"/>
                  <c:pt idx="0">
                    <c:v>18.150000000000006</c:v>
                  </c:pt>
                  <c:pt idx="1">
                    <c:v>0</c:v>
                  </c:pt>
                  <c:pt idx="2">
                    <c:v>0</c:v>
                  </c:pt>
                  <c:pt idx="3">
                    <c:v>0.44841944650070659</c:v>
                  </c:pt>
                  <c:pt idx="4">
                    <c:v>0.35611327785785563</c:v>
                  </c:pt>
                </c:numCache>
              </c:numRef>
            </c:plus>
            <c:minus>
              <c:numRef>
                <c:f>bar_plot!$CV$14:$CV$18</c:f>
                <c:numCache>
                  <c:formatCode>General</c:formatCode>
                  <c:ptCount val="5"/>
                  <c:pt idx="0">
                    <c:v>18.150000000000006</c:v>
                  </c:pt>
                  <c:pt idx="1">
                    <c:v>0</c:v>
                  </c:pt>
                  <c:pt idx="2">
                    <c:v>0</c:v>
                  </c:pt>
                  <c:pt idx="3">
                    <c:v>0.44841944650070659</c:v>
                  </c:pt>
                  <c:pt idx="4">
                    <c:v>0.35611327785785563</c:v>
                  </c:pt>
                </c:numCache>
              </c:numRef>
            </c:minus>
            <c:spPr>
              <a:noFill/>
              <a:ln w="9525" cap="flat" cmpd="sng" algn="ctr">
                <a:solidFill>
                  <a:schemeClr val="tx1">
                    <a:lumMod val="65000"/>
                    <a:lumOff val="35000"/>
                  </a:schemeClr>
                </a:solidFill>
                <a:prstDash val="solid"/>
                <a:round/>
              </a:ln>
            </c:spPr>
          </c:errBars>
          <c:cat>
            <c:multiLvlStrRef>
              <c:f>bar_plot!$CP$14:$CQ$18</c:f>
              <c:multiLvlStrCache>
                <c:ptCount val="5"/>
                <c:lvl>
                  <c:pt idx="0">
                    <c:v>Si</c:v>
                  </c:pt>
                  <c:pt idx="1">
                    <c:v>Co</c:v>
                  </c:pt>
                  <c:pt idx="2">
                    <c:v>Se</c:v>
                  </c:pt>
                  <c:pt idx="3">
                    <c:v>Sr</c:v>
                  </c:pt>
                  <c:pt idx="4">
                    <c:v>Rb</c:v>
                  </c:pt>
                </c:lvl>
                <c:lvl>
                  <c:pt idx="0">
                    <c:v>Beneficial / Analog Elements </c:v>
                  </c:pt>
                </c:lvl>
              </c:multiLvlStrCache>
            </c:multiLvlStrRef>
          </c:cat>
          <c:val>
            <c:numRef>
              <c:f>bar_plot!$CR$14:$CR$18</c:f>
              <c:numCache>
                <c:formatCode>General</c:formatCode>
                <c:ptCount val="5"/>
                <c:pt idx="0" formatCode="0.00">
                  <c:v>437.34000000000003</c:v>
                </c:pt>
                <c:pt idx="3" formatCode="0.00">
                  <c:v>10.74</c:v>
                </c:pt>
                <c:pt idx="4" formatCode="0.00">
                  <c:v>2.7800000000000002</c:v>
                </c:pt>
              </c:numCache>
            </c:numRef>
          </c:val>
          <c:extLst>
            <c:ext xmlns:c16="http://schemas.microsoft.com/office/drawing/2014/chart" uri="{C3380CC4-5D6E-409C-BE32-E72D297353CC}">
              <c16:uniqueId val="{00000000-558A-5542-A057-C19F549DA4AF}"/>
            </c:ext>
          </c:extLst>
        </c:ser>
        <c:ser>
          <c:idx val="1"/>
          <c:order val="1"/>
          <c:tx>
            <c:strRef>
              <c:f>bar_plot!$CS$1</c:f>
              <c:strCache>
                <c:ptCount val="1"/>
                <c:pt idx="0">
                  <c:v>50 mg/l</c:v>
                </c:pt>
              </c:strCache>
            </c:strRef>
          </c:tx>
          <c:spPr>
            <a:solidFill>
              <a:srgbClr val="C7E9C1"/>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bar_plot!$CW$14:$CW$18</c:f>
                <c:numCache>
                  <c:formatCode>General</c:formatCode>
                  <c:ptCount val="5"/>
                  <c:pt idx="0">
                    <c:v>751.60126078010944</c:v>
                  </c:pt>
                  <c:pt idx="1">
                    <c:v>0</c:v>
                  </c:pt>
                  <c:pt idx="2">
                    <c:v>0</c:v>
                  </c:pt>
                  <c:pt idx="3">
                    <c:v>2.8806825772915539</c:v>
                  </c:pt>
                  <c:pt idx="4">
                    <c:v>0.6704493518032022</c:v>
                  </c:pt>
                </c:numCache>
              </c:numRef>
            </c:plus>
            <c:minus>
              <c:numRef>
                <c:f>bar_plot!$CW$14:$CW$18</c:f>
                <c:numCache>
                  <c:formatCode>General</c:formatCode>
                  <c:ptCount val="5"/>
                  <c:pt idx="0">
                    <c:v>751.60126078010944</c:v>
                  </c:pt>
                  <c:pt idx="1">
                    <c:v>0</c:v>
                  </c:pt>
                  <c:pt idx="2">
                    <c:v>0</c:v>
                  </c:pt>
                  <c:pt idx="3">
                    <c:v>2.8806825772915539</c:v>
                  </c:pt>
                  <c:pt idx="4">
                    <c:v>0.6704493518032022</c:v>
                  </c:pt>
                </c:numCache>
              </c:numRef>
            </c:minus>
            <c:spPr>
              <a:noFill/>
              <a:ln w="9525" cap="flat" cmpd="sng" algn="ctr">
                <a:solidFill>
                  <a:schemeClr val="tx1">
                    <a:lumMod val="65000"/>
                    <a:lumOff val="35000"/>
                  </a:schemeClr>
                </a:solidFill>
                <a:prstDash val="solid"/>
                <a:round/>
              </a:ln>
            </c:spPr>
          </c:errBars>
          <c:cat>
            <c:multiLvlStrRef>
              <c:f>bar_plot!$CP$14:$CQ$18</c:f>
              <c:multiLvlStrCache>
                <c:ptCount val="5"/>
                <c:lvl>
                  <c:pt idx="0">
                    <c:v>Si</c:v>
                  </c:pt>
                  <c:pt idx="1">
                    <c:v>Co</c:v>
                  </c:pt>
                  <c:pt idx="2">
                    <c:v>Se</c:v>
                  </c:pt>
                  <c:pt idx="3">
                    <c:v>Sr</c:v>
                  </c:pt>
                  <c:pt idx="4">
                    <c:v>Rb</c:v>
                  </c:pt>
                </c:lvl>
                <c:lvl>
                  <c:pt idx="0">
                    <c:v>Beneficial / Analog Elements </c:v>
                  </c:pt>
                </c:lvl>
              </c:multiLvlStrCache>
            </c:multiLvlStrRef>
          </c:cat>
          <c:val>
            <c:numRef>
              <c:f>bar_plot!$CS$14:$CS$18</c:f>
              <c:numCache>
                <c:formatCode>General</c:formatCode>
                <c:ptCount val="5"/>
                <c:pt idx="0" formatCode="0.00">
                  <c:v>2454.2525000000001</c:v>
                </c:pt>
                <c:pt idx="3" formatCode="0.00">
                  <c:v>19.128999999999998</c:v>
                </c:pt>
                <c:pt idx="4" formatCode="0.00">
                  <c:v>4.2629999999999999</c:v>
                </c:pt>
              </c:numCache>
            </c:numRef>
          </c:val>
          <c:extLst>
            <c:ext xmlns:c16="http://schemas.microsoft.com/office/drawing/2014/chart" uri="{C3380CC4-5D6E-409C-BE32-E72D297353CC}">
              <c16:uniqueId val="{00000001-558A-5542-A057-C19F549DA4AF}"/>
            </c:ext>
          </c:extLst>
        </c:ser>
        <c:ser>
          <c:idx val="2"/>
          <c:order val="2"/>
          <c:tx>
            <c:strRef>
              <c:f>bar_plot!$CT$1</c:f>
              <c:strCache>
                <c:ptCount val="1"/>
                <c:pt idx="0">
                  <c:v>100 mg/l</c:v>
                </c:pt>
              </c:strCache>
            </c:strRef>
          </c:tx>
          <c:spPr>
            <a:solidFill>
              <a:srgbClr val="74C476"/>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bar_plot!$CX$14:$CX$18</c:f>
                <c:numCache>
                  <c:formatCode>General</c:formatCode>
                  <c:ptCount val="5"/>
                  <c:pt idx="0">
                    <c:v>224.20980473654578</c:v>
                  </c:pt>
                  <c:pt idx="1">
                    <c:v>0</c:v>
                  </c:pt>
                  <c:pt idx="2">
                    <c:v>0</c:v>
                  </c:pt>
                  <c:pt idx="3">
                    <c:v>0.4311542647359527</c:v>
                  </c:pt>
                  <c:pt idx="4">
                    <c:v>0.36722744995438444</c:v>
                  </c:pt>
                </c:numCache>
              </c:numRef>
            </c:plus>
            <c:minus>
              <c:numRef>
                <c:f>bar_plot!$CX$14:$CX$18</c:f>
                <c:numCache>
                  <c:formatCode>General</c:formatCode>
                  <c:ptCount val="5"/>
                  <c:pt idx="0">
                    <c:v>224.20980473654578</c:v>
                  </c:pt>
                  <c:pt idx="1">
                    <c:v>0</c:v>
                  </c:pt>
                  <c:pt idx="2">
                    <c:v>0</c:v>
                  </c:pt>
                  <c:pt idx="3">
                    <c:v>0.4311542647359527</c:v>
                  </c:pt>
                  <c:pt idx="4">
                    <c:v>0.36722744995438444</c:v>
                  </c:pt>
                </c:numCache>
              </c:numRef>
            </c:minus>
            <c:spPr>
              <a:noFill/>
              <a:ln w="9525" cap="flat" cmpd="sng" algn="ctr">
                <a:solidFill>
                  <a:schemeClr val="tx1">
                    <a:lumMod val="65000"/>
                    <a:lumOff val="35000"/>
                  </a:schemeClr>
                </a:solidFill>
                <a:prstDash val="solid"/>
                <a:round/>
              </a:ln>
            </c:spPr>
          </c:errBars>
          <c:cat>
            <c:multiLvlStrRef>
              <c:f>bar_plot!$CP$14:$CQ$18</c:f>
              <c:multiLvlStrCache>
                <c:ptCount val="5"/>
                <c:lvl>
                  <c:pt idx="0">
                    <c:v>Si</c:v>
                  </c:pt>
                  <c:pt idx="1">
                    <c:v>Co</c:v>
                  </c:pt>
                  <c:pt idx="2">
                    <c:v>Se</c:v>
                  </c:pt>
                  <c:pt idx="3">
                    <c:v>Sr</c:v>
                  </c:pt>
                  <c:pt idx="4">
                    <c:v>Rb</c:v>
                  </c:pt>
                </c:lvl>
                <c:lvl>
                  <c:pt idx="0">
                    <c:v>Beneficial / Analog Elements </c:v>
                  </c:pt>
                </c:lvl>
              </c:multiLvlStrCache>
            </c:multiLvlStrRef>
          </c:cat>
          <c:val>
            <c:numRef>
              <c:f>bar_plot!$CT$14:$CT$18</c:f>
              <c:numCache>
                <c:formatCode>General</c:formatCode>
                <c:ptCount val="5"/>
                <c:pt idx="0" formatCode="0.00">
                  <c:v>1025.3</c:v>
                </c:pt>
                <c:pt idx="3" formatCode="0.00">
                  <c:v>12.068000000000001</c:v>
                </c:pt>
                <c:pt idx="4" formatCode="0.00">
                  <c:v>3.6360000000000001</c:v>
                </c:pt>
              </c:numCache>
            </c:numRef>
          </c:val>
          <c:extLst>
            <c:ext xmlns:c16="http://schemas.microsoft.com/office/drawing/2014/chart" uri="{C3380CC4-5D6E-409C-BE32-E72D297353CC}">
              <c16:uniqueId val="{00000002-558A-5542-A057-C19F549DA4AF}"/>
            </c:ext>
          </c:extLst>
        </c:ser>
        <c:ser>
          <c:idx val="3"/>
          <c:order val="3"/>
          <c:tx>
            <c:strRef>
              <c:f>bar_plot!$CU$1</c:f>
              <c:strCache>
                <c:ptCount val="1"/>
                <c:pt idx="0">
                  <c:v>500 mg/l</c:v>
                </c:pt>
              </c:strCache>
            </c:strRef>
          </c:tx>
          <c:spPr>
            <a:solidFill>
              <a:srgbClr val="228B45"/>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bar_plot!$CY$14:$CY$18</c:f>
                <c:numCache>
                  <c:formatCode>General</c:formatCode>
                  <c:ptCount val="5"/>
                  <c:pt idx="0">
                    <c:v>808.89841840987685</c:v>
                  </c:pt>
                  <c:pt idx="1">
                    <c:v>0</c:v>
                  </c:pt>
                  <c:pt idx="2">
                    <c:v>0</c:v>
                  </c:pt>
                  <c:pt idx="3">
                    <c:v>0.80977157272900102</c:v>
                  </c:pt>
                  <c:pt idx="4">
                    <c:v>0.55787453786671293</c:v>
                  </c:pt>
                </c:numCache>
              </c:numRef>
            </c:plus>
            <c:minus>
              <c:numRef>
                <c:f>bar_plot!$CY$14:$CY$18</c:f>
                <c:numCache>
                  <c:formatCode>General</c:formatCode>
                  <c:ptCount val="5"/>
                  <c:pt idx="0">
                    <c:v>808.89841840987685</c:v>
                  </c:pt>
                  <c:pt idx="1">
                    <c:v>0</c:v>
                  </c:pt>
                  <c:pt idx="2">
                    <c:v>0</c:v>
                  </c:pt>
                  <c:pt idx="3">
                    <c:v>0.80977157272900102</c:v>
                  </c:pt>
                  <c:pt idx="4">
                    <c:v>0.55787453786671293</c:v>
                  </c:pt>
                </c:numCache>
              </c:numRef>
            </c:minus>
            <c:spPr>
              <a:noFill/>
              <a:ln w="9525" cap="flat" cmpd="sng" algn="ctr">
                <a:solidFill>
                  <a:schemeClr val="tx1">
                    <a:lumMod val="65000"/>
                    <a:lumOff val="35000"/>
                  </a:schemeClr>
                </a:solidFill>
                <a:prstDash val="solid"/>
                <a:round/>
              </a:ln>
            </c:spPr>
          </c:errBars>
          <c:cat>
            <c:multiLvlStrRef>
              <c:f>bar_plot!$CP$14:$CQ$18</c:f>
              <c:multiLvlStrCache>
                <c:ptCount val="5"/>
                <c:lvl>
                  <c:pt idx="0">
                    <c:v>Si</c:v>
                  </c:pt>
                  <c:pt idx="1">
                    <c:v>Co</c:v>
                  </c:pt>
                  <c:pt idx="2">
                    <c:v>Se</c:v>
                  </c:pt>
                  <c:pt idx="3">
                    <c:v>Sr</c:v>
                  </c:pt>
                  <c:pt idx="4">
                    <c:v>Rb</c:v>
                  </c:pt>
                </c:lvl>
                <c:lvl>
                  <c:pt idx="0">
                    <c:v>Beneficial / Analog Elements </c:v>
                  </c:pt>
                </c:lvl>
              </c:multiLvlStrCache>
            </c:multiLvlStrRef>
          </c:cat>
          <c:val>
            <c:numRef>
              <c:f>bar_plot!$CU$14:$CU$18</c:f>
              <c:numCache>
                <c:formatCode>General</c:formatCode>
                <c:ptCount val="5"/>
                <c:pt idx="0" formatCode="0.00">
                  <c:v>3632.2440000000001</c:v>
                </c:pt>
                <c:pt idx="3" formatCode="0.00">
                  <c:v>27.689999999999998</c:v>
                </c:pt>
                <c:pt idx="4" formatCode="0.00">
                  <c:v>6.048</c:v>
                </c:pt>
              </c:numCache>
            </c:numRef>
          </c:val>
          <c:extLst>
            <c:ext xmlns:c16="http://schemas.microsoft.com/office/drawing/2014/chart" uri="{C3380CC4-5D6E-409C-BE32-E72D297353CC}">
              <c16:uniqueId val="{00000003-558A-5542-A057-C19F549DA4AF}"/>
            </c:ext>
          </c:extLst>
        </c:ser>
        <c:dLbls>
          <c:dLblPos val="outEnd"/>
          <c:showLegendKey val="0"/>
          <c:showVal val="1"/>
          <c:showCatName val="0"/>
          <c:showSerName val="0"/>
          <c:showPercent val="0"/>
          <c:showBubbleSize val="0"/>
        </c:dLbls>
        <c:gapWidth val="150"/>
        <c:overlap val="-20"/>
        <c:axId val="421374016"/>
        <c:axId val="421363712"/>
      </c:barChart>
      <c:catAx>
        <c:axId val="4213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vert="horz"/>
          <a:lstStyle/>
          <a:p>
            <a:pPr>
              <a:defRPr/>
            </a:pPr>
            <a:endParaRPr lang="en-US"/>
          </a:p>
        </c:txPr>
        <c:crossAx val="421363712"/>
        <c:crosses val="autoZero"/>
        <c:auto val="1"/>
        <c:lblAlgn val="ctr"/>
        <c:lblOffset val="100"/>
        <c:noMultiLvlLbl val="0"/>
      </c:catAx>
      <c:valAx>
        <c:axId val="421363712"/>
        <c:scaling>
          <c:logBase val="10"/>
          <c:orientation val="minMax"/>
          <c:min val="1"/>
        </c:scaling>
        <c:delete val="0"/>
        <c:axPos val="l"/>
        <c:majorGridlines>
          <c:spPr>
            <a:ln w="9525" cap="flat" cmpd="sng" algn="ctr">
              <a:solidFill>
                <a:schemeClr val="tx1">
                  <a:lumMod val="15000"/>
                  <a:lumOff val="85000"/>
                </a:schemeClr>
              </a:solidFill>
              <a:prstDash val="solid"/>
              <a:round/>
            </a:ln>
          </c:spPr>
        </c:majorGridlines>
        <c:title>
          <c:tx>
            <c:rich>
              <a:bodyPr rot="-5400000" vert="horz"/>
              <a:lstStyle/>
              <a:p>
                <a:pPr>
                  <a:defRPr/>
                </a:pPr>
                <a:r>
                  <a:rPr lang="en-US"/>
                  <a:t>Concentration (ppm)</a:t>
                </a:r>
              </a:p>
            </c:rich>
          </c:tx>
          <c:overlay val="0"/>
          <c:spPr>
            <a:noFill/>
            <a:ln>
              <a:noFill/>
              <a:prstDash val="solid"/>
            </a:ln>
          </c:spPr>
        </c:title>
        <c:numFmt formatCode="0" sourceLinked="0"/>
        <c:majorTickMark val="none"/>
        <c:minorTickMark val="none"/>
        <c:tickLblPos val="nextTo"/>
        <c:spPr>
          <a:noFill/>
          <a:ln>
            <a:noFill/>
            <a:prstDash val="solid"/>
          </a:ln>
        </c:spPr>
        <c:txPr>
          <a:bodyPr rot="-60000000" vert="horz"/>
          <a:lstStyle/>
          <a:p>
            <a:pPr>
              <a:defRPr/>
            </a:pPr>
            <a:endParaRPr lang="en-US"/>
          </a:p>
        </c:txPr>
        <c:crossAx val="421374016"/>
        <c:crosses val="autoZero"/>
        <c:crossBetween val="between"/>
      </c:valAx>
    </c:plotArea>
    <c:legend>
      <c:legendPos val="r"/>
      <c:overlay val="0"/>
      <c:spPr>
        <a:noFill/>
        <a:ln>
          <a:noFill/>
          <a:prstDash val="solid"/>
        </a:ln>
      </c:spPr>
      <c:txPr>
        <a:bodyPr rot="0" vert="horz"/>
        <a:lstStyle/>
        <a:p>
          <a:pPr>
            <a:defRPr/>
          </a:pPr>
          <a:endParaRPr lang="en-US"/>
        </a:p>
      </c:txPr>
    </c:legend>
    <c:plotVisOnly val="1"/>
    <c:dispBlanksAs val="gap"/>
    <c:showDLblsOverMax val="1"/>
  </c:chart>
  <c:spPr>
    <a:solidFill>
      <a:srgbClr val="EDF9E9"/>
    </a:solidFill>
    <a:ln w="9525" cap="flat" cmpd="sng" algn="ctr">
      <a:solidFill>
        <a:schemeClr val="tx1">
          <a:lumMod val="15000"/>
          <a:lumOff val="85000"/>
        </a:schemeClr>
      </a:solidFill>
      <a:prstDash val="solid"/>
      <a:round/>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bar_plot!$CR$1</c:f>
              <c:strCache>
                <c:ptCount val="1"/>
                <c:pt idx="0">
                  <c:v>control</c:v>
                </c:pt>
              </c:strCache>
            </c:strRef>
          </c:tx>
          <c:spPr>
            <a:solidFill>
              <a:schemeClr val="bg1"/>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bar_plot!$CV$19:$CV$30</c:f>
                <c:numCache>
                  <c:formatCode>General</c:formatCode>
                  <c:ptCount val="12"/>
                  <c:pt idx="0">
                    <c:v>0</c:v>
                  </c:pt>
                  <c:pt idx="1">
                    <c:v>0</c:v>
                  </c:pt>
                  <c:pt idx="2">
                    <c:v>6.8063369676108962</c:v>
                  </c:pt>
                  <c:pt idx="3">
                    <c:v>0</c:v>
                  </c:pt>
                  <c:pt idx="4">
                    <c:v>0</c:v>
                  </c:pt>
                  <c:pt idx="5">
                    <c:v>0</c:v>
                  </c:pt>
                  <c:pt idx="6">
                    <c:v>0</c:v>
                  </c:pt>
                  <c:pt idx="7">
                    <c:v>0</c:v>
                  </c:pt>
                  <c:pt idx="8">
                    <c:v>0</c:v>
                  </c:pt>
                  <c:pt idx="9">
                    <c:v>0</c:v>
                  </c:pt>
                  <c:pt idx="10">
                    <c:v>0</c:v>
                  </c:pt>
                  <c:pt idx="11">
                    <c:v>0.38522201390886285</c:v>
                  </c:pt>
                </c:numCache>
              </c:numRef>
            </c:plus>
            <c:minus>
              <c:numRef>
                <c:f>bar_plot!$CV$19:$CV$30</c:f>
                <c:numCache>
                  <c:formatCode>General</c:formatCode>
                  <c:ptCount val="12"/>
                  <c:pt idx="0">
                    <c:v>0</c:v>
                  </c:pt>
                  <c:pt idx="1">
                    <c:v>0</c:v>
                  </c:pt>
                  <c:pt idx="2">
                    <c:v>6.8063369676108962</c:v>
                  </c:pt>
                  <c:pt idx="3">
                    <c:v>0</c:v>
                  </c:pt>
                  <c:pt idx="4">
                    <c:v>0</c:v>
                  </c:pt>
                  <c:pt idx="5">
                    <c:v>0</c:v>
                  </c:pt>
                  <c:pt idx="6">
                    <c:v>0</c:v>
                  </c:pt>
                  <c:pt idx="7">
                    <c:v>0</c:v>
                  </c:pt>
                  <c:pt idx="8">
                    <c:v>0</c:v>
                  </c:pt>
                  <c:pt idx="9">
                    <c:v>0</c:v>
                  </c:pt>
                  <c:pt idx="10">
                    <c:v>0</c:v>
                  </c:pt>
                  <c:pt idx="11">
                    <c:v>0.38522201390886285</c:v>
                  </c:pt>
                </c:numCache>
              </c:numRef>
            </c:minus>
            <c:spPr>
              <a:noFill/>
              <a:ln w="9525" cap="flat" cmpd="sng" algn="ctr">
                <a:solidFill>
                  <a:schemeClr val="tx1">
                    <a:lumMod val="65000"/>
                    <a:lumOff val="35000"/>
                  </a:schemeClr>
                </a:solidFill>
                <a:prstDash val="solid"/>
                <a:round/>
              </a:ln>
            </c:spPr>
          </c:errBars>
          <c:cat>
            <c:multiLvlStrRef>
              <c:f>bar_plot!$CP$19:$CQ$30</c:f>
              <c:multiLvlStrCache>
                <c:ptCount val="12"/>
                <c:lvl>
                  <c:pt idx="0">
                    <c:v>Al</c:v>
                  </c:pt>
                  <c:pt idx="1">
                    <c:v>V</c:v>
                  </c:pt>
                  <c:pt idx="2">
                    <c:v>Cr</c:v>
                  </c:pt>
                  <c:pt idx="3">
                    <c:v>As</c:v>
                  </c:pt>
                  <c:pt idx="4">
                    <c:v>Ag</c:v>
                  </c:pt>
                  <c:pt idx="5">
                    <c:v>Cd</c:v>
                  </c:pt>
                  <c:pt idx="6">
                    <c:v>Sb</c:v>
                  </c:pt>
                  <c:pt idx="7">
                    <c:v>Te</c:v>
                  </c:pt>
                  <c:pt idx="8">
                    <c:v>Hg</c:v>
                  </c:pt>
                  <c:pt idx="9">
                    <c:v>Pb</c:v>
                  </c:pt>
                  <c:pt idx="10">
                    <c:v>Bi</c:v>
                  </c:pt>
                  <c:pt idx="11">
                    <c:v>U</c:v>
                  </c:pt>
                </c:lvl>
                <c:lvl>
                  <c:pt idx="0">
                    <c:v>Potentially Toxic Trace Elements </c:v>
                  </c:pt>
                </c:lvl>
              </c:multiLvlStrCache>
            </c:multiLvlStrRef>
          </c:cat>
          <c:val>
            <c:numRef>
              <c:f>bar_plot!$CR$19:$CR$30</c:f>
              <c:numCache>
                <c:formatCode>General</c:formatCode>
                <c:ptCount val="12"/>
                <c:pt idx="2" formatCode="0.00">
                  <c:v>138.67250000000001</c:v>
                </c:pt>
                <c:pt idx="4" formatCode="0.00">
                  <c:v>4.45</c:v>
                </c:pt>
                <c:pt idx="5" formatCode="0.00">
                  <c:v>16.190000000000001</c:v>
                </c:pt>
                <c:pt idx="11" formatCode="0.00">
                  <c:v>9.9059999999999988</c:v>
                </c:pt>
              </c:numCache>
            </c:numRef>
          </c:val>
          <c:extLst>
            <c:ext xmlns:c16="http://schemas.microsoft.com/office/drawing/2014/chart" uri="{C3380CC4-5D6E-409C-BE32-E72D297353CC}">
              <c16:uniqueId val="{00000000-CE4E-144B-9A92-5FEEFABAA6C1}"/>
            </c:ext>
          </c:extLst>
        </c:ser>
        <c:ser>
          <c:idx val="1"/>
          <c:order val="1"/>
          <c:tx>
            <c:strRef>
              <c:f>bar_plot!$CS$1</c:f>
              <c:strCache>
                <c:ptCount val="1"/>
                <c:pt idx="0">
                  <c:v>50 mg/l</c:v>
                </c:pt>
              </c:strCache>
            </c:strRef>
          </c:tx>
          <c:spPr>
            <a:solidFill>
              <a:srgbClr val="C7E9C1"/>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bar_plot!$CW$19:$CW$30</c:f>
                <c:numCache>
                  <c:formatCode>General</c:formatCode>
                  <c:ptCount val="12"/>
                  <c:pt idx="0">
                    <c:v>0</c:v>
                  </c:pt>
                  <c:pt idx="1">
                    <c:v>2.9253557475972118</c:v>
                  </c:pt>
                  <c:pt idx="2">
                    <c:v>25.993317594487646</c:v>
                  </c:pt>
                  <c:pt idx="3">
                    <c:v>0</c:v>
                  </c:pt>
                  <c:pt idx="4">
                    <c:v>1.3800000000000008</c:v>
                  </c:pt>
                  <c:pt idx="5">
                    <c:v>2.347567890392094</c:v>
                  </c:pt>
                  <c:pt idx="6">
                    <c:v>0</c:v>
                  </c:pt>
                  <c:pt idx="7">
                    <c:v>0</c:v>
                  </c:pt>
                  <c:pt idx="8">
                    <c:v>0</c:v>
                  </c:pt>
                  <c:pt idx="9">
                    <c:v>0</c:v>
                  </c:pt>
                  <c:pt idx="10">
                    <c:v>0</c:v>
                  </c:pt>
                  <c:pt idx="11">
                    <c:v>0.18256505689753447</c:v>
                  </c:pt>
                </c:numCache>
              </c:numRef>
            </c:plus>
            <c:minus>
              <c:numRef>
                <c:f>bar_plot!$CW$19:$CW$30</c:f>
                <c:numCache>
                  <c:formatCode>General</c:formatCode>
                  <c:ptCount val="12"/>
                  <c:pt idx="0">
                    <c:v>0</c:v>
                  </c:pt>
                  <c:pt idx="1">
                    <c:v>2.9253557475972118</c:v>
                  </c:pt>
                  <c:pt idx="2">
                    <c:v>25.993317594487646</c:v>
                  </c:pt>
                  <c:pt idx="3">
                    <c:v>0</c:v>
                  </c:pt>
                  <c:pt idx="4">
                    <c:v>1.3800000000000008</c:v>
                  </c:pt>
                  <c:pt idx="5">
                    <c:v>2.347567890392094</c:v>
                  </c:pt>
                  <c:pt idx="6">
                    <c:v>0</c:v>
                  </c:pt>
                  <c:pt idx="7">
                    <c:v>0</c:v>
                  </c:pt>
                  <c:pt idx="8">
                    <c:v>0</c:v>
                  </c:pt>
                  <c:pt idx="9">
                    <c:v>0</c:v>
                  </c:pt>
                  <c:pt idx="10">
                    <c:v>0</c:v>
                  </c:pt>
                  <c:pt idx="11">
                    <c:v>0.18256505689753447</c:v>
                  </c:pt>
                </c:numCache>
              </c:numRef>
            </c:minus>
            <c:spPr>
              <a:noFill/>
              <a:ln w="9525" cap="flat" cmpd="sng" algn="ctr">
                <a:solidFill>
                  <a:schemeClr val="tx1">
                    <a:lumMod val="65000"/>
                    <a:lumOff val="35000"/>
                  </a:schemeClr>
                </a:solidFill>
                <a:prstDash val="solid"/>
                <a:round/>
              </a:ln>
            </c:spPr>
          </c:errBars>
          <c:cat>
            <c:multiLvlStrRef>
              <c:f>bar_plot!$CP$19:$CQ$30</c:f>
              <c:multiLvlStrCache>
                <c:ptCount val="12"/>
                <c:lvl>
                  <c:pt idx="0">
                    <c:v>Al</c:v>
                  </c:pt>
                  <c:pt idx="1">
                    <c:v>V</c:v>
                  </c:pt>
                  <c:pt idx="2">
                    <c:v>Cr</c:v>
                  </c:pt>
                  <c:pt idx="3">
                    <c:v>As</c:v>
                  </c:pt>
                  <c:pt idx="4">
                    <c:v>Ag</c:v>
                  </c:pt>
                  <c:pt idx="5">
                    <c:v>Cd</c:v>
                  </c:pt>
                  <c:pt idx="6">
                    <c:v>Sb</c:v>
                  </c:pt>
                  <c:pt idx="7">
                    <c:v>Te</c:v>
                  </c:pt>
                  <c:pt idx="8">
                    <c:v>Hg</c:v>
                  </c:pt>
                  <c:pt idx="9">
                    <c:v>Pb</c:v>
                  </c:pt>
                  <c:pt idx="10">
                    <c:v>Bi</c:v>
                  </c:pt>
                  <c:pt idx="11">
                    <c:v>U</c:v>
                  </c:pt>
                </c:lvl>
                <c:lvl>
                  <c:pt idx="0">
                    <c:v>Potentially Toxic Trace Elements </c:v>
                  </c:pt>
                </c:lvl>
              </c:multiLvlStrCache>
            </c:multiLvlStrRef>
          </c:cat>
          <c:val>
            <c:numRef>
              <c:f>bar_plot!$CS$19:$CS$30</c:f>
              <c:numCache>
                <c:formatCode>0.00</c:formatCode>
                <c:ptCount val="12"/>
                <c:pt idx="1">
                  <c:v>20.292499999999997</c:v>
                </c:pt>
                <c:pt idx="2">
                  <c:v>187.17111111111112</c:v>
                </c:pt>
                <c:pt idx="4">
                  <c:v>7.61</c:v>
                </c:pt>
                <c:pt idx="5">
                  <c:v>17.655000000000001</c:v>
                </c:pt>
                <c:pt idx="11">
                  <c:v>9.379999999999999</c:v>
                </c:pt>
              </c:numCache>
            </c:numRef>
          </c:val>
          <c:extLst>
            <c:ext xmlns:c16="http://schemas.microsoft.com/office/drawing/2014/chart" uri="{C3380CC4-5D6E-409C-BE32-E72D297353CC}">
              <c16:uniqueId val="{00000001-CE4E-144B-9A92-5FEEFABAA6C1}"/>
            </c:ext>
          </c:extLst>
        </c:ser>
        <c:ser>
          <c:idx val="2"/>
          <c:order val="2"/>
          <c:tx>
            <c:strRef>
              <c:f>bar_plot!$CT$1</c:f>
              <c:strCache>
                <c:ptCount val="1"/>
                <c:pt idx="0">
                  <c:v>100 mg/l</c:v>
                </c:pt>
              </c:strCache>
            </c:strRef>
          </c:tx>
          <c:spPr>
            <a:solidFill>
              <a:srgbClr val="74C476"/>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bar_plot!$CX$19:$CX$30</c:f>
                <c:numCache>
                  <c:formatCode>General</c:formatCode>
                  <c:ptCount val="12"/>
                  <c:pt idx="0">
                    <c:v>0</c:v>
                  </c:pt>
                  <c:pt idx="1">
                    <c:v>0</c:v>
                  </c:pt>
                  <c:pt idx="2">
                    <c:v>5.324574536993544</c:v>
                  </c:pt>
                  <c:pt idx="3">
                    <c:v>0</c:v>
                  </c:pt>
                  <c:pt idx="4">
                    <c:v>0.41665333311999225</c:v>
                  </c:pt>
                  <c:pt idx="5">
                    <c:v>1.3032843128036011</c:v>
                  </c:pt>
                  <c:pt idx="6">
                    <c:v>0</c:v>
                  </c:pt>
                  <c:pt idx="7">
                    <c:v>0</c:v>
                  </c:pt>
                  <c:pt idx="8">
                    <c:v>0</c:v>
                  </c:pt>
                  <c:pt idx="9">
                    <c:v>0</c:v>
                  </c:pt>
                  <c:pt idx="10">
                    <c:v>0</c:v>
                  </c:pt>
                  <c:pt idx="11">
                    <c:v>0.80542287029858051</c:v>
                  </c:pt>
                </c:numCache>
              </c:numRef>
            </c:plus>
            <c:minus>
              <c:numRef>
                <c:f>bar_plot!$CX$19:$CX$30</c:f>
                <c:numCache>
                  <c:formatCode>General</c:formatCode>
                  <c:ptCount val="12"/>
                  <c:pt idx="0">
                    <c:v>0</c:v>
                  </c:pt>
                  <c:pt idx="1">
                    <c:v>0</c:v>
                  </c:pt>
                  <c:pt idx="2">
                    <c:v>5.324574536993544</c:v>
                  </c:pt>
                  <c:pt idx="3">
                    <c:v>0</c:v>
                  </c:pt>
                  <c:pt idx="4">
                    <c:v>0.41665333311999225</c:v>
                  </c:pt>
                  <c:pt idx="5">
                    <c:v>1.3032843128036011</c:v>
                  </c:pt>
                  <c:pt idx="6">
                    <c:v>0</c:v>
                  </c:pt>
                  <c:pt idx="7">
                    <c:v>0</c:v>
                  </c:pt>
                  <c:pt idx="8">
                    <c:v>0</c:v>
                  </c:pt>
                  <c:pt idx="9">
                    <c:v>0</c:v>
                  </c:pt>
                  <c:pt idx="10">
                    <c:v>0</c:v>
                  </c:pt>
                  <c:pt idx="11">
                    <c:v>0.80542287029858051</c:v>
                  </c:pt>
                </c:numCache>
              </c:numRef>
            </c:minus>
            <c:spPr>
              <a:noFill/>
              <a:ln w="9525" cap="flat" cmpd="sng" algn="ctr">
                <a:solidFill>
                  <a:schemeClr val="tx1">
                    <a:lumMod val="65000"/>
                    <a:lumOff val="35000"/>
                  </a:schemeClr>
                </a:solidFill>
                <a:prstDash val="solid"/>
                <a:round/>
              </a:ln>
            </c:spPr>
          </c:errBars>
          <c:cat>
            <c:multiLvlStrRef>
              <c:f>bar_plot!$CP$19:$CQ$30</c:f>
              <c:multiLvlStrCache>
                <c:ptCount val="12"/>
                <c:lvl>
                  <c:pt idx="0">
                    <c:v>Al</c:v>
                  </c:pt>
                  <c:pt idx="1">
                    <c:v>V</c:v>
                  </c:pt>
                  <c:pt idx="2">
                    <c:v>Cr</c:v>
                  </c:pt>
                  <c:pt idx="3">
                    <c:v>As</c:v>
                  </c:pt>
                  <c:pt idx="4">
                    <c:v>Ag</c:v>
                  </c:pt>
                  <c:pt idx="5">
                    <c:v>Cd</c:v>
                  </c:pt>
                  <c:pt idx="6">
                    <c:v>Sb</c:v>
                  </c:pt>
                  <c:pt idx="7">
                    <c:v>Te</c:v>
                  </c:pt>
                  <c:pt idx="8">
                    <c:v>Hg</c:v>
                  </c:pt>
                  <c:pt idx="9">
                    <c:v>Pb</c:v>
                  </c:pt>
                  <c:pt idx="10">
                    <c:v>Bi</c:v>
                  </c:pt>
                  <c:pt idx="11">
                    <c:v>U</c:v>
                  </c:pt>
                </c:lvl>
                <c:lvl>
                  <c:pt idx="0">
                    <c:v>Potentially Toxic Trace Elements </c:v>
                  </c:pt>
                </c:lvl>
              </c:multiLvlStrCache>
            </c:multiLvlStrRef>
          </c:cat>
          <c:val>
            <c:numRef>
              <c:f>bar_plot!$CT$19:$CT$30</c:f>
              <c:numCache>
                <c:formatCode>General</c:formatCode>
                <c:ptCount val="12"/>
                <c:pt idx="2" formatCode="0.00">
                  <c:v>139.262</c:v>
                </c:pt>
                <c:pt idx="4" formatCode="0.00">
                  <c:v>5.16</c:v>
                </c:pt>
                <c:pt idx="5" formatCode="0.00">
                  <c:v>19.770000000000003</c:v>
                </c:pt>
                <c:pt idx="11" formatCode="0.00">
                  <c:v>9.5440000000000005</c:v>
                </c:pt>
              </c:numCache>
            </c:numRef>
          </c:val>
          <c:extLst>
            <c:ext xmlns:c16="http://schemas.microsoft.com/office/drawing/2014/chart" uri="{C3380CC4-5D6E-409C-BE32-E72D297353CC}">
              <c16:uniqueId val="{00000002-CE4E-144B-9A92-5FEEFABAA6C1}"/>
            </c:ext>
          </c:extLst>
        </c:ser>
        <c:ser>
          <c:idx val="3"/>
          <c:order val="3"/>
          <c:tx>
            <c:strRef>
              <c:f>bar_plot!$CU$1</c:f>
              <c:strCache>
                <c:ptCount val="1"/>
                <c:pt idx="0">
                  <c:v>500 mg/l</c:v>
                </c:pt>
              </c:strCache>
            </c:strRef>
          </c:tx>
          <c:spPr>
            <a:solidFill>
              <a:srgbClr val="228B45"/>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bar_plot!$CY$19:$CY$30</c:f>
                <c:numCache>
                  <c:formatCode>General</c:formatCode>
                  <c:ptCount val="12"/>
                  <c:pt idx="0">
                    <c:v>0</c:v>
                  </c:pt>
                  <c:pt idx="1">
                    <c:v>2.1500000000000004</c:v>
                  </c:pt>
                  <c:pt idx="2">
                    <c:v>43.055515395823576</c:v>
                  </c:pt>
                  <c:pt idx="3">
                    <c:v>0</c:v>
                  </c:pt>
                  <c:pt idx="4">
                    <c:v>0</c:v>
                  </c:pt>
                  <c:pt idx="5">
                    <c:v>2.8741781434002998</c:v>
                  </c:pt>
                  <c:pt idx="6">
                    <c:v>0</c:v>
                  </c:pt>
                  <c:pt idx="7">
                    <c:v>0</c:v>
                  </c:pt>
                  <c:pt idx="8">
                    <c:v>0</c:v>
                  </c:pt>
                  <c:pt idx="9">
                    <c:v>0</c:v>
                  </c:pt>
                  <c:pt idx="10">
                    <c:v>0</c:v>
                  </c:pt>
                  <c:pt idx="11">
                    <c:v>0</c:v>
                  </c:pt>
                </c:numCache>
              </c:numRef>
            </c:plus>
            <c:minus>
              <c:numRef>
                <c:f>bar_plot!$CY$19:$CY$30</c:f>
                <c:numCache>
                  <c:formatCode>General</c:formatCode>
                  <c:ptCount val="12"/>
                  <c:pt idx="0">
                    <c:v>0</c:v>
                  </c:pt>
                  <c:pt idx="1">
                    <c:v>2.1500000000000004</c:v>
                  </c:pt>
                  <c:pt idx="2">
                    <c:v>43.055515395823576</c:v>
                  </c:pt>
                  <c:pt idx="3">
                    <c:v>0</c:v>
                  </c:pt>
                  <c:pt idx="4">
                    <c:v>0</c:v>
                  </c:pt>
                  <c:pt idx="5">
                    <c:v>2.8741781434002998</c:v>
                  </c:pt>
                  <c:pt idx="6">
                    <c:v>0</c:v>
                  </c:pt>
                  <c:pt idx="7">
                    <c:v>0</c:v>
                  </c:pt>
                  <c:pt idx="8">
                    <c:v>0</c:v>
                  </c:pt>
                  <c:pt idx="9">
                    <c:v>0</c:v>
                  </c:pt>
                  <c:pt idx="10">
                    <c:v>0</c:v>
                  </c:pt>
                  <c:pt idx="11">
                    <c:v>0</c:v>
                  </c:pt>
                </c:numCache>
              </c:numRef>
            </c:minus>
            <c:spPr>
              <a:noFill/>
              <a:ln w="9525" cap="flat" cmpd="sng" algn="ctr">
                <a:solidFill>
                  <a:schemeClr val="tx1">
                    <a:lumMod val="65000"/>
                    <a:lumOff val="35000"/>
                  </a:schemeClr>
                </a:solidFill>
                <a:prstDash val="solid"/>
                <a:round/>
              </a:ln>
            </c:spPr>
          </c:errBars>
          <c:cat>
            <c:multiLvlStrRef>
              <c:f>bar_plot!$CP$19:$CQ$30</c:f>
              <c:multiLvlStrCache>
                <c:ptCount val="12"/>
                <c:lvl>
                  <c:pt idx="0">
                    <c:v>Al</c:v>
                  </c:pt>
                  <c:pt idx="1">
                    <c:v>V</c:v>
                  </c:pt>
                  <c:pt idx="2">
                    <c:v>Cr</c:v>
                  </c:pt>
                  <c:pt idx="3">
                    <c:v>As</c:v>
                  </c:pt>
                  <c:pt idx="4">
                    <c:v>Ag</c:v>
                  </c:pt>
                  <c:pt idx="5">
                    <c:v>Cd</c:v>
                  </c:pt>
                  <c:pt idx="6">
                    <c:v>Sb</c:v>
                  </c:pt>
                  <c:pt idx="7">
                    <c:v>Te</c:v>
                  </c:pt>
                  <c:pt idx="8">
                    <c:v>Hg</c:v>
                  </c:pt>
                  <c:pt idx="9">
                    <c:v>Pb</c:v>
                  </c:pt>
                  <c:pt idx="10">
                    <c:v>Bi</c:v>
                  </c:pt>
                  <c:pt idx="11">
                    <c:v>U</c:v>
                  </c:pt>
                </c:lvl>
                <c:lvl>
                  <c:pt idx="0">
                    <c:v>Potentially Toxic Trace Elements </c:v>
                  </c:pt>
                </c:lvl>
              </c:multiLvlStrCache>
            </c:multiLvlStrRef>
          </c:cat>
          <c:val>
            <c:numRef>
              <c:f>bar_plot!$CU$19:$CU$30</c:f>
              <c:numCache>
                <c:formatCode>0.00</c:formatCode>
                <c:ptCount val="12"/>
                <c:pt idx="1">
                  <c:v>25.060000000000002</c:v>
                </c:pt>
                <c:pt idx="2">
                  <c:v>217.41399999999999</c:v>
                </c:pt>
                <c:pt idx="4">
                  <c:v>8.99</c:v>
                </c:pt>
                <c:pt idx="5">
                  <c:v>18.829999999999998</c:v>
                </c:pt>
              </c:numCache>
            </c:numRef>
          </c:val>
          <c:extLst>
            <c:ext xmlns:c16="http://schemas.microsoft.com/office/drawing/2014/chart" uri="{C3380CC4-5D6E-409C-BE32-E72D297353CC}">
              <c16:uniqueId val="{00000003-CE4E-144B-9A92-5FEEFABAA6C1}"/>
            </c:ext>
          </c:extLst>
        </c:ser>
        <c:dLbls>
          <c:dLblPos val="outEnd"/>
          <c:showLegendKey val="0"/>
          <c:showVal val="1"/>
          <c:showCatName val="0"/>
          <c:showSerName val="0"/>
          <c:showPercent val="0"/>
          <c:showBubbleSize val="0"/>
        </c:dLbls>
        <c:gapWidth val="150"/>
        <c:overlap val="-20"/>
        <c:axId val="421374016"/>
        <c:axId val="421363712"/>
      </c:barChart>
      <c:catAx>
        <c:axId val="4213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vert="horz"/>
          <a:lstStyle/>
          <a:p>
            <a:pPr>
              <a:defRPr/>
            </a:pPr>
            <a:endParaRPr lang="en-US"/>
          </a:p>
        </c:txPr>
        <c:crossAx val="421363712"/>
        <c:crosses val="autoZero"/>
        <c:auto val="1"/>
        <c:lblAlgn val="ctr"/>
        <c:lblOffset val="100"/>
        <c:noMultiLvlLbl val="0"/>
      </c:catAx>
      <c:valAx>
        <c:axId val="421363712"/>
        <c:scaling>
          <c:logBase val="10"/>
          <c:orientation val="minMax"/>
          <c:min val="1"/>
        </c:scaling>
        <c:delete val="0"/>
        <c:axPos val="l"/>
        <c:majorGridlines>
          <c:spPr>
            <a:ln w="9525" cap="flat" cmpd="sng" algn="ctr">
              <a:solidFill>
                <a:schemeClr val="tx1">
                  <a:lumMod val="15000"/>
                  <a:lumOff val="85000"/>
                </a:schemeClr>
              </a:solidFill>
              <a:prstDash val="solid"/>
              <a:round/>
            </a:ln>
          </c:spPr>
        </c:majorGridlines>
        <c:title>
          <c:tx>
            <c:rich>
              <a:bodyPr rot="-5400000" vert="horz"/>
              <a:lstStyle/>
              <a:p>
                <a:pPr>
                  <a:defRPr/>
                </a:pPr>
                <a:r>
                  <a:rPr lang="en-US"/>
                  <a:t>Concentration (ppm)</a:t>
                </a:r>
              </a:p>
            </c:rich>
          </c:tx>
          <c:overlay val="0"/>
          <c:spPr>
            <a:noFill/>
            <a:ln>
              <a:noFill/>
              <a:prstDash val="solid"/>
            </a:ln>
          </c:spPr>
        </c:title>
        <c:numFmt formatCode="0" sourceLinked="0"/>
        <c:majorTickMark val="none"/>
        <c:minorTickMark val="none"/>
        <c:tickLblPos val="nextTo"/>
        <c:spPr>
          <a:noFill/>
          <a:ln>
            <a:noFill/>
            <a:prstDash val="solid"/>
          </a:ln>
        </c:spPr>
        <c:txPr>
          <a:bodyPr rot="-60000000" vert="horz"/>
          <a:lstStyle/>
          <a:p>
            <a:pPr>
              <a:defRPr/>
            </a:pPr>
            <a:endParaRPr lang="en-US"/>
          </a:p>
        </c:txPr>
        <c:crossAx val="421374016"/>
        <c:crosses val="autoZero"/>
        <c:crossBetween val="between"/>
      </c:valAx>
    </c:plotArea>
    <c:legend>
      <c:legendPos val="r"/>
      <c:overlay val="0"/>
      <c:spPr>
        <a:noFill/>
        <a:ln>
          <a:noFill/>
          <a:prstDash val="solid"/>
        </a:ln>
      </c:spPr>
      <c:txPr>
        <a:bodyPr rot="0" vert="horz"/>
        <a:lstStyle/>
        <a:p>
          <a:pPr>
            <a:defRPr/>
          </a:pPr>
          <a:endParaRPr lang="en-US"/>
        </a:p>
      </c:txPr>
    </c:legend>
    <c:plotVisOnly val="1"/>
    <c:dispBlanksAs val="gap"/>
    <c:showDLblsOverMax val="1"/>
  </c:chart>
  <c:spPr>
    <a:solidFill>
      <a:srgbClr val="FEE0D2"/>
    </a:solidFill>
    <a:ln w="9525" cap="flat" cmpd="sng" algn="ctr">
      <a:solidFill>
        <a:schemeClr val="tx1">
          <a:lumMod val="15000"/>
          <a:lumOff val="85000"/>
        </a:schemeClr>
      </a:solidFill>
      <a:prstDash val="solid"/>
      <a:round/>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bar_plot!$CR$1</c:f>
              <c:strCache>
                <c:ptCount val="1"/>
                <c:pt idx="0">
                  <c:v>control</c:v>
                </c:pt>
              </c:strCache>
            </c:strRef>
          </c:tx>
          <c:spPr>
            <a:solidFill>
              <a:schemeClr val="bg1"/>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bar_plot!$CV$31:$CV$44</c:f>
                <c:numCache>
                  <c:formatCode>General</c:formatCode>
                  <c:ptCount val="14"/>
                  <c:pt idx="0">
                    <c:v>0</c:v>
                  </c:pt>
                  <c:pt idx="1">
                    <c:v>0</c:v>
                  </c:pt>
                  <c:pt idx="2">
                    <c:v>0.44365076355169275</c:v>
                  </c:pt>
                  <c:pt idx="3">
                    <c:v>0.49974993746873059</c:v>
                  </c:pt>
                  <c:pt idx="4">
                    <c:v>0</c:v>
                  </c:pt>
                  <c:pt idx="5">
                    <c:v>0</c:v>
                  </c:pt>
                  <c:pt idx="6">
                    <c:v>0</c:v>
                  </c:pt>
                  <c:pt idx="7">
                    <c:v>0</c:v>
                  </c:pt>
                  <c:pt idx="8">
                    <c:v>0</c:v>
                  </c:pt>
                  <c:pt idx="9">
                    <c:v>31.849956295103446</c:v>
                  </c:pt>
                  <c:pt idx="10">
                    <c:v>0</c:v>
                  </c:pt>
                  <c:pt idx="11">
                    <c:v>0</c:v>
                  </c:pt>
                  <c:pt idx="12">
                    <c:v>0</c:v>
                  </c:pt>
                  <c:pt idx="13">
                    <c:v>0</c:v>
                  </c:pt>
                </c:numCache>
              </c:numRef>
            </c:plus>
            <c:minus>
              <c:numRef>
                <c:f>bar_plot!$CV$31:$CV$44</c:f>
                <c:numCache>
                  <c:formatCode>General</c:formatCode>
                  <c:ptCount val="14"/>
                  <c:pt idx="0">
                    <c:v>0</c:v>
                  </c:pt>
                  <c:pt idx="1">
                    <c:v>0</c:v>
                  </c:pt>
                  <c:pt idx="2">
                    <c:v>0.44365076355169275</c:v>
                  </c:pt>
                  <c:pt idx="3">
                    <c:v>0.49974993746873059</c:v>
                  </c:pt>
                  <c:pt idx="4">
                    <c:v>0</c:v>
                  </c:pt>
                  <c:pt idx="5">
                    <c:v>0</c:v>
                  </c:pt>
                  <c:pt idx="6">
                    <c:v>0</c:v>
                  </c:pt>
                  <c:pt idx="7">
                    <c:v>0</c:v>
                  </c:pt>
                  <c:pt idx="8">
                    <c:v>0</c:v>
                  </c:pt>
                  <c:pt idx="9">
                    <c:v>31.849956295103446</c:v>
                  </c:pt>
                  <c:pt idx="10">
                    <c:v>0</c:v>
                  </c:pt>
                  <c:pt idx="11">
                    <c:v>0</c:v>
                  </c:pt>
                  <c:pt idx="12">
                    <c:v>0</c:v>
                  </c:pt>
                  <c:pt idx="13">
                    <c:v>0</c:v>
                  </c:pt>
                </c:numCache>
              </c:numRef>
            </c:minus>
            <c:spPr>
              <a:noFill/>
              <a:ln w="9525" cap="flat" cmpd="sng" algn="ctr">
                <a:solidFill>
                  <a:schemeClr val="tx1">
                    <a:lumMod val="65000"/>
                    <a:lumOff val="35000"/>
                  </a:schemeClr>
                </a:solidFill>
                <a:prstDash val="solid"/>
                <a:round/>
              </a:ln>
            </c:spPr>
          </c:errBars>
          <c:cat>
            <c:multiLvlStrRef>
              <c:f>bar_plot!$CP$31:$CQ$44</c:f>
              <c:multiLvlStrCache>
                <c:ptCount val="14"/>
                <c:lvl>
                  <c:pt idx="0">
                    <c:v>Sc</c:v>
                  </c:pt>
                  <c:pt idx="1">
                    <c:v>Ti</c:v>
                  </c:pt>
                  <c:pt idx="2">
                    <c:v>Zr</c:v>
                  </c:pt>
                  <c:pt idx="3">
                    <c:v>Nb</c:v>
                  </c:pt>
                  <c:pt idx="4">
                    <c:v>Sn</c:v>
                  </c:pt>
                  <c:pt idx="5">
                    <c:v>Cs</c:v>
                  </c:pt>
                  <c:pt idx="6">
                    <c:v>Ba</c:v>
                  </c:pt>
                  <c:pt idx="7">
                    <c:v>Hf</c:v>
                  </c:pt>
                  <c:pt idx="8">
                    <c:v>Ta</c:v>
                  </c:pt>
                  <c:pt idx="9">
                    <c:v>W</c:v>
                  </c:pt>
                  <c:pt idx="10">
                    <c:v>Re</c:v>
                  </c:pt>
                  <c:pt idx="11">
                    <c:v>Au</c:v>
                  </c:pt>
                  <c:pt idx="12">
                    <c:v>Th</c:v>
                  </c:pt>
                  <c:pt idx="13">
                    <c:v>Pd</c:v>
                  </c:pt>
                </c:lvl>
                <c:lvl>
                  <c:pt idx="0">
                    <c:v>Geochemically Inert / Lithogenic Tracers</c:v>
                  </c:pt>
                </c:lvl>
              </c:multiLvlStrCache>
            </c:multiLvlStrRef>
          </c:cat>
          <c:val>
            <c:numRef>
              <c:f>bar_plot!$CR$31:$CR$44</c:f>
              <c:numCache>
                <c:formatCode>0.00</c:formatCode>
                <c:ptCount val="14"/>
                <c:pt idx="1">
                  <c:v>61.61</c:v>
                </c:pt>
                <c:pt idx="2">
                  <c:v>13.766</c:v>
                </c:pt>
                <c:pt idx="3">
                  <c:v>11.549999999999999</c:v>
                </c:pt>
                <c:pt idx="9">
                  <c:v>156.17400000000001</c:v>
                </c:pt>
                <c:pt idx="13">
                  <c:v>6.53</c:v>
                </c:pt>
              </c:numCache>
            </c:numRef>
          </c:val>
          <c:extLst>
            <c:ext xmlns:c16="http://schemas.microsoft.com/office/drawing/2014/chart" uri="{C3380CC4-5D6E-409C-BE32-E72D297353CC}">
              <c16:uniqueId val="{00000000-F4E8-7249-88AE-71D9F358BFB9}"/>
            </c:ext>
          </c:extLst>
        </c:ser>
        <c:ser>
          <c:idx val="1"/>
          <c:order val="1"/>
          <c:tx>
            <c:strRef>
              <c:f>bar_plot!$CS$1</c:f>
              <c:strCache>
                <c:ptCount val="1"/>
                <c:pt idx="0">
                  <c:v>50 mg/l</c:v>
                </c:pt>
              </c:strCache>
            </c:strRef>
          </c:tx>
          <c:spPr>
            <a:solidFill>
              <a:srgbClr val="C7E9C1"/>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bar_plot!$CW$31:$CW$44</c:f>
                <c:numCache>
                  <c:formatCode>General</c:formatCode>
                  <c:ptCount val="14"/>
                  <c:pt idx="0">
                    <c:v>7.3849999999999962</c:v>
                  </c:pt>
                  <c:pt idx="1">
                    <c:v>46.295271183998899</c:v>
                  </c:pt>
                  <c:pt idx="2">
                    <c:v>0.73370513302158746</c:v>
                  </c:pt>
                  <c:pt idx="3">
                    <c:v>0.56532596300226834</c:v>
                  </c:pt>
                  <c:pt idx="4">
                    <c:v>0</c:v>
                  </c:pt>
                  <c:pt idx="5">
                    <c:v>0</c:v>
                  </c:pt>
                  <c:pt idx="6">
                    <c:v>0</c:v>
                  </c:pt>
                  <c:pt idx="7">
                    <c:v>0</c:v>
                  </c:pt>
                  <c:pt idx="8">
                    <c:v>0</c:v>
                  </c:pt>
                  <c:pt idx="9">
                    <c:v>96.564885396642325</c:v>
                  </c:pt>
                  <c:pt idx="10">
                    <c:v>0</c:v>
                  </c:pt>
                  <c:pt idx="11">
                    <c:v>0</c:v>
                  </c:pt>
                  <c:pt idx="12">
                    <c:v>0</c:v>
                  </c:pt>
                  <c:pt idx="13">
                    <c:v>0.35272746797870258</c:v>
                  </c:pt>
                </c:numCache>
              </c:numRef>
            </c:plus>
            <c:minus>
              <c:numRef>
                <c:f>bar_plot!$CW$31:$CW$44</c:f>
                <c:numCache>
                  <c:formatCode>General</c:formatCode>
                  <c:ptCount val="14"/>
                  <c:pt idx="0">
                    <c:v>7.3849999999999962</c:v>
                  </c:pt>
                  <c:pt idx="1">
                    <c:v>46.295271183998899</c:v>
                  </c:pt>
                  <c:pt idx="2">
                    <c:v>0.73370513302158746</c:v>
                  </c:pt>
                  <c:pt idx="3">
                    <c:v>0.56532596300226834</c:v>
                  </c:pt>
                  <c:pt idx="4">
                    <c:v>0</c:v>
                  </c:pt>
                  <c:pt idx="5">
                    <c:v>0</c:v>
                  </c:pt>
                  <c:pt idx="6">
                    <c:v>0</c:v>
                  </c:pt>
                  <c:pt idx="7">
                    <c:v>0</c:v>
                  </c:pt>
                  <c:pt idx="8">
                    <c:v>0</c:v>
                  </c:pt>
                  <c:pt idx="9">
                    <c:v>96.564885396642325</c:v>
                  </c:pt>
                  <c:pt idx="10">
                    <c:v>0</c:v>
                  </c:pt>
                  <c:pt idx="11">
                    <c:v>0</c:v>
                  </c:pt>
                  <c:pt idx="12">
                    <c:v>0</c:v>
                  </c:pt>
                  <c:pt idx="13">
                    <c:v>0.35272746797870258</c:v>
                  </c:pt>
                </c:numCache>
              </c:numRef>
            </c:minus>
            <c:spPr>
              <a:noFill/>
              <a:ln w="9525" cap="flat" cmpd="sng" algn="ctr">
                <a:solidFill>
                  <a:schemeClr val="tx1">
                    <a:lumMod val="65000"/>
                    <a:lumOff val="35000"/>
                  </a:schemeClr>
                </a:solidFill>
                <a:prstDash val="solid"/>
                <a:round/>
              </a:ln>
            </c:spPr>
          </c:errBars>
          <c:cat>
            <c:multiLvlStrRef>
              <c:f>bar_plot!$CP$31:$CQ$44</c:f>
              <c:multiLvlStrCache>
                <c:ptCount val="14"/>
                <c:lvl>
                  <c:pt idx="0">
                    <c:v>Sc</c:v>
                  </c:pt>
                  <c:pt idx="1">
                    <c:v>Ti</c:v>
                  </c:pt>
                  <c:pt idx="2">
                    <c:v>Zr</c:v>
                  </c:pt>
                  <c:pt idx="3">
                    <c:v>Nb</c:v>
                  </c:pt>
                  <c:pt idx="4">
                    <c:v>Sn</c:v>
                  </c:pt>
                  <c:pt idx="5">
                    <c:v>Cs</c:v>
                  </c:pt>
                  <c:pt idx="6">
                    <c:v>Ba</c:v>
                  </c:pt>
                  <c:pt idx="7">
                    <c:v>Hf</c:v>
                  </c:pt>
                  <c:pt idx="8">
                    <c:v>Ta</c:v>
                  </c:pt>
                  <c:pt idx="9">
                    <c:v>W</c:v>
                  </c:pt>
                  <c:pt idx="10">
                    <c:v>Re</c:v>
                  </c:pt>
                  <c:pt idx="11">
                    <c:v>Au</c:v>
                  </c:pt>
                  <c:pt idx="12">
                    <c:v>Th</c:v>
                  </c:pt>
                  <c:pt idx="13">
                    <c:v>Pd</c:v>
                  </c:pt>
                </c:lvl>
                <c:lvl>
                  <c:pt idx="0">
                    <c:v>Geochemically Inert / Lithogenic Tracers</c:v>
                  </c:pt>
                </c:lvl>
              </c:multiLvlStrCache>
            </c:multiLvlStrRef>
          </c:cat>
          <c:val>
            <c:numRef>
              <c:f>bar_plot!$CS$31:$CS$44</c:f>
              <c:numCache>
                <c:formatCode>0.00</c:formatCode>
                <c:ptCount val="14"/>
                <c:pt idx="0">
                  <c:v>19.945</c:v>
                </c:pt>
                <c:pt idx="1">
                  <c:v>172.33800000000002</c:v>
                </c:pt>
                <c:pt idx="2">
                  <c:v>12.598999999999998</c:v>
                </c:pt>
                <c:pt idx="3">
                  <c:v>12.553000000000001</c:v>
                </c:pt>
                <c:pt idx="9">
                  <c:v>409.32499999999999</c:v>
                </c:pt>
                <c:pt idx="13">
                  <c:v>6.44</c:v>
                </c:pt>
              </c:numCache>
            </c:numRef>
          </c:val>
          <c:extLst>
            <c:ext xmlns:c16="http://schemas.microsoft.com/office/drawing/2014/chart" uri="{C3380CC4-5D6E-409C-BE32-E72D297353CC}">
              <c16:uniqueId val="{00000001-F4E8-7249-88AE-71D9F358BFB9}"/>
            </c:ext>
          </c:extLst>
        </c:ser>
        <c:ser>
          <c:idx val="2"/>
          <c:order val="2"/>
          <c:tx>
            <c:strRef>
              <c:f>bar_plot!$CT$1</c:f>
              <c:strCache>
                <c:ptCount val="1"/>
                <c:pt idx="0">
                  <c:v>100 mg/l</c:v>
                </c:pt>
              </c:strCache>
            </c:strRef>
          </c:tx>
          <c:spPr>
            <a:solidFill>
              <a:srgbClr val="74C476"/>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bar_plot!$CX$31:$CX$44</c:f>
                <c:numCache>
                  <c:formatCode>General</c:formatCode>
                  <c:ptCount val="14"/>
                  <c:pt idx="0">
                    <c:v>0</c:v>
                  </c:pt>
                  <c:pt idx="1">
                    <c:v>3.7941160586711988</c:v>
                  </c:pt>
                  <c:pt idx="2">
                    <c:v>0.38177218337642138</c:v>
                  </c:pt>
                  <c:pt idx="3">
                    <c:v>0.48833799770241104</c:v>
                  </c:pt>
                  <c:pt idx="4">
                    <c:v>0.3050000000000006</c:v>
                  </c:pt>
                  <c:pt idx="5">
                    <c:v>0</c:v>
                  </c:pt>
                  <c:pt idx="6">
                    <c:v>0</c:v>
                  </c:pt>
                  <c:pt idx="7">
                    <c:v>0</c:v>
                  </c:pt>
                  <c:pt idx="8">
                    <c:v>0</c:v>
                  </c:pt>
                  <c:pt idx="9">
                    <c:v>11.02914774585968</c:v>
                  </c:pt>
                  <c:pt idx="10">
                    <c:v>0</c:v>
                  </c:pt>
                  <c:pt idx="11">
                    <c:v>0</c:v>
                  </c:pt>
                  <c:pt idx="12">
                    <c:v>0</c:v>
                  </c:pt>
                  <c:pt idx="13">
                    <c:v>0.26307476757251602</c:v>
                  </c:pt>
                </c:numCache>
              </c:numRef>
            </c:plus>
            <c:minus>
              <c:numRef>
                <c:f>bar_plot!$CX$31:$CX$44</c:f>
                <c:numCache>
                  <c:formatCode>General</c:formatCode>
                  <c:ptCount val="14"/>
                  <c:pt idx="0">
                    <c:v>0</c:v>
                  </c:pt>
                  <c:pt idx="1">
                    <c:v>3.7941160586711988</c:v>
                  </c:pt>
                  <c:pt idx="2">
                    <c:v>0.38177218337642138</c:v>
                  </c:pt>
                  <c:pt idx="3">
                    <c:v>0.48833799770241104</c:v>
                  </c:pt>
                  <c:pt idx="4">
                    <c:v>0.3050000000000006</c:v>
                  </c:pt>
                  <c:pt idx="5">
                    <c:v>0</c:v>
                  </c:pt>
                  <c:pt idx="6">
                    <c:v>0</c:v>
                  </c:pt>
                  <c:pt idx="7">
                    <c:v>0</c:v>
                  </c:pt>
                  <c:pt idx="8">
                    <c:v>0</c:v>
                  </c:pt>
                  <c:pt idx="9">
                    <c:v>11.02914774585968</c:v>
                  </c:pt>
                  <c:pt idx="10">
                    <c:v>0</c:v>
                  </c:pt>
                  <c:pt idx="11">
                    <c:v>0</c:v>
                  </c:pt>
                  <c:pt idx="12">
                    <c:v>0</c:v>
                  </c:pt>
                  <c:pt idx="13">
                    <c:v>0.26307476757251602</c:v>
                  </c:pt>
                </c:numCache>
              </c:numRef>
            </c:minus>
            <c:spPr>
              <a:noFill/>
              <a:ln w="9525" cap="flat" cmpd="sng" algn="ctr">
                <a:solidFill>
                  <a:schemeClr val="tx1">
                    <a:lumMod val="65000"/>
                    <a:lumOff val="35000"/>
                  </a:schemeClr>
                </a:solidFill>
                <a:prstDash val="solid"/>
                <a:round/>
              </a:ln>
            </c:spPr>
          </c:errBars>
          <c:cat>
            <c:multiLvlStrRef>
              <c:f>bar_plot!$CP$31:$CQ$44</c:f>
              <c:multiLvlStrCache>
                <c:ptCount val="14"/>
                <c:lvl>
                  <c:pt idx="0">
                    <c:v>Sc</c:v>
                  </c:pt>
                  <c:pt idx="1">
                    <c:v>Ti</c:v>
                  </c:pt>
                  <c:pt idx="2">
                    <c:v>Zr</c:v>
                  </c:pt>
                  <c:pt idx="3">
                    <c:v>Nb</c:v>
                  </c:pt>
                  <c:pt idx="4">
                    <c:v>Sn</c:v>
                  </c:pt>
                  <c:pt idx="5">
                    <c:v>Cs</c:v>
                  </c:pt>
                  <c:pt idx="6">
                    <c:v>Ba</c:v>
                  </c:pt>
                  <c:pt idx="7">
                    <c:v>Hf</c:v>
                  </c:pt>
                  <c:pt idx="8">
                    <c:v>Ta</c:v>
                  </c:pt>
                  <c:pt idx="9">
                    <c:v>W</c:v>
                  </c:pt>
                  <c:pt idx="10">
                    <c:v>Re</c:v>
                  </c:pt>
                  <c:pt idx="11">
                    <c:v>Au</c:v>
                  </c:pt>
                  <c:pt idx="12">
                    <c:v>Th</c:v>
                  </c:pt>
                  <c:pt idx="13">
                    <c:v>Pd</c:v>
                  </c:pt>
                </c:lvl>
                <c:lvl>
                  <c:pt idx="0">
                    <c:v>Geochemically Inert / Lithogenic Tracers</c:v>
                  </c:pt>
                </c:lvl>
              </c:multiLvlStrCache>
            </c:multiLvlStrRef>
          </c:cat>
          <c:val>
            <c:numRef>
              <c:f>bar_plot!$CT$31:$CT$44</c:f>
              <c:numCache>
                <c:formatCode>0.00</c:formatCode>
                <c:ptCount val="14"/>
                <c:pt idx="0">
                  <c:v>30.17</c:v>
                </c:pt>
                <c:pt idx="1">
                  <c:v>66.73</c:v>
                </c:pt>
                <c:pt idx="2">
                  <c:v>13.379999999999999</c:v>
                </c:pt>
                <c:pt idx="3">
                  <c:v>11.771999999999998</c:v>
                </c:pt>
                <c:pt idx="4">
                  <c:v>12.425000000000001</c:v>
                </c:pt>
                <c:pt idx="9">
                  <c:v>189.07</c:v>
                </c:pt>
                <c:pt idx="13">
                  <c:v>6.7549999999999999</c:v>
                </c:pt>
              </c:numCache>
            </c:numRef>
          </c:val>
          <c:extLst>
            <c:ext xmlns:c16="http://schemas.microsoft.com/office/drawing/2014/chart" uri="{C3380CC4-5D6E-409C-BE32-E72D297353CC}">
              <c16:uniqueId val="{00000002-F4E8-7249-88AE-71D9F358BFB9}"/>
            </c:ext>
          </c:extLst>
        </c:ser>
        <c:ser>
          <c:idx val="3"/>
          <c:order val="3"/>
          <c:tx>
            <c:strRef>
              <c:f>bar_plot!$CU$1</c:f>
              <c:strCache>
                <c:ptCount val="1"/>
                <c:pt idx="0">
                  <c:v>500 mg/l</c:v>
                </c:pt>
              </c:strCache>
            </c:strRef>
          </c:tx>
          <c:spPr>
            <a:solidFill>
              <a:srgbClr val="228B45"/>
            </a:solidFill>
            <a:ln>
              <a:solidFill>
                <a:schemeClr val="tx1"/>
              </a:solidFill>
              <a:prstDash val="solid"/>
            </a:ln>
          </c:spPr>
          <c:invertIfNegative val="0"/>
          <c:dLbls>
            <c:numFmt formatCode="#,##0" sourceLinked="0"/>
            <c:spPr>
              <a:noFill/>
              <a:ln>
                <a:noFill/>
                <a:prstDash val="solid"/>
              </a:ln>
            </c:spPr>
            <c:txPr>
              <a:bodyPr rot="-5400000"/>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bar_plot!$CY$31:$CY$44</c:f>
                <c:numCache>
                  <c:formatCode>General</c:formatCode>
                  <c:ptCount val="14"/>
                  <c:pt idx="0">
                    <c:v>0</c:v>
                  </c:pt>
                  <c:pt idx="1">
                    <c:v>27.43716639888293</c:v>
                  </c:pt>
                  <c:pt idx="2">
                    <c:v>1.4066577408879528</c:v>
                  </c:pt>
                  <c:pt idx="3">
                    <c:v>0.49210161552264792</c:v>
                  </c:pt>
                  <c:pt idx="4">
                    <c:v>0</c:v>
                  </c:pt>
                  <c:pt idx="5">
                    <c:v>0</c:v>
                  </c:pt>
                  <c:pt idx="6">
                    <c:v>0</c:v>
                  </c:pt>
                  <c:pt idx="7">
                    <c:v>0</c:v>
                  </c:pt>
                  <c:pt idx="8">
                    <c:v>0</c:v>
                  </c:pt>
                  <c:pt idx="9">
                    <c:v>111.9216978695374</c:v>
                  </c:pt>
                  <c:pt idx="10">
                    <c:v>0</c:v>
                  </c:pt>
                  <c:pt idx="11">
                    <c:v>0</c:v>
                  </c:pt>
                  <c:pt idx="12">
                    <c:v>0</c:v>
                  </c:pt>
                  <c:pt idx="13">
                    <c:v>0.37819747927945441</c:v>
                  </c:pt>
                </c:numCache>
              </c:numRef>
            </c:plus>
            <c:minus>
              <c:numRef>
                <c:f>bar_plot!$CY$31:$CY$44</c:f>
                <c:numCache>
                  <c:formatCode>General</c:formatCode>
                  <c:ptCount val="14"/>
                  <c:pt idx="0">
                    <c:v>0</c:v>
                  </c:pt>
                  <c:pt idx="1">
                    <c:v>27.43716639888293</c:v>
                  </c:pt>
                  <c:pt idx="2">
                    <c:v>1.4066577408879528</c:v>
                  </c:pt>
                  <c:pt idx="3">
                    <c:v>0.49210161552264792</c:v>
                  </c:pt>
                  <c:pt idx="4">
                    <c:v>0</c:v>
                  </c:pt>
                  <c:pt idx="5">
                    <c:v>0</c:v>
                  </c:pt>
                  <c:pt idx="6">
                    <c:v>0</c:v>
                  </c:pt>
                  <c:pt idx="7">
                    <c:v>0</c:v>
                  </c:pt>
                  <c:pt idx="8">
                    <c:v>0</c:v>
                  </c:pt>
                  <c:pt idx="9">
                    <c:v>111.9216978695374</c:v>
                  </c:pt>
                  <c:pt idx="10">
                    <c:v>0</c:v>
                  </c:pt>
                  <c:pt idx="11">
                    <c:v>0</c:v>
                  </c:pt>
                  <c:pt idx="12">
                    <c:v>0</c:v>
                  </c:pt>
                  <c:pt idx="13">
                    <c:v>0.37819747927945441</c:v>
                  </c:pt>
                </c:numCache>
              </c:numRef>
            </c:minus>
            <c:spPr>
              <a:noFill/>
              <a:ln w="9525" cap="flat" cmpd="sng" algn="ctr">
                <a:solidFill>
                  <a:schemeClr val="tx1">
                    <a:lumMod val="65000"/>
                    <a:lumOff val="35000"/>
                  </a:schemeClr>
                </a:solidFill>
                <a:prstDash val="solid"/>
                <a:round/>
              </a:ln>
            </c:spPr>
          </c:errBars>
          <c:cat>
            <c:multiLvlStrRef>
              <c:f>bar_plot!$CP$31:$CQ$44</c:f>
              <c:multiLvlStrCache>
                <c:ptCount val="14"/>
                <c:lvl>
                  <c:pt idx="0">
                    <c:v>Sc</c:v>
                  </c:pt>
                  <c:pt idx="1">
                    <c:v>Ti</c:v>
                  </c:pt>
                  <c:pt idx="2">
                    <c:v>Zr</c:v>
                  </c:pt>
                  <c:pt idx="3">
                    <c:v>Nb</c:v>
                  </c:pt>
                  <c:pt idx="4">
                    <c:v>Sn</c:v>
                  </c:pt>
                  <c:pt idx="5">
                    <c:v>Cs</c:v>
                  </c:pt>
                  <c:pt idx="6">
                    <c:v>Ba</c:v>
                  </c:pt>
                  <c:pt idx="7">
                    <c:v>Hf</c:v>
                  </c:pt>
                  <c:pt idx="8">
                    <c:v>Ta</c:v>
                  </c:pt>
                  <c:pt idx="9">
                    <c:v>W</c:v>
                  </c:pt>
                  <c:pt idx="10">
                    <c:v>Re</c:v>
                  </c:pt>
                  <c:pt idx="11">
                    <c:v>Au</c:v>
                  </c:pt>
                  <c:pt idx="12">
                    <c:v>Th</c:v>
                  </c:pt>
                  <c:pt idx="13">
                    <c:v>Pd</c:v>
                  </c:pt>
                </c:lvl>
                <c:lvl>
                  <c:pt idx="0">
                    <c:v>Geochemically Inert / Lithogenic Tracers</c:v>
                  </c:pt>
                </c:lvl>
              </c:multiLvlStrCache>
            </c:multiLvlStrRef>
          </c:cat>
          <c:val>
            <c:numRef>
              <c:f>bar_plot!$CU$31:$CU$44</c:f>
              <c:numCache>
                <c:formatCode>0.00</c:formatCode>
                <c:ptCount val="14"/>
                <c:pt idx="0">
                  <c:v>27.33</c:v>
                </c:pt>
                <c:pt idx="1">
                  <c:v>243.84000000000003</c:v>
                </c:pt>
                <c:pt idx="2">
                  <c:v>11.806000000000001</c:v>
                </c:pt>
                <c:pt idx="3">
                  <c:v>14.071999999999999</c:v>
                </c:pt>
                <c:pt idx="9">
                  <c:v>642.70799999999997</c:v>
                </c:pt>
                <c:pt idx="13">
                  <c:v>6.6700000000000008</c:v>
                </c:pt>
              </c:numCache>
            </c:numRef>
          </c:val>
          <c:extLst>
            <c:ext xmlns:c16="http://schemas.microsoft.com/office/drawing/2014/chart" uri="{C3380CC4-5D6E-409C-BE32-E72D297353CC}">
              <c16:uniqueId val="{00000003-F4E8-7249-88AE-71D9F358BFB9}"/>
            </c:ext>
          </c:extLst>
        </c:ser>
        <c:dLbls>
          <c:dLblPos val="outEnd"/>
          <c:showLegendKey val="0"/>
          <c:showVal val="1"/>
          <c:showCatName val="0"/>
          <c:showSerName val="0"/>
          <c:showPercent val="0"/>
          <c:showBubbleSize val="0"/>
        </c:dLbls>
        <c:gapWidth val="150"/>
        <c:overlap val="-20"/>
        <c:axId val="421374016"/>
        <c:axId val="421363712"/>
      </c:barChart>
      <c:catAx>
        <c:axId val="4213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vert="horz"/>
          <a:lstStyle/>
          <a:p>
            <a:pPr>
              <a:defRPr/>
            </a:pPr>
            <a:endParaRPr lang="en-US"/>
          </a:p>
        </c:txPr>
        <c:crossAx val="421363712"/>
        <c:crosses val="autoZero"/>
        <c:auto val="1"/>
        <c:lblAlgn val="ctr"/>
        <c:lblOffset val="100"/>
        <c:noMultiLvlLbl val="0"/>
      </c:catAx>
      <c:valAx>
        <c:axId val="421363712"/>
        <c:scaling>
          <c:logBase val="10"/>
          <c:orientation val="minMax"/>
          <c:min val="1"/>
        </c:scaling>
        <c:delete val="0"/>
        <c:axPos val="l"/>
        <c:majorGridlines>
          <c:spPr>
            <a:ln w="9525" cap="flat" cmpd="sng" algn="ctr">
              <a:solidFill>
                <a:schemeClr val="tx1">
                  <a:lumMod val="15000"/>
                  <a:lumOff val="85000"/>
                </a:schemeClr>
              </a:solidFill>
              <a:prstDash val="solid"/>
              <a:round/>
            </a:ln>
          </c:spPr>
        </c:majorGridlines>
        <c:title>
          <c:tx>
            <c:rich>
              <a:bodyPr rot="-5400000" vert="horz"/>
              <a:lstStyle/>
              <a:p>
                <a:pPr>
                  <a:defRPr/>
                </a:pPr>
                <a:r>
                  <a:rPr lang="en-US"/>
                  <a:t>Concentration (ppm)</a:t>
                </a:r>
              </a:p>
            </c:rich>
          </c:tx>
          <c:overlay val="0"/>
          <c:spPr>
            <a:noFill/>
            <a:ln>
              <a:noFill/>
              <a:prstDash val="solid"/>
            </a:ln>
          </c:spPr>
        </c:title>
        <c:numFmt formatCode="0" sourceLinked="0"/>
        <c:majorTickMark val="none"/>
        <c:minorTickMark val="none"/>
        <c:tickLblPos val="nextTo"/>
        <c:spPr>
          <a:noFill/>
          <a:ln>
            <a:noFill/>
            <a:prstDash val="solid"/>
          </a:ln>
        </c:spPr>
        <c:txPr>
          <a:bodyPr rot="-60000000" vert="horz"/>
          <a:lstStyle/>
          <a:p>
            <a:pPr>
              <a:defRPr/>
            </a:pPr>
            <a:endParaRPr lang="en-US"/>
          </a:p>
        </c:txPr>
        <c:crossAx val="421374016"/>
        <c:crosses val="autoZero"/>
        <c:crossBetween val="between"/>
      </c:valAx>
    </c:plotArea>
    <c:legend>
      <c:legendPos val="r"/>
      <c:overlay val="0"/>
      <c:spPr>
        <a:noFill/>
        <a:ln>
          <a:noFill/>
          <a:prstDash val="solid"/>
        </a:ln>
      </c:spPr>
      <c:txPr>
        <a:bodyPr rot="0" vert="horz"/>
        <a:lstStyle/>
        <a:p>
          <a:pPr>
            <a:defRPr/>
          </a:pPr>
          <a:endParaRPr lang="en-US"/>
        </a:p>
      </c:txPr>
    </c:legend>
    <c:plotVisOnly val="1"/>
    <c:dispBlanksAs val="gap"/>
    <c:showDLblsOverMax val="1"/>
  </c:chart>
  <c:spPr>
    <a:solidFill>
      <a:srgbClr val="F8FBFF"/>
    </a:solidFill>
    <a:ln w="9525" cap="flat" cmpd="sng" algn="ctr">
      <a:solidFill>
        <a:schemeClr val="tx1">
          <a:lumMod val="15000"/>
          <a:lumOff val="85000"/>
        </a:schemeClr>
      </a:solidFill>
      <a:prstDash val="solid"/>
      <a:round/>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1"/>
              <a:t>Gene activation of </a:t>
            </a:r>
            <a:r>
              <a:rPr lang="en-US" sz="1000" b="1" i="1"/>
              <a:t>Arabidopsis thaliana </a:t>
            </a:r>
            <a:r>
              <a:rPr lang="en-US" sz="1000" b="1"/>
              <a:t>(log2 fold change)</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bar_plot_activation!$C$1</c:f>
              <c:strCache>
                <c:ptCount val="1"/>
                <c:pt idx="0">
                  <c:v>Arabidopsis Thaliana (log2 fold change)</c:v>
                </c:pt>
              </c:strCache>
            </c:strRef>
          </c:tx>
          <c:spPr>
            <a:solidFill>
              <a:schemeClr val="bg1">
                <a:lumMod val="85000"/>
              </a:schemeClr>
            </a:solidFill>
            <a:ln>
              <a:solidFill>
                <a:schemeClr val="bg1">
                  <a:lumMod val="65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bar_plot_activation!$B$2:$B$7</c:f>
              <c:strCache>
                <c:ptCount val="6"/>
                <c:pt idx="0">
                  <c:v>HSP22.0 (Heat shock)</c:v>
                </c:pt>
                <c:pt idx="1">
                  <c:v>HSP18.1 / HSP18.2 (Heat shock)</c:v>
                </c:pt>
                <c:pt idx="2">
                  <c:v>GPT2 (Chloroplast transporter)</c:v>
                </c:pt>
                <c:pt idx="3">
                  <c:v>APX2 (Redox enzyme)</c:v>
                </c:pt>
                <c:pt idx="4">
                  <c:v>SPL5 (Transcription factor)</c:v>
                </c:pt>
                <c:pt idx="5">
                  <c:v>EXT17 (Cell wall/structural)</c:v>
                </c:pt>
              </c:strCache>
            </c:strRef>
          </c:cat>
          <c:val>
            <c:numRef>
              <c:f>bar_plot_activation!$C$2:$C$7</c:f>
              <c:numCache>
                <c:formatCode>0.00</c:formatCode>
                <c:ptCount val="6"/>
                <c:pt idx="0">
                  <c:v>8.3143924137179379</c:v>
                </c:pt>
                <c:pt idx="1">
                  <c:v>6.6219164175436065</c:v>
                </c:pt>
                <c:pt idx="2">
                  <c:v>6.0462869597751334</c:v>
                </c:pt>
                <c:pt idx="3">
                  <c:v>5.8642930068736367</c:v>
                </c:pt>
                <c:pt idx="4">
                  <c:v>5.1330398302425406</c:v>
                </c:pt>
                <c:pt idx="5">
                  <c:v>4.9004574270838326</c:v>
                </c:pt>
              </c:numCache>
            </c:numRef>
          </c:val>
          <c:extLst>
            <c:ext xmlns:c16="http://schemas.microsoft.com/office/drawing/2014/chart" uri="{C3380CC4-5D6E-409C-BE32-E72D297353CC}">
              <c16:uniqueId val="{00000000-DF04-3040-880B-FB1A0156EF26}"/>
            </c:ext>
          </c:extLst>
        </c:ser>
        <c:dLbls>
          <c:dLblPos val="outEnd"/>
          <c:showLegendKey val="0"/>
          <c:showVal val="1"/>
          <c:showCatName val="0"/>
          <c:showSerName val="0"/>
          <c:showPercent val="0"/>
          <c:showBubbleSize val="0"/>
        </c:dLbls>
        <c:gapWidth val="20"/>
        <c:axId val="766680063"/>
        <c:axId val="766677823"/>
      </c:barChart>
      <c:catAx>
        <c:axId val="76668006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a:t>Gene name (gene id)</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6677823"/>
        <c:crosses val="autoZero"/>
        <c:auto val="1"/>
        <c:lblAlgn val="ctr"/>
        <c:lblOffset val="100"/>
        <c:noMultiLvlLbl val="0"/>
      </c:catAx>
      <c:valAx>
        <c:axId val="766677823"/>
        <c:scaling>
          <c:orientation val="minMax"/>
          <c:min val="4"/>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a:t>log2 fold change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6680063"/>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E726D-5FA6-CA45-AAF6-67C6CA6FF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4118</Words>
  <Characters>23474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Kaniz Fatema</dc:creator>
  <cp:keywords/>
  <dc:description/>
  <cp:lastModifiedBy>Kaniz Fatema</cp:lastModifiedBy>
  <cp:revision>11</cp:revision>
  <dcterms:created xsi:type="dcterms:W3CDTF">2026-04-24T14:54:00Z</dcterms:created>
  <dcterms:modified xsi:type="dcterms:W3CDTF">2026-05-26T18:29:00Z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id="8fhh9XKH"/&gt;&lt;style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