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AFE2" w14:textId="77777777" w:rsidR="00203379" w:rsidRDefault="00203379" w:rsidP="00203379">
      <w:pPr>
        <w:spacing w:after="240" w:line="360" w:lineRule="auto"/>
        <w:jc w:val="both"/>
      </w:pPr>
      <w:r>
        <w:rPr>
          <w:noProof/>
        </w:rPr>
        <w:drawing>
          <wp:inline distT="0" distB="0" distL="0" distR="0" wp14:anchorId="150448F0" wp14:editId="606ECFAA">
            <wp:extent cx="5733415" cy="8103870"/>
            <wp:effectExtent l="0" t="0" r="0" b="0"/>
            <wp:docPr id="6153285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28563" name="Picture 6153285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25C05" w14:textId="77777777" w:rsidR="00203379" w:rsidRDefault="00203379" w:rsidP="00203379">
      <w:pPr>
        <w:spacing w:after="240" w:line="360" w:lineRule="auto"/>
        <w:jc w:val="both"/>
      </w:pPr>
      <w:r w:rsidRPr="00BB02F5">
        <w:rPr>
          <w:b/>
          <w:bCs/>
        </w:rPr>
        <w:t>Supplementary Figure 1:</w:t>
      </w:r>
      <w:r>
        <w:t xml:space="preserve"> </w:t>
      </w:r>
      <w:r w:rsidRPr="00BB02F5">
        <w:t>Sensitivity analysis excluding individuals with a prior history of cancer.</w:t>
      </w:r>
      <w:r>
        <w:t xml:space="preserve"> </w:t>
      </w:r>
      <w:r w:rsidRPr="00EA1655">
        <w:t xml:space="preserve">All analyses were repeated after excluding participants with any documented history </w:t>
      </w:r>
      <w:r w:rsidRPr="00EA1655">
        <w:lastRenderedPageBreak/>
        <w:t>of cancer. Incident cancer cases (</w:t>
      </w:r>
      <w:r>
        <w:t>c</w:t>
      </w:r>
      <w:r w:rsidRPr="00EA1655">
        <w:t>ancer Dx) were compared exclusively with participants without cancer or cancer history (</w:t>
      </w:r>
      <w:r>
        <w:t>n</w:t>
      </w:r>
      <w:r w:rsidRPr="00EA1655">
        <w:t>on-cancer), and no cancer-history covariate was included.</w:t>
      </w:r>
      <w:r>
        <w:t xml:space="preserve"> </w:t>
      </w:r>
      <w:r w:rsidRPr="00EA1655">
        <w:t xml:space="preserve">(A) Distribution of cancer-specific polygenic risk scores (PRS) for seven cancer types comparing </w:t>
      </w:r>
      <w:r>
        <w:t>c</w:t>
      </w:r>
      <w:r w:rsidRPr="00EA1655">
        <w:t xml:space="preserve">ancer Dx vs </w:t>
      </w:r>
      <w:r>
        <w:t>n</w:t>
      </w:r>
      <w:r w:rsidRPr="00EA1655">
        <w:t xml:space="preserve">on-cancer </w:t>
      </w:r>
      <w:r>
        <w:t xml:space="preserve">groups </w:t>
      </w:r>
      <w:r w:rsidRPr="00EA1655">
        <w:t>in the restricted cohort. Boxes indicate median and interquartile range; whiskers denote 1.5</w:t>
      </w:r>
      <w:r>
        <w:t>x</w:t>
      </w:r>
      <w:r w:rsidRPr="00EA1655">
        <w:t xml:space="preserve"> IQR. Statistical significance was assessed using two-tailed t-tests.</w:t>
      </w:r>
      <w:r>
        <w:t xml:space="preserve"> </w:t>
      </w:r>
      <w:r w:rsidRPr="00EA1655">
        <w:t>(B) Sensitivity (detection rate) at a fixed specificity of 95% for clinical models with and without inclusion of cancer-specific PRS, shown by cancer site.</w:t>
      </w:r>
      <w:r>
        <w:t xml:space="preserve"> </w:t>
      </w:r>
      <w:r w:rsidRPr="00EA1655">
        <w:t>(C</w:t>
      </w:r>
      <w:r>
        <w:t>-</w:t>
      </w:r>
      <w:r w:rsidRPr="00EA1655">
        <w:t>D) Positive (LR+) and negative (LR−) likelihood ratios at the same fixed-specificity threshold.</w:t>
      </w:r>
      <w:r>
        <w:t xml:space="preserve"> </w:t>
      </w:r>
      <w:r w:rsidRPr="00EA1655">
        <w:t>(E</w:t>
      </w:r>
      <w:r>
        <w:t>-</w:t>
      </w:r>
      <w:r w:rsidRPr="00EA1655">
        <w:t>F) Positive predictive value (PPV) and negative predictive value (NPV) at the same threshold.</w:t>
      </w:r>
      <w:r>
        <w:t xml:space="preserve"> </w:t>
      </w:r>
      <w:r w:rsidRPr="00EA1655">
        <w:t>(G</w:t>
      </w:r>
      <w:r>
        <w:t>-</w:t>
      </w:r>
      <w:r w:rsidRPr="00EA1655">
        <w:t>I) Decision curve analysis showing net clinical benefit across decision thresholds ranging from 1% to 10% for prostate (G), breast (H), and pancreatic (I) cancer, comparing the clinical model, clinical + PRS model, and reference strategies (“treat all” and “treat none”).</w:t>
      </w:r>
      <w:r>
        <w:t xml:space="preserve"> </w:t>
      </w:r>
      <w:r w:rsidRPr="00EA1655">
        <w:t>All performance metrics and decision curves are based on leave-one-out cross-validated predictions.</w:t>
      </w:r>
    </w:p>
    <w:p w14:paraId="199133BD" w14:textId="77777777" w:rsidR="00203379" w:rsidRDefault="00203379" w:rsidP="00203379">
      <w:r>
        <w:br w:type="page"/>
      </w:r>
    </w:p>
    <w:p w14:paraId="727AA051" w14:textId="77777777" w:rsidR="00203379" w:rsidRDefault="00203379" w:rsidP="00203379">
      <w:pPr>
        <w:spacing w:after="240" w:line="360" w:lineRule="auto"/>
        <w:jc w:val="both"/>
      </w:pPr>
      <w:r>
        <w:rPr>
          <w:noProof/>
        </w:rPr>
        <w:lastRenderedPageBreak/>
        <w:drawing>
          <wp:inline distT="0" distB="0" distL="0" distR="0" wp14:anchorId="16219A9B" wp14:editId="2234EABA">
            <wp:extent cx="5733415" cy="5965190"/>
            <wp:effectExtent l="0" t="0" r="0" b="3810"/>
            <wp:docPr id="254134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417" name="Picture 254134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2847" w14:textId="77777777" w:rsidR="00203379" w:rsidRDefault="00203379" w:rsidP="00203379">
      <w:pPr>
        <w:spacing w:after="240" w:line="360" w:lineRule="auto"/>
        <w:jc w:val="both"/>
      </w:pPr>
      <w:r w:rsidRPr="00AF36AD">
        <w:rPr>
          <w:b/>
          <w:bCs/>
        </w:rPr>
        <w:t>Supplementary Figure 2:</w:t>
      </w:r>
      <w:r>
        <w:t xml:space="preserve"> Integrated risk distribution </w:t>
      </w:r>
      <w:r w:rsidRPr="00AF36AD">
        <w:t>and covariate contributions in sensitivity analyses excluding individuals with a prior history of cancer.</w:t>
      </w:r>
      <w:r>
        <w:t xml:space="preserve"> </w:t>
      </w:r>
      <w:r w:rsidRPr="00AF36AD">
        <w:t>Multivariable Bayesian logistic regression models were re-fitted after excluding all participants with any documented history of cancer. Incident cancer cases were compared exclusively with participants without cancer or cancer history, and no cancer-history covariate was included. For each model, the left-hand panels show the distribution of the integrated risk score (IRS) derived from the fitted models, and the right-hand panels summarise the estimated effect sizes of individual predictors on the log-odds scale with 95% credible intervals. Predictors are grouped by category: polygenic risk score (PRS), presenting symptoms, routine blood biomarkers, and other clinical or demographic variables.</w:t>
      </w:r>
      <w:r>
        <w:t xml:space="preserve"> </w:t>
      </w:r>
      <w:r w:rsidRPr="00AF36AD">
        <w:t>(A</w:t>
      </w:r>
      <w:r>
        <w:t>-</w:t>
      </w:r>
      <w:r w:rsidRPr="00AF36AD">
        <w:t xml:space="preserve">E) Cancer-specific models for pancreatic (A), bowel (B), lung (C), </w:t>
      </w:r>
      <w:r w:rsidRPr="00AF36AD">
        <w:lastRenderedPageBreak/>
        <w:t>breast (D), and prostate (E) cancer.</w:t>
      </w:r>
      <w:r>
        <w:t xml:space="preserve"> </w:t>
      </w:r>
      <w:r w:rsidRPr="00AF36AD">
        <w:t>(F) Pan-cancer model including all incident cancer diagnoses analysed jointly.</w:t>
      </w:r>
    </w:p>
    <w:p w14:paraId="74C71883" w14:textId="77777777" w:rsidR="00203379" w:rsidRPr="006E1502" w:rsidRDefault="00203379" w:rsidP="002033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line="480" w:lineRule="auto"/>
        <w:jc w:val="both"/>
        <w:rPr>
          <w:sz w:val="20"/>
          <w:szCs w:val="20"/>
        </w:rPr>
      </w:pPr>
    </w:p>
    <w:p w14:paraId="723265D9" w14:textId="77777777" w:rsidR="00E023F9" w:rsidRDefault="00E023F9"/>
    <w:sectPr w:rsidR="00E023F9" w:rsidSect="00203379">
      <w:footerReference w:type="default" r:id="rId6"/>
      <w:pgSz w:w="11909" w:h="16834"/>
      <w:pgMar w:top="1440" w:right="1440" w:bottom="1440" w:left="1440" w:header="720" w:footer="720" w:gutter="0"/>
      <w:lnNumType w:countBy="1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027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DA0CF" w14:textId="77777777" w:rsidR="00203379" w:rsidRDefault="00203379">
        <w:pPr>
          <w:pStyle w:val="Footer"/>
          <w:jc w:val="center"/>
        </w:pPr>
        <w:r w:rsidRPr="6F80BCCE">
          <w:fldChar w:fldCharType="begin"/>
        </w:r>
        <w:r>
          <w:instrText xml:space="preserve"> PAGE   \* MERGEFORMAT </w:instrText>
        </w:r>
        <w:r w:rsidRPr="6F80BCCE">
          <w:fldChar w:fldCharType="separate"/>
        </w:r>
        <w:r>
          <w:rPr>
            <w:noProof/>
          </w:rPr>
          <w:t>21</w:t>
        </w:r>
        <w:r w:rsidRPr="6F80BCCE">
          <w:rPr>
            <w:noProof/>
          </w:rPr>
          <w:fldChar w:fldCharType="end"/>
        </w:r>
      </w:p>
    </w:sdtContent>
  </w:sdt>
  <w:p w14:paraId="02AF0ABB" w14:textId="77777777" w:rsidR="00203379" w:rsidRDefault="002033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79"/>
    <w:rsid w:val="000C4033"/>
    <w:rsid w:val="00173ED8"/>
    <w:rsid w:val="00203379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7420A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0619"/>
  <w15:chartTrackingRefBased/>
  <w15:docId w15:val="{00244511-8CDE-42A8-BA29-84DDD296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3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3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3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7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33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79"/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0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2026-07-03T13:32:00Z</dcterms:created>
  <dcterms:modified xsi:type="dcterms:W3CDTF">2026-07-03T13:33:00Z</dcterms:modified>
</cp:coreProperties>
</file>