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11C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  <w:lang w:val="en-US"/>
        </w:rPr>
        <w:t xml:space="preserve">S 5.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Critical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appraisal of analytical cross-sectional studies </w:t>
      </w:r>
      <w:bookmarkStart w:id="0" w:name="_GoBack"/>
      <w:bookmarkEnd w:id="0"/>
    </w:p>
    <w:p w14:paraId="2B933AB7">
      <w:pP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tbl>
      <w:tblPr>
        <w:tblStyle w:val="10"/>
        <w:tblW w:w="13951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970"/>
        <w:gridCol w:w="1397"/>
        <w:gridCol w:w="1249"/>
        <w:gridCol w:w="1284"/>
        <w:gridCol w:w="1542"/>
        <w:gridCol w:w="952"/>
        <w:gridCol w:w="1253"/>
        <w:gridCol w:w="1221"/>
        <w:gridCol w:w="955"/>
        <w:gridCol w:w="963"/>
      </w:tblGrid>
      <w:tr w14:paraId="0862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Merge w:val="restart"/>
            <w:shd w:val="clear" w:color="auto" w:fill="FBE4D5" w:themeFill="accent2" w:themeFillTint="33"/>
          </w:tcPr>
          <w:p w14:paraId="7B6E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Author(s), year</w:t>
            </w:r>
          </w:p>
        </w:tc>
        <w:tc>
          <w:tcPr>
            <w:tcW w:w="970" w:type="dxa"/>
            <w:vMerge w:val="restart"/>
            <w:shd w:val="clear" w:color="auto" w:fill="FBE4D5" w:themeFill="accent2" w:themeFillTint="33"/>
          </w:tcPr>
          <w:p w14:paraId="4CC07B90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Study ID </w:t>
            </w:r>
          </w:p>
        </w:tc>
        <w:tc>
          <w:tcPr>
            <w:tcW w:w="9853" w:type="dxa"/>
            <w:gridSpan w:val="8"/>
            <w:shd w:val="clear" w:color="auto" w:fill="FBE4D5" w:themeFill="accent2" w:themeFillTint="33"/>
          </w:tcPr>
          <w:p w14:paraId="070C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Briggs Institute Checklist Questions for Analytical Cross-Sectional Studies</w:t>
            </w:r>
          </w:p>
        </w:tc>
        <w:tc>
          <w:tcPr>
            <w:tcW w:w="963" w:type="dxa"/>
            <w:vMerge w:val="restart"/>
            <w:shd w:val="clear" w:color="auto" w:fill="FBE4D5" w:themeFill="accent2" w:themeFillTint="33"/>
          </w:tcPr>
          <w:p w14:paraId="6FA4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</w:p>
        </w:tc>
      </w:tr>
      <w:tr w14:paraId="67E8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2165" w:type="dxa"/>
            <w:vMerge w:val="continue"/>
            <w:shd w:val="clear" w:color="auto" w:fill="FBE4D5" w:themeFill="accent2" w:themeFillTint="33"/>
          </w:tcPr>
          <w:p w14:paraId="330A9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shd w:val="clear" w:color="auto" w:fill="FBE4D5" w:themeFill="accent2" w:themeFillTint="33"/>
          </w:tcPr>
          <w:p w14:paraId="38B1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E2F3" w:themeFill="accent1" w:themeFillTint="33"/>
            <w:textDirection w:val="btLr"/>
          </w:tcPr>
          <w:p w14:paraId="0AC617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the criteria for inclusion in the sample clearly defined? </w:t>
            </w:r>
          </w:p>
        </w:tc>
        <w:tc>
          <w:tcPr>
            <w:tcW w:w="1249" w:type="dxa"/>
            <w:shd w:val="clear" w:color="auto" w:fill="D9E2F3" w:themeFill="accent1" w:themeFillTint="33"/>
            <w:textDirection w:val="btLr"/>
          </w:tcPr>
          <w:p w14:paraId="6C7F03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the study subjects and the setting described in detail? </w:t>
            </w:r>
          </w:p>
        </w:tc>
        <w:tc>
          <w:tcPr>
            <w:tcW w:w="1284" w:type="dxa"/>
            <w:shd w:val="clear" w:color="auto" w:fill="D9E2F3" w:themeFill="accent1" w:themeFillTint="33"/>
            <w:textDirection w:val="btLr"/>
          </w:tcPr>
          <w:p w14:paraId="5FC950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the exposure measured in a valid and reliable way? </w:t>
            </w:r>
          </w:p>
        </w:tc>
        <w:tc>
          <w:tcPr>
            <w:tcW w:w="1542" w:type="dxa"/>
            <w:shd w:val="clear" w:color="auto" w:fill="D9E2F3" w:themeFill="accent1" w:themeFillTint="33"/>
            <w:textDirection w:val="btLr"/>
          </w:tcPr>
          <w:p w14:paraId="49293DF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objective, standard criteria used for measurement of the condition?</w:t>
            </w:r>
          </w:p>
        </w:tc>
        <w:tc>
          <w:tcPr>
            <w:tcW w:w="952" w:type="dxa"/>
            <w:shd w:val="clear" w:color="auto" w:fill="D9E2F3" w:themeFill="accent1" w:themeFillTint="33"/>
            <w:textDirection w:val="btLr"/>
          </w:tcPr>
          <w:p w14:paraId="4E39FD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confounding factors identified? </w:t>
            </w:r>
          </w:p>
        </w:tc>
        <w:tc>
          <w:tcPr>
            <w:tcW w:w="1253" w:type="dxa"/>
            <w:shd w:val="clear" w:color="auto" w:fill="D9E2F3" w:themeFill="accent1" w:themeFillTint="33"/>
            <w:textDirection w:val="btLr"/>
          </w:tcPr>
          <w:p w14:paraId="21BB0A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strategies to deal with confounding factors stated? </w:t>
            </w:r>
          </w:p>
        </w:tc>
        <w:tc>
          <w:tcPr>
            <w:tcW w:w="1221" w:type="dxa"/>
            <w:shd w:val="clear" w:color="auto" w:fill="D9E2F3" w:themeFill="accent1" w:themeFillTint="33"/>
            <w:textDirection w:val="btLr"/>
          </w:tcPr>
          <w:p w14:paraId="1F8AA4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the outcomes measured in a valid and reliable way?</w:t>
            </w:r>
          </w:p>
        </w:tc>
        <w:tc>
          <w:tcPr>
            <w:tcW w:w="955" w:type="dxa"/>
            <w:shd w:val="clear" w:color="auto" w:fill="D9E2F3" w:themeFill="accent1" w:themeFillTint="33"/>
            <w:textDirection w:val="btLr"/>
          </w:tcPr>
          <w:p w14:paraId="3AA66A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appropriate statistical analysis used? </w:t>
            </w:r>
          </w:p>
        </w:tc>
        <w:tc>
          <w:tcPr>
            <w:tcW w:w="963" w:type="dxa"/>
            <w:vMerge w:val="continue"/>
            <w:shd w:val="clear" w:color="auto" w:fill="FBE4D5" w:themeFill="accent2" w:themeFillTint="33"/>
          </w:tcPr>
          <w:p w14:paraId="24D3A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22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764CC513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(Artiola, 2025)</w:t>
            </w:r>
          </w:p>
        </w:tc>
        <w:tc>
          <w:tcPr>
            <w:tcW w:w="970" w:type="dxa"/>
            <w:vAlign w:val="top"/>
          </w:tcPr>
          <w:p w14:paraId="7A31708C">
            <w:pPr>
              <w:widowControl w:val="0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97" w:type="dxa"/>
          </w:tcPr>
          <w:p w14:paraId="55B7946F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</w:tcPr>
          <w:p w14:paraId="7EC63D9D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</w:tcPr>
          <w:p w14:paraId="1636A154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</w:tcPr>
          <w:p w14:paraId="48D7DF91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</w:tcPr>
          <w:p w14:paraId="1CA8A587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</w:tcPr>
          <w:p w14:paraId="0CE2FC72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</w:tcPr>
          <w:p w14:paraId="7AFB5111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</w:tcPr>
          <w:p w14:paraId="1661E719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44EB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27FB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3FBB9F69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(Esomonu et al., 2025)</w:t>
            </w:r>
          </w:p>
        </w:tc>
        <w:tc>
          <w:tcPr>
            <w:tcW w:w="970" w:type="dxa"/>
            <w:vAlign w:val="top"/>
          </w:tcPr>
          <w:p w14:paraId="1BDF5D55">
            <w:pPr>
              <w:widowControl w:val="0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97" w:type="dxa"/>
          </w:tcPr>
          <w:p w14:paraId="630C45B7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</w:tcPr>
          <w:p w14:paraId="68DB7464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</w:tcPr>
          <w:p w14:paraId="460D0448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</w:tcPr>
          <w:p w14:paraId="7C6A23D5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</w:tcPr>
          <w:p w14:paraId="0EED8EE1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</w:tcPr>
          <w:p w14:paraId="4A8F01D0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</w:tcPr>
          <w:p w14:paraId="6B456B9E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</w:tcPr>
          <w:p w14:paraId="613E6B2E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32A2B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5415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647EFA10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(Ghaffar &amp; Amjad, 2025)</w:t>
            </w:r>
          </w:p>
        </w:tc>
        <w:tc>
          <w:tcPr>
            <w:tcW w:w="970" w:type="dxa"/>
            <w:vAlign w:val="top"/>
          </w:tcPr>
          <w:p w14:paraId="764C280D">
            <w:pPr>
              <w:widowControl w:val="0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97" w:type="dxa"/>
          </w:tcPr>
          <w:p w14:paraId="62A97EAB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</w:tcPr>
          <w:p w14:paraId="1B6D6161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</w:tcPr>
          <w:p w14:paraId="4E3D985C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</w:tcPr>
          <w:p w14:paraId="2C0ADE42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</w:tcPr>
          <w:p w14:paraId="37FD65D7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</w:tcPr>
          <w:p w14:paraId="0F38B71C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</w:tcPr>
          <w:p w14:paraId="0DD56406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</w:tcPr>
          <w:p w14:paraId="4E6AEC28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76F29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4E08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46E9D6D2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8672E9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(Covington, 2025)</w:t>
            </w:r>
          </w:p>
        </w:tc>
        <w:tc>
          <w:tcPr>
            <w:tcW w:w="970" w:type="dxa"/>
            <w:vAlign w:val="top"/>
          </w:tcPr>
          <w:p w14:paraId="6FB0F95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004</w:t>
            </w:r>
          </w:p>
        </w:tc>
        <w:tc>
          <w:tcPr>
            <w:tcW w:w="1397" w:type="dxa"/>
          </w:tcPr>
          <w:p w14:paraId="735A894C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73520AD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2D76B90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3EA593D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7126805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6D15870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6DE91AA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2AFC10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4B8BD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1E3F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3E1FBF14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(Chen et al., 2023)</w:t>
            </w:r>
          </w:p>
        </w:tc>
        <w:tc>
          <w:tcPr>
            <w:tcW w:w="970" w:type="dxa"/>
            <w:vAlign w:val="top"/>
          </w:tcPr>
          <w:p w14:paraId="62F2384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005</w:t>
            </w:r>
          </w:p>
        </w:tc>
        <w:tc>
          <w:tcPr>
            <w:tcW w:w="1397" w:type="dxa"/>
          </w:tcPr>
          <w:p w14:paraId="01661015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38394A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29EA85C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251B616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2673E5F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474AD84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1D57EC9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11B492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1ED2F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0F05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5703E343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Ondrejková and Halamová (2022)</w:t>
            </w:r>
          </w:p>
        </w:tc>
        <w:tc>
          <w:tcPr>
            <w:tcW w:w="970" w:type="dxa"/>
            <w:vAlign w:val="top"/>
          </w:tcPr>
          <w:p w14:paraId="4B32746E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006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69A979C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25B27F2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4BC487D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4D9BC49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6BD23A0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7B0A43C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53D77D4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vAlign w:val="top"/>
          </w:tcPr>
          <w:p w14:paraId="0CED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0BAD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30CA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71C8271E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Levkovich and Ricon (2020)</w:t>
            </w:r>
          </w:p>
        </w:tc>
        <w:tc>
          <w:tcPr>
            <w:tcW w:w="970" w:type="dxa"/>
            <w:vAlign w:val="top"/>
          </w:tcPr>
          <w:p w14:paraId="2691AC5A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007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3D8DB55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007195E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208FAE1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4316313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456A412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1851C88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1486198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78E95B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3411F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6294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09B9E544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Fleckman et al. (2022)</w:t>
            </w:r>
          </w:p>
        </w:tc>
        <w:tc>
          <w:tcPr>
            <w:tcW w:w="970" w:type="dxa"/>
            <w:vAlign w:val="top"/>
          </w:tcPr>
          <w:p w14:paraId="3B9D21C4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008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162541A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2E54A1A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7FC9378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6565713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7FB640F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0DE6739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5CEC012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4F5049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6BE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35E2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6EE68A74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Hupe and Stevenson (2019)</w:t>
            </w:r>
          </w:p>
        </w:tc>
        <w:tc>
          <w:tcPr>
            <w:tcW w:w="970" w:type="dxa"/>
            <w:vAlign w:val="top"/>
          </w:tcPr>
          <w:p w14:paraId="1D5A6D0B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009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3115FDD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3B8C9F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5329224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6C141EC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5AEDD29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70B404E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452BFD6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43A57E8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3EF4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4477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5987B54E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Fu et al., 2020</w:t>
            </w:r>
          </w:p>
        </w:tc>
        <w:tc>
          <w:tcPr>
            <w:tcW w:w="970" w:type="dxa"/>
            <w:vAlign w:val="top"/>
          </w:tcPr>
          <w:p w14:paraId="4643523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010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1FB602D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2498ADE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10554E8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33B2DE1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70002AD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51797E2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3CE9B9F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D8F449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C47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1C8E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445F4AEB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(De Stasio et al., 2017</w:t>
            </w:r>
          </w:p>
        </w:tc>
        <w:tc>
          <w:tcPr>
            <w:tcW w:w="970" w:type="dxa"/>
            <w:vAlign w:val="top"/>
          </w:tcPr>
          <w:p w14:paraId="16C9EE6B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011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5BCC389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4A2E74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388F1EA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6598C02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30110BF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19059EA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07A38FC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8CED65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20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2A9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10AC47DA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Olagunju et al. (2020)</w:t>
            </w:r>
          </w:p>
        </w:tc>
        <w:tc>
          <w:tcPr>
            <w:tcW w:w="970" w:type="dxa"/>
            <w:vAlign w:val="top"/>
          </w:tcPr>
          <w:p w14:paraId="3C4D428C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012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7AFED23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1CD394A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7BF96F5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2B31B68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2D33081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19C95D8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5D15C65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767616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440FB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3272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276C385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Ervasti et al. (2011)</w:t>
            </w:r>
          </w:p>
        </w:tc>
        <w:tc>
          <w:tcPr>
            <w:tcW w:w="970" w:type="dxa"/>
            <w:vAlign w:val="top"/>
          </w:tcPr>
          <w:p w14:paraId="7DBA469B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013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6E33A2D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DFA052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0BA502F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5470588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750060B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2A8A74F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1CB5FB9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0C811A0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4FD1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6FD0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648A075F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Steen (2019)</w:t>
            </w:r>
          </w:p>
        </w:tc>
        <w:tc>
          <w:tcPr>
            <w:tcW w:w="970" w:type="dxa"/>
            <w:vAlign w:val="top"/>
          </w:tcPr>
          <w:p w14:paraId="1E49B8A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014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0D3DC32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1574528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2A8F216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5001E2E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736BB53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06145A1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55D042D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31A2592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3C42F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0617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1AC2BD0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Sutjiono et al. (2020)</w:t>
            </w:r>
          </w:p>
        </w:tc>
        <w:tc>
          <w:tcPr>
            <w:tcW w:w="970" w:type="dxa"/>
            <w:vAlign w:val="top"/>
          </w:tcPr>
          <w:p w14:paraId="3BDA9F44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015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4D1CD8D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66B82BA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426F038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37E625E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134A12E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1BC3C99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4118622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F79EE3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63B3D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1EB7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31CCDCAF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Darawsheh et al. (2023)</w:t>
            </w:r>
          </w:p>
        </w:tc>
        <w:tc>
          <w:tcPr>
            <w:tcW w:w="970" w:type="dxa"/>
            <w:vAlign w:val="top"/>
          </w:tcPr>
          <w:p w14:paraId="1B3AF287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016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3F76ED6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07F33E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3AF725C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3671C6C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45E34E3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3C3CFF0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0B10A85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91670D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0CF49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477A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5B6009C6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Foteini et al. (2020)</w:t>
            </w:r>
          </w:p>
        </w:tc>
        <w:tc>
          <w:tcPr>
            <w:tcW w:w="970" w:type="dxa"/>
            <w:vAlign w:val="top"/>
          </w:tcPr>
          <w:p w14:paraId="0E63E05A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017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28A293F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0014531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26C353D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2E7466C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4298AC1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760E3A6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1AE46C8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48240CF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A1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7C85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3445884F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Bozgeyikli (2018)</w:t>
            </w:r>
          </w:p>
        </w:tc>
        <w:tc>
          <w:tcPr>
            <w:tcW w:w="970" w:type="dxa"/>
            <w:vAlign w:val="top"/>
          </w:tcPr>
          <w:p w14:paraId="6A8B10E5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018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741404F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F10826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776691A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34EFED9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737AC63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48124E2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014DB7F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D9656B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B8A8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0B2C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673AC9B6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Vang et al. (2022)</w:t>
            </w:r>
          </w:p>
        </w:tc>
        <w:tc>
          <w:tcPr>
            <w:tcW w:w="970" w:type="dxa"/>
            <w:vAlign w:val="top"/>
          </w:tcPr>
          <w:p w14:paraId="55593810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019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5AC89BB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D09EC5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60BD401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575094C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4969BCF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78831B8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58C50FE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AFFA10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5BD1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26B5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2CA138E2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Holding et al. (2024)</w:t>
            </w:r>
          </w:p>
        </w:tc>
        <w:tc>
          <w:tcPr>
            <w:tcW w:w="970" w:type="dxa"/>
            <w:vAlign w:val="top"/>
          </w:tcPr>
          <w:p w14:paraId="400FFD5C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020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4077824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3CE693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60A7210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06AAA5F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5BACE25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1273407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6A7D563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562852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0F9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1AB4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6F7C5869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Kendrick et al. (2025)</w:t>
            </w:r>
          </w:p>
        </w:tc>
        <w:tc>
          <w:tcPr>
            <w:tcW w:w="970" w:type="dxa"/>
            <w:vAlign w:val="top"/>
          </w:tcPr>
          <w:p w14:paraId="2E17C23E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021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20C7F11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9BAE2C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3F8C0F5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7C99162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658C4BF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1BA157A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5E2F1F7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704E639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DCD8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6F36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65" w:type="dxa"/>
            <w:vAlign w:val="top"/>
          </w:tcPr>
          <w:p w14:paraId="0F688248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Kendrick (2022)</w:t>
            </w:r>
          </w:p>
        </w:tc>
        <w:tc>
          <w:tcPr>
            <w:tcW w:w="970" w:type="dxa"/>
            <w:vAlign w:val="top"/>
          </w:tcPr>
          <w:p w14:paraId="57C29D39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022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26258F3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E84CFE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373D1B2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7152CC9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3D27045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0426347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389924C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45E8F8A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08A6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1B8C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20FF24B2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Donahoo et al. (2017)</w:t>
            </w:r>
          </w:p>
        </w:tc>
        <w:tc>
          <w:tcPr>
            <w:tcW w:w="970" w:type="dxa"/>
            <w:vAlign w:val="top"/>
          </w:tcPr>
          <w:p w14:paraId="28E4CB65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023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6CAD1A0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B4D909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6FB0648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15DA02B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5EA4561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3059980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392605C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42BDE5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17DB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013A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12324819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Pérez-Chacón et al. (2021)</w:t>
            </w:r>
          </w:p>
        </w:tc>
        <w:tc>
          <w:tcPr>
            <w:tcW w:w="970" w:type="dxa"/>
            <w:vAlign w:val="top"/>
          </w:tcPr>
          <w:p w14:paraId="3F9D5549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024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6F8AB98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BEC997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1EE838B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5A29C2C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036ECE9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3F48BAF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0F4186E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9E7306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6A8B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14:paraId="4CDF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5" w:type="dxa"/>
            <w:vAlign w:val="top"/>
          </w:tcPr>
          <w:p w14:paraId="715B2E1B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(Conrad &amp; Kellar-Guenther, 2006)</w:t>
            </w:r>
          </w:p>
        </w:tc>
        <w:tc>
          <w:tcPr>
            <w:tcW w:w="970" w:type="dxa"/>
            <w:vAlign w:val="top"/>
          </w:tcPr>
          <w:p w14:paraId="27B87475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025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63AC9E5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6455FD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02D1086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1604E38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58AA5FD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4650A93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47FCA86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125092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1A62A6C8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6/8</w:t>
            </w:r>
          </w:p>
        </w:tc>
      </w:tr>
      <w:tr w14:paraId="393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65" w:type="dxa"/>
            <w:vAlign w:val="top"/>
          </w:tcPr>
          <w:p w14:paraId="7D47F8F6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Nnubia et al. (2022)</w:t>
            </w:r>
          </w:p>
        </w:tc>
        <w:tc>
          <w:tcPr>
            <w:tcW w:w="970" w:type="dxa"/>
            <w:vAlign w:val="top"/>
          </w:tcPr>
          <w:p w14:paraId="331A9791">
            <w:pPr>
              <w:widowControl w:val="0"/>
              <w:spacing w:line="240" w:lineRule="auto"/>
              <w:ind w:left="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026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1B87EAF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37341C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84" w:type="dxa"/>
            <w:shd w:val="clear" w:color="auto" w:fill="auto"/>
            <w:vAlign w:val="top"/>
          </w:tcPr>
          <w:p w14:paraId="641785A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42" w:type="dxa"/>
            <w:shd w:val="clear" w:color="auto" w:fill="auto"/>
            <w:vAlign w:val="top"/>
          </w:tcPr>
          <w:p w14:paraId="6A9E35E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2" w:type="dxa"/>
            <w:shd w:val="clear" w:color="auto" w:fill="auto"/>
            <w:vAlign w:val="top"/>
          </w:tcPr>
          <w:p w14:paraId="3EC7ABD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53" w:type="dxa"/>
            <w:shd w:val="clear" w:color="auto" w:fill="auto"/>
            <w:vAlign w:val="top"/>
          </w:tcPr>
          <w:p w14:paraId="5BB5581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21" w:type="dxa"/>
            <w:shd w:val="clear" w:color="auto" w:fill="auto"/>
            <w:vAlign w:val="top"/>
          </w:tcPr>
          <w:p w14:paraId="4B28643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375C91D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3" w:type="dxa"/>
          </w:tcPr>
          <w:p w14:paraId="29F3C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</w:tbl>
    <w:p w14:paraId="64CFD711">
      <w:pPr>
        <w:rPr>
          <w:rFonts w:ascii="Times New Roman" w:hAnsi="Times New Roman" w:cs="Times New Roman"/>
          <w:sz w:val="24"/>
          <w:szCs w:val="24"/>
        </w:rPr>
      </w:pPr>
    </w:p>
    <w:p w14:paraId="1E88762B">
      <w:pPr>
        <w:rPr>
          <w:rFonts w:ascii="Times New Roman" w:hAnsi="Times New Roman" w:cs="Times New Roman"/>
          <w:sz w:val="24"/>
          <w:szCs w:val="24"/>
        </w:rPr>
      </w:pPr>
    </w:p>
    <w:p w14:paraId="0B253135">
      <w:pPr>
        <w:rPr>
          <w:rFonts w:ascii="Times New Roman" w:hAnsi="Times New Roman" w:cs="Times New Roman"/>
          <w:sz w:val="24"/>
          <w:szCs w:val="24"/>
        </w:rPr>
      </w:pPr>
    </w:p>
    <w:p w14:paraId="6C61A5C8">
      <w:pPr>
        <w:rPr>
          <w:rFonts w:ascii="Times New Roman" w:hAnsi="Times New Roman" w:cs="Times New Roman"/>
          <w:sz w:val="24"/>
          <w:szCs w:val="24"/>
        </w:rPr>
      </w:pPr>
    </w:p>
    <w:p w14:paraId="0BE16E65">
      <w:pPr>
        <w:rPr>
          <w:rFonts w:ascii="Times New Roman" w:hAnsi="Times New Roman" w:cs="Times New Roman"/>
          <w:sz w:val="24"/>
          <w:szCs w:val="24"/>
        </w:rPr>
      </w:pPr>
    </w:p>
    <w:p w14:paraId="01B466FA">
      <w:pPr>
        <w:rPr>
          <w:rFonts w:ascii="Times New Roman" w:hAnsi="Times New Roman" w:cs="Times New Roman"/>
          <w:sz w:val="24"/>
          <w:szCs w:val="24"/>
        </w:rPr>
      </w:pPr>
    </w:p>
    <w:p w14:paraId="5FF9936D">
      <w:pPr>
        <w:rPr>
          <w:rFonts w:ascii="Times New Roman" w:hAnsi="Times New Roman" w:cs="Times New Roman"/>
          <w:sz w:val="24"/>
          <w:szCs w:val="24"/>
        </w:rPr>
      </w:pPr>
    </w:p>
    <w:p w14:paraId="28A4D346">
      <w:pPr>
        <w:rPr>
          <w:rFonts w:ascii="Times New Roman" w:hAnsi="Times New Roman" w:cs="Times New Roman"/>
          <w:sz w:val="24"/>
          <w:szCs w:val="24"/>
        </w:rPr>
      </w:pPr>
    </w:p>
    <w:p w14:paraId="28900D3A">
      <w:pPr>
        <w:rPr>
          <w:rFonts w:ascii="Times New Roman" w:hAnsi="Times New Roman" w:cs="Times New Roman"/>
          <w:sz w:val="24"/>
          <w:szCs w:val="24"/>
        </w:rPr>
      </w:pPr>
    </w:p>
    <w:p w14:paraId="21D73FBC">
      <w:pPr>
        <w:rPr>
          <w:rFonts w:ascii="Times New Roman" w:hAnsi="Times New Roman" w:cs="Times New Roman"/>
          <w:sz w:val="24"/>
          <w:szCs w:val="24"/>
        </w:rPr>
      </w:pPr>
    </w:p>
    <w:p w14:paraId="621069AD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  <w:lang w:val="en-US"/>
        </w:rPr>
        <w:t xml:space="preserve">S 6.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Critical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appraisal for  qualitative research </w:t>
      </w:r>
    </w:p>
    <w:p w14:paraId="039521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313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876"/>
        <w:gridCol w:w="998"/>
        <w:gridCol w:w="964"/>
        <w:gridCol w:w="981"/>
        <w:gridCol w:w="1016"/>
        <w:gridCol w:w="981"/>
        <w:gridCol w:w="727"/>
        <w:gridCol w:w="744"/>
        <w:gridCol w:w="754"/>
        <w:gridCol w:w="1287"/>
        <w:gridCol w:w="1016"/>
        <w:gridCol w:w="824"/>
      </w:tblGrid>
      <w:tr w14:paraId="12F4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62" w:type="dxa"/>
            <w:vMerge w:val="restart"/>
            <w:shd w:val="clear" w:color="auto" w:fill="FBE4D5" w:themeFill="accent2" w:themeFillTint="33"/>
          </w:tcPr>
          <w:p w14:paraId="4092CB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Author(s), </w:t>
            </w:r>
          </w:p>
          <w:p w14:paraId="32512F9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876" w:type="dxa"/>
            <w:vMerge w:val="restart"/>
            <w:shd w:val="clear" w:color="auto" w:fill="FBE4D5" w:themeFill="accent2" w:themeFillTint="33"/>
          </w:tcPr>
          <w:p w14:paraId="6F9CA44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Study ID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68" w:type="dxa"/>
            <w:gridSpan w:val="10"/>
            <w:shd w:val="clear" w:color="auto" w:fill="FBE4D5" w:themeFill="accent2" w:themeFillTint="33"/>
          </w:tcPr>
          <w:p w14:paraId="242AA7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Joanna Briggs Institute Checklist Questions for Qualitative Research</w:t>
            </w:r>
          </w:p>
        </w:tc>
        <w:tc>
          <w:tcPr>
            <w:tcW w:w="824" w:type="dxa"/>
            <w:vMerge w:val="restart"/>
            <w:shd w:val="clear" w:color="auto" w:fill="FBE4D5" w:themeFill="accent2" w:themeFillTint="33"/>
          </w:tcPr>
          <w:p w14:paraId="13071D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Score </w:t>
            </w:r>
          </w:p>
        </w:tc>
      </w:tr>
      <w:tr w14:paraId="0C82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</w:trPr>
        <w:tc>
          <w:tcPr>
            <w:tcW w:w="1962" w:type="dxa"/>
            <w:vMerge w:val="continue"/>
            <w:shd w:val="clear" w:color="auto" w:fill="FBE4D5" w:themeFill="accent2" w:themeFillTint="33"/>
          </w:tcPr>
          <w:p w14:paraId="578D80F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shd w:val="clear" w:color="auto" w:fill="FBE4D5" w:themeFill="accent2" w:themeFillTint="33"/>
          </w:tcPr>
          <w:p w14:paraId="6A9890F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D9E2F3" w:themeFill="accent1" w:themeFillTint="33"/>
            <w:textDirection w:val="btLr"/>
          </w:tcPr>
          <w:p w14:paraId="79FD3CE6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 there congruity between the stated philosophical perspective and the research methodology?</w:t>
            </w:r>
          </w:p>
        </w:tc>
        <w:tc>
          <w:tcPr>
            <w:tcW w:w="964" w:type="dxa"/>
            <w:shd w:val="clear" w:color="auto" w:fill="D9E2F3" w:themeFill="accent1" w:themeFillTint="33"/>
            <w:textDirection w:val="btLr"/>
          </w:tcPr>
          <w:p w14:paraId="03162B1C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Is there congruity between the research methodology and the research question or objectives? </w:t>
            </w:r>
          </w:p>
        </w:tc>
        <w:tc>
          <w:tcPr>
            <w:tcW w:w="981" w:type="dxa"/>
            <w:shd w:val="clear" w:color="auto" w:fill="D9E2F3" w:themeFill="accent1" w:themeFillTint="33"/>
            <w:textDirection w:val="btLr"/>
          </w:tcPr>
          <w:p w14:paraId="048085DA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 there congruity between the research methodology and the methods used to collect data?</w:t>
            </w:r>
          </w:p>
        </w:tc>
        <w:tc>
          <w:tcPr>
            <w:tcW w:w="1016" w:type="dxa"/>
            <w:shd w:val="clear" w:color="auto" w:fill="D9E2F3" w:themeFill="accent1" w:themeFillTint="33"/>
            <w:textDirection w:val="btLr"/>
          </w:tcPr>
          <w:p w14:paraId="519BA3E9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 there congruity between the research methodology and the representation and analysis of data?</w:t>
            </w:r>
          </w:p>
        </w:tc>
        <w:tc>
          <w:tcPr>
            <w:tcW w:w="981" w:type="dxa"/>
            <w:shd w:val="clear" w:color="auto" w:fill="D9E2F3" w:themeFill="accent1" w:themeFillTint="33"/>
            <w:textDirection w:val="btLr"/>
          </w:tcPr>
          <w:p w14:paraId="5AEBF674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Is there congruity, between the research methodology and the interpretation of results? </w:t>
            </w:r>
          </w:p>
        </w:tc>
        <w:tc>
          <w:tcPr>
            <w:tcW w:w="727" w:type="dxa"/>
            <w:shd w:val="clear" w:color="auto" w:fill="D9E2F3" w:themeFill="accent1" w:themeFillTint="33"/>
            <w:textDirection w:val="btLr"/>
          </w:tcPr>
          <w:p w14:paraId="295AA260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 there a statement locating the researcher culturally or theoretically?</w:t>
            </w:r>
          </w:p>
        </w:tc>
        <w:tc>
          <w:tcPr>
            <w:tcW w:w="744" w:type="dxa"/>
            <w:shd w:val="clear" w:color="auto" w:fill="D9E2F3" w:themeFill="accent1" w:themeFillTint="33"/>
            <w:textDirection w:val="btLr"/>
          </w:tcPr>
          <w:p w14:paraId="1513F560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 the influence of the researcher on the research, and vice-versa, addressed?</w:t>
            </w:r>
          </w:p>
        </w:tc>
        <w:tc>
          <w:tcPr>
            <w:tcW w:w="754" w:type="dxa"/>
            <w:shd w:val="clear" w:color="auto" w:fill="D9E2F3" w:themeFill="accent1" w:themeFillTint="33"/>
            <w:textDirection w:val="btLr"/>
          </w:tcPr>
          <w:p w14:paraId="3425B05D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Are participants, and their voices, adequately represented?</w:t>
            </w:r>
          </w:p>
        </w:tc>
        <w:tc>
          <w:tcPr>
            <w:tcW w:w="1287" w:type="dxa"/>
            <w:shd w:val="clear" w:color="auto" w:fill="D9E2F3" w:themeFill="accent1" w:themeFillTint="33"/>
            <w:textDirection w:val="btLr"/>
          </w:tcPr>
          <w:p w14:paraId="0C92A37C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 the research ethical according to current criteria or, for recent studies, and is there evidence of ethical approval by an appropriate body?</w:t>
            </w:r>
          </w:p>
        </w:tc>
        <w:tc>
          <w:tcPr>
            <w:tcW w:w="1016" w:type="dxa"/>
            <w:shd w:val="clear" w:color="auto" w:fill="D9E2F3" w:themeFill="accent1" w:themeFillTint="33"/>
            <w:textDirection w:val="btLr"/>
          </w:tcPr>
          <w:p w14:paraId="54286584">
            <w:pPr>
              <w:ind w:left="113" w:right="1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Do the conclusions drawing in the research report flow from the analysis, or interpretation, of the data? </w:t>
            </w:r>
          </w:p>
        </w:tc>
        <w:tc>
          <w:tcPr>
            <w:tcW w:w="824" w:type="dxa"/>
            <w:vMerge w:val="continue"/>
            <w:shd w:val="clear" w:color="auto" w:fill="FBE4D5" w:themeFill="accent2" w:themeFillTint="33"/>
          </w:tcPr>
          <w:p w14:paraId="39B915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1D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53822264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Kanmani 2022</w:t>
            </w:r>
          </w:p>
        </w:tc>
        <w:tc>
          <w:tcPr>
            <w:tcW w:w="876" w:type="dxa"/>
            <w:vAlign w:val="top"/>
          </w:tcPr>
          <w:p w14:paraId="426E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001</w:t>
            </w:r>
          </w:p>
        </w:tc>
        <w:tc>
          <w:tcPr>
            <w:tcW w:w="998" w:type="dxa"/>
          </w:tcPr>
          <w:p w14:paraId="198824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64" w:type="dxa"/>
          </w:tcPr>
          <w:p w14:paraId="16E518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</w:tcPr>
          <w:p w14:paraId="6DFB1B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</w:tcPr>
          <w:p w14:paraId="556C85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</w:tcPr>
          <w:p w14:paraId="3F4E72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</w:tcPr>
          <w:p w14:paraId="3F799E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</w:tcPr>
          <w:p w14:paraId="37B82AE8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</w:tcPr>
          <w:p w14:paraId="2F52C8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7" w:type="dxa"/>
          </w:tcPr>
          <w:p w14:paraId="15D7E031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16" w:type="dxa"/>
          </w:tcPr>
          <w:p w14:paraId="15C075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1358E3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8/10</w:t>
            </w:r>
          </w:p>
        </w:tc>
      </w:tr>
      <w:tr w14:paraId="2DBE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430F3B45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Sawatske 2024</w:t>
            </w:r>
          </w:p>
        </w:tc>
        <w:tc>
          <w:tcPr>
            <w:tcW w:w="876" w:type="dxa"/>
            <w:vAlign w:val="top"/>
          </w:tcPr>
          <w:p w14:paraId="3A61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002</w:t>
            </w:r>
          </w:p>
        </w:tc>
        <w:tc>
          <w:tcPr>
            <w:tcW w:w="998" w:type="dxa"/>
          </w:tcPr>
          <w:p w14:paraId="4D716244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4" w:type="dxa"/>
          </w:tcPr>
          <w:p w14:paraId="11D399E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</w:tcPr>
          <w:p w14:paraId="7DC40C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</w:tcPr>
          <w:p w14:paraId="6521A0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</w:tcPr>
          <w:p w14:paraId="56188D9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</w:tcPr>
          <w:p w14:paraId="06FCFA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</w:tcPr>
          <w:p w14:paraId="3228AADE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</w:tcPr>
          <w:p w14:paraId="5D2FC417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7" w:type="dxa"/>
          </w:tcPr>
          <w:p w14:paraId="0C827E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</w:tcPr>
          <w:p w14:paraId="052C537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108A893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027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0650D68E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Paterson 2021</w:t>
            </w:r>
          </w:p>
        </w:tc>
        <w:tc>
          <w:tcPr>
            <w:tcW w:w="876" w:type="dxa"/>
            <w:vAlign w:val="top"/>
          </w:tcPr>
          <w:p w14:paraId="6643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003</w:t>
            </w:r>
          </w:p>
        </w:tc>
        <w:tc>
          <w:tcPr>
            <w:tcW w:w="998" w:type="dxa"/>
            <w:vAlign w:val="top"/>
          </w:tcPr>
          <w:p w14:paraId="4CDDA6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4" w:type="dxa"/>
            <w:vAlign w:val="top"/>
          </w:tcPr>
          <w:p w14:paraId="6E48866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vAlign w:val="top"/>
          </w:tcPr>
          <w:p w14:paraId="6F5960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vAlign w:val="top"/>
          </w:tcPr>
          <w:p w14:paraId="52CABB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vAlign w:val="top"/>
          </w:tcPr>
          <w:p w14:paraId="468E609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  <w:vAlign w:val="top"/>
          </w:tcPr>
          <w:p w14:paraId="5F1B858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  <w:vAlign w:val="top"/>
          </w:tcPr>
          <w:p w14:paraId="3DDE40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  <w:vAlign w:val="top"/>
          </w:tcPr>
          <w:p w14:paraId="125461B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7" w:type="dxa"/>
            <w:vAlign w:val="top"/>
          </w:tcPr>
          <w:p w14:paraId="4A34C0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vAlign w:val="top"/>
          </w:tcPr>
          <w:p w14:paraId="64BE83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7BBD16F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7/10</w:t>
            </w:r>
          </w:p>
        </w:tc>
      </w:tr>
      <w:tr w14:paraId="08CA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150BCDC8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Ziaian-Ghafari 2019</w:t>
            </w:r>
          </w:p>
        </w:tc>
        <w:tc>
          <w:tcPr>
            <w:tcW w:w="876" w:type="dxa"/>
            <w:vAlign w:val="top"/>
          </w:tcPr>
          <w:p w14:paraId="00E2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004</w:t>
            </w:r>
          </w:p>
        </w:tc>
        <w:tc>
          <w:tcPr>
            <w:tcW w:w="998" w:type="dxa"/>
          </w:tcPr>
          <w:p w14:paraId="0046E90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64" w:type="dxa"/>
          </w:tcPr>
          <w:p w14:paraId="3B674D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</w:tcPr>
          <w:p w14:paraId="05101C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</w:tcPr>
          <w:p w14:paraId="563365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</w:tcPr>
          <w:p w14:paraId="0CD4526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</w:tcPr>
          <w:p w14:paraId="486AA5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44" w:type="dxa"/>
          </w:tcPr>
          <w:p w14:paraId="3E5CA0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54" w:type="dxa"/>
          </w:tcPr>
          <w:p w14:paraId="027AD04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7" w:type="dxa"/>
          </w:tcPr>
          <w:p w14:paraId="3C94B7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</w:tcPr>
          <w:p w14:paraId="3057C5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324E81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9/10</w:t>
            </w:r>
          </w:p>
        </w:tc>
      </w:tr>
      <w:tr w14:paraId="184B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4F8CA627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Tepper 2007</w:t>
            </w:r>
          </w:p>
        </w:tc>
        <w:tc>
          <w:tcPr>
            <w:tcW w:w="876" w:type="dxa"/>
            <w:vAlign w:val="top"/>
          </w:tcPr>
          <w:p w14:paraId="61CE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005</w:t>
            </w:r>
          </w:p>
        </w:tc>
        <w:tc>
          <w:tcPr>
            <w:tcW w:w="998" w:type="dxa"/>
            <w:vAlign w:val="top"/>
          </w:tcPr>
          <w:p w14:paraId="5B88522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64" w:type="dxa"/>
            <w:vAlign w:val="top"/>
          </w:tcPr>
          <w:p w14:paraId="17C5BF2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vAlign w:val="top"/>
          </w:tcPr>
          <w:p w14:paraId="1843DC9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vAlign w:val="top"/>
          </w:tcPr>
          <w:p w14:paraId="7E7366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vAlign w:val="top"/>
          </w:tcPr>
          <w:p w14:paraId="2C3E72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  <w:vAlign w:val="top"/>
          </w:tcPr>
          <w:p w14:paraId="72AED0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  <w:vAlign w:val="top"/>
          </w:tcPr>
          <w:p w14:paraId="379052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  <w:vAlign w:val="top"/>
          </w:tcPr>
          <w:p w14:paraId="36AE88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7" w:type="dxa"/>
            <w:vAlign w:val="top"/>
          </w:tcPr>
          <w:p w14:paraId="60B7A1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16" w:type="dxa"/>
            <w:vAlign w:val="top"/>
          </w:tcPr>
          <w:p w14:paraId="7FACD7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24C4430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8/10</w:t>
            </w:r>
          </w:p>
        </w:tc>
      </w:tr>
      <w:tr w14:paraId="37D8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019A1A12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Davis 2011</w:t>
            </w:r>
          </w:p>
        </w:tc>
        <w:tc>
          <w:tcPr>
            <w:tcW w:w="876" w:type="dxa"/>
            <w:vAlign w:val="top"/>
          </w:tcPr>
          <w:p w14:paraId="5A19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006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1689E98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22CD14A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5D3267E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563CCE3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3DEDDAF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24195E0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14F6633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  <w:shd w:val="clear" w:color="auto" w:fill="auto"/>
            <w:vAlign w:val="top"/>
          </w:tcPr>
          <w:p w14:paraId="64C0B27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457775C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5AB57F4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59EF1B0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8/10</w:t>
            </w:r>
          </w:p>
        </w:tc>
      </w:tr>
      <w:tr w14:paraId="40BC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05F10859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Oberg 2023</w:t>
            </w:r>
          </w:p>
        </w:tc>
        <w:tc>
          <w:tcPr>
            <w:tcW w:w="876" w:type="dxa"/>
            <w:vAlign w:val="top"/>
          </w:tcPr>
          <w:p w14:paraId="78C8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007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2187299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7A2A2D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1842445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67810BA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10F1EF5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7556636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54E8F2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  <w:shd w:val="clear" w:color="auto" w:fill="auto"/>
            <w:vAlign w:val="top"/>
          </w:tcPr>
          <w:p w14:paraId="0837184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12AEE7F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257F08F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2049E8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/10</w:t>
            </w:r>
          </w:p>
        </w:tc>
      </w:tr>
      <w:tr w14:paraId="5082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vAlign w:val="center"/>
          </w:tcPr>
          <w:p w14:paraId="20527676">
            <w:p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Geoffrion 2016</w:t>
            </w:r>
          </w:p>
        </w:tc>
        <w:tc>
          <w:tcPr>
            <w:tcW w:w="876" w:type="dxa"/>
            <w:vAlign w:val="top"/>
          </w:tcPr>
          <w:p w14:paraId="70BF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008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D39189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6FEF6E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5A42E2F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04DC869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11DA154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711948D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25DD2D8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  <w:shd w:val="clear" w:color="auto" w:fill="auto"/>
            <w:vAlign w:val="top"/>
          </w:tcPr>
          <w:p w14:paraId="71759C3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6B37039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0625F97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27791B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/10</w:t>
            </w:r>
          </w:p>
        </w:tc>
      </w:tr>
      <w:tr w14:paraId="61F7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151ECF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en-US" w:eastAsia="zh-CN" w:bidi="ar"/>
              </w:rPr>
              <w:t>Hoffman 2007</w:t>
            </w:r>
          </w:p>
        </w:tc>
        <w:tc>
          <w:tcPr>
            <w:tcW w:w="876" w:type="dxa"/>
            <w:vAlign w:val="top"/>
          </w:tcPr>
          <w:p w14:paraId="6312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38116D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84C3E6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0AE322D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76DF0ED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auto"/>
            <w:vAlign w:val="top"/>
          </w:tcPr>
          <w:p w14:paraId="12E4632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62D7B2A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62DA0DD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754" w:type="dxa"/>
            <w:shd w:val="clear" w:color="auto" w:fill="auto"/>
            <w:vAlign w:val="top"/>
          </w:tcPr>
          <w:p w14:paraId="1BCDE0B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766CB3C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29153C5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CA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24" w:type="dxa"/>
            <w:shd w:val="clear" w:color="auto" w:fill="FBE4D5" w:themeFill="accent2" w:themeFillTint="33"/>
          </w:tcPr>
          <w:p w14:paraId="6503123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/10</w:t>
            </w:r>
          </w:p>
        </w:tc>
      </w:tr>
    </w:tbl>
    <w:p w14:paraId="1CBE47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D635E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 (A</w:t>
      </w:r>
      <w:r>
        <w:rPr>
          <w:rFonts w:hint="default" w:ascii="Times New Roman" w:hAnsi="Times New Roman" w:cs="Times New Roman"/>
          <w:b/>
          <w:bCs/>
          <w:lang w:val="en-US"/>
        </w:rPr>
        <w:t>P</w:t>
      </w:r>
      <w:r>
        <w:rPr>
          <w:rFonts w:ascii="Times New Roman" w:hAnsi="Times New Roman" w:cs="Times New Roman"/>
          <w:b/>
          <w:bCs/>
        </w:rPr>
        <w:t xml:space="preserve">A </w:t>
      </w:r>
      <w:r>
        <w:rPr>
          <w:rFonts w:hint="default" w:ascii="Times New Roman" w:hAnsi="Times New Roman" w:cs="Times New Roman"/>
          <w:b/>
          <w:bCs/>
          <w:lang w:val="en-US"/>
        </w:rPr>
        <w:t>7</w:t>
      </w:r>
      <w:r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ed.)</w:t>
      </w:r>
    </w:p>
    <w:p w14:paraId="383B121D">
      <w:pPr>
        <w:jc w:val="center"/>
        <w:rPr>
          <w:rFonts w:ascii="Times New Roman" w:hAnsi="Times New Roman" w:cs="Times New Roman"/>
          <w:b/>
          <w:bCs/>
        </w:rPr>
      </w:pPr>
    </w:p>
    <w:p w14:paraId="405FC5E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Artiola, A. (2025). Compassion Fatigue, Burnout, and Secondary Traumatic Stress Among Filipino School Counselors. Psychology and Education: A Multidisciplinary Journal, 40(7), 1-1.</w:t>
      </w:r>
    </w:p>
    <w:p w14:paraId="38C3DCF1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Ezenwosu, Ngozi Elizabeth, Nkechi Patricia-Mary Esomonu, Adeline Nne Anyanwu, and Kingsley Ekene Emesi. “Examining the Issue of Teachers’ Compassion in Teaching People With Disabilities (PWDs) in the Regular Classroom.”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International Journal of Research and Innovation in Social Science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IX, no. IIIS (January 1, 2025): 2537–49. https://doi.org/10.47772/ijriss.2025.903sedu0196.</w:t>
      </w:r>
    </w:p>
    <w:p w14:paraId="512B30F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Ghaffar, M., &amp; Amjad, M. (2025). COMPASSION FATIGUE, EMOTIONAL REGULATION, AND FRUSTRATION TOLERANCE IN THE THERAPISTS WORKING WITH SPECIAL NEEDS CHILDREN. International Journal of Social Sciences Bulletin, 3(8), 854-865.</w:t>
      </w:r>
    </w:p>
    <w:p w14:paraId="6894A1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Covington, S. K. (2025). A Predictive Correlational Study of Compassion Fatigue, Compassion Satisfaction and Emotional Exhaustion Among K-12 Educators.</w:t>
      </w:r>
    </w:p>
    <w:p w14:paraId="28D879F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Chen, C. C. (2020). Professional Quality of Life among Occupational Therapy Practitioners: An Exploratory Study of Compassion Fatigue.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Occupational Therapy in Mental Health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36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(2), 162–175. https://doi.org/10.1080/0164212x.2020.1725713</w:t>
      </w:r>
    </w:p>
    <w:p w14:paraId="42B28D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Chen, F., Ge, Y., Xu, W., Yu, J., Zhang, Y., Xu, X., &amp; Zhang, S. (2023). Changing kindergarten teachers’ mindsets toward children to overcome compassion fatigue. Psychology research and behavior management, 521-533.</w:t>
      </w:r>
    </w:p>
    <w:p w14:paraId="67F6C5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Levkovich, I., &amp; Ricon, T. (2020). Understanding compassion fatigue, optimism and emotional distress among Israeli school counsellors. Asia Pacific Journal of Counselling and Psychotherapy, 11(2), 159-180.</w:t>
      </w:r>
    </w:p>
    <w:p w14:paraId="2D2D39D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Fleckman, J. M., Petrovic, L., Simon, K., Peele, H., Baker, C. N., Overstreet, S., &amp; New Orleans Trauma-Informed Schools Learning Collaborative. (2022). Compassion satisfaction, secondary traumatic stress, and burnout: A mixed methods analysis in a sample of public-school educators working in marginalized communities. School Mental Health, 14(4), 933-950.</w:t>
      </w:r>
    </w:p>
    <w:p w14:paraId="1C65530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Hupe, T. M., &amp; Stevenson, M. C. (2019). Teachers’ intentions to report suspected child abuse: The influence of compassion fatigue. 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222222"/>
          <w:spacing w:val="0"/>
          <w:sz w:val="24"/>
          <w:szCs w:val="24"/>
          <w:shd w:val="clear" w:fill="FFFFFF"/>
        </w:rPr>
        <w:t>Journal of Child Custody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, 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222222"/>
          <w:spacing w:val="0"/>
          <w:sz w:val="24"/>
          <w:szCs w:val="24"/>
          <w:shd w:val="clear" w:fill="FFFFFF"/>
        </w:rPr>
        <w:t>16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(4), 364-386.</w:t>
      </w:r>
    </w:p>
    <w:p w14:paraId="05A8A12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Fu, W., Pan, Q., Zhang, C., &amp; Cheng, L. (2022). Influencing factors of Chinese special education teacher turnover intention: Understanding the roles of subject well-being, social support, and work engagement. 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222222"/>
          <w:spacing w:val="0"/>
          <w:sz w:val="24"/>
          <w:szCs w:val="24"/>
          <w:shd w:val="clear" w:fill="FFFFFF"/>
        </w:rPr>
        <w:t>International Journal of Developmental Disabilities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, 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222222"/>
          <w:spacing w:val="0"/>
          <w:sz w:val="24"/>
          <w:szCs w:val="24"/>
          <w:shd w:val="clear" w:fill="FFFFFF"/>
        </w:rPr>
        <w:t>68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(3), 342-353.</w:t>
      </w:r>
    </w:p>
    <w:p w14:paraId="40FCCD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De Stasio, S., Fiorilli, C., Benevene, P., Uusitalo‐Malmivaara, L., &amp; Chiacchio, C. D. (2017). Burnout in special needs teachers at kindergarten and primary school: Investigating the role of personal resources and work wellbeing. Psychology in the Schools, 54(5), 472-486.</w:t>
      </w:r>
    </w:p>
    <w:p w14:paraId="5E54BA5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Olagunju, A. T., Akinola, M. A., Fadipe, B., Jagun, O. O., Olagunju, T. O., Akinola, O. O., ... &amp; Chaimowitz, G. A. (2021). Psychosocial wellbeing of Nigerian teachers in special education schools. Journal of Autism and Developmental Disorders, 51(4), 1131-1141.</w:t>
      </w:r>
    </w:p>
    <w:p w14:paraId="71BA374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Ervasti, J., Kivimäki, M., Pentti, J., Suominen, S., Vahtera, J., &amp; Virtanen, M. (2011). Sickness absence among Finnish special and general education teachers. Occupational Medicine, 61(7), 465-471.</w:t>
      </w:r>
    </w:p>
    <w:p w14:paraId="0C23739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Steen, A. M. (2019). Threats to teaching: An investigation into the constructs of compassion fatigue in the classroom. University of South Florida.</w:t>
      </w:r>
    </w:p>
    <w:p w14:paraId="6FAAD5F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Sutjiono, B., Mar’at, S., &amp; Risnawaty, W. (2020, May). Psychometric evaluation professional quality of life in special education teachers. In Tarumanagara International Conference on the Applications of Social Sciences and Humanities (TICASH 2019) (pp. 715-722). Atlantis Press.</w:t>
      </w:r>
    </w:p>
    <w:p w14:paraId="4BAF603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Darawsheh, S. R., Asha, I. K. K., AbuSaif, R., Alhejoj, A. F., &amp; Khasawneh, M. A. S. (2023). An Outline of the Professional Quality of Teachers who Teach Children with Special Needs. Journal of Education and E-learning Research, 10(3), 358-363.</w:t>
      </w:r>
    </w:p>
    <w:p w14:paraId="1DFCC3A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Foteini, C., Dimitrios, S., Harilaos, Z., Victoria, Z., &amp; Vasiliki, G. (2020). Professional quality of life of special education teachers in Greece. European Journal of Special Education Research.</w:t>
      </w:r>
    </w:p>
    <w:p w14:paraId="30D7070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Bozgeyikli, H. (2018). Psychological Needs as the Working-Life Quality Predictor of Special Education Teachers. Universal Journal of Educational Research, 6(2), 289-295.</w:t>
      </w:r>
    </w:p>
    <w:p w14:paraId="2456E06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Vang, M. L., Pihl‐Thingvad, J., &amp; Shevlin, M. (2022). Identifying child protection workers at risk for secondary traumatization: A latent class analysis of the Professional Quality of Life Scale–5. Journal of traumatic stress, 35(6), 1608-1619.</w:t>
      </w:r>
    </w:p>
    <w:p w14:paraId="7417CFE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Holding, M. A., Parkinson, L., &amp; Taylor, D. (2024). Work stress and professional quality of life in disability support workers: The mediating role of psychological flexibility. Journal of intellectual &amp; developmental disability, 49(4), 425-437.</w:t>
      </w:r>
    </w:p>
    <w:p w14:paraId="7F96D5C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Kendrick, A. H., Tay, M. K., &amp; Shahin, M. J. H. (2025, January). Three year quantitative study of compassion satisfaction and fatigue among teachers and educational workers in Alberta, Canada. In Healthcare (Vol. 13, No. 3, p. 226). MDPI.</w:t>
      </w:r>
    </w:p>
    <w:p w14:paraId="1B3B264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Kendrick, A. (2022). Compassion fatigue, burnout, and the emotional labor of educational workers. The International Journal of Health, Wellness and Society, 13(1), 31.</w:t>
      </w:r>
    </w:p>
    <w:p w14:paraId="3CC74D5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Sharp Donahoo, L. M., Siegrist, B., &amp; Garrett-Wright, D. (2018). Addressing compassion fatigue and stress of special education teachers and professional staff using mindfulness and prayer. The Journal of School Nursing, 34(6), 442-448.</w:t>
      </w:r>
    </w:p>
    <w:p w14:paraId="4133CDF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Pérez-Chacón, M., Chacón, A., Borda-Mas, M., &amp; Avargues-Navarro, M. L. (2021). Sensory processing sensitivity and compassion satisfaction as risk/protective factors from burnout and compassion fatigue in healthcare and education professionals. International journal of environmental research and public health, 18(2), 611.</w:t>
      </w:r>
    </w:p>
    <w:p w14:paraId="44B93F9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Conrad, D., &amp; Kellar-Guenther, Y. (2006). Compassion fatigue, burnout, and compassion satisfaction among Colorado child protection workers. Child abuse &amp; neglect, 30(10), 1071-1080.</w:t>
      </w:r>
    </w:p>
    <w:p w14:paraId="5DF4C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53B74CA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Nnubia, U. I., Nwobi, C. A., FO, O. F. O., &amp; Eke, B. A. (2022). Assessment of Compassion Fatigue and Psychological Well-Being of Special Needs Children’s Educators in Enugu State. Journal For Family &amp; Society Research, 1(2).</w:t>
      </w:r>
    </w:p>
    <w:p w14:paraId="44C532B2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Kanmani, D. S., &amp; Sujathamalini, D. J. (2022).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 CASE STUDY ON COMPASSION FATIGUE AMONG TEACHERS HANDLING STUDENT WITH DISRUPTIVE BEHAVIOURS IN INCLUSIVE CLASSROOM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IMSEAR.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"https://pesquisa.bvsalud.org/portal/resource/pt/sea-221128"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</w:rPr>
        <w:t>https://pesquisa.bvsalud.org/portal/resource/pt/sea-221128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14:paraId="3B1869A6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Sawatske, A., Leonard, C., Harris, J., &amp; Dally, K. (2024). The case for special education teacher wellbeing: A multidimensional review of the evidence and future directions. Australasian Journal of Special and Inclusive Education, 48(1), 64-77.</w:t>
      </w:r>
    </w:p>
    <w:p w14:paraId="43BC1382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Paterson, B., Taylor, J., &amp; Young, J. (2021). Compassion Fatigue and Behaviours that Challenge in the Classroom. Scottish Educational Review, 53(1), 26–41.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"https://doi.org/10.1163/27730840-05301003" \t "_blank"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https://doi.org/10.1163/27730840-05301003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14:paraId="1281E4A3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Ziaian-Ghafari, N., &amp; Berg, D. H. (2019). Compassion fatigue: The experiences of teachers working with students with exceptionalities. Exceptionality Education International, 29(1), 32-53.</w:t>
      </w:r>
    </w:p>
    <w:p w14:paraId="27F5C4ED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Tepper, E. L., &amp; Palladino, J. M. (2007). Compassion Fatigue and Burnout: Precursors to Elementary Special Educators' Exodus from Teaching. Online Submission.</w:t>
      </w:r>
    </w:p>
    <w:p w14:paraId="11911EFF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Davis, K. C., &amp; Palladino, J. M. (2011). Compassion Fatigue among Secondary Special Education Teachers: A Case Study about Job Stress and Burnout. Online Submission.</w:t>
      </w:r>
    </w:p>
    <w:p w14:paraId="4A142F17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Oberg, G., Carroll, A., &amp; Macmahon, S. (2023, March). Compassion fatigue and secondary traumatic stress in teachers: How they contribute to burnout and how they are related to trauma-awareness. In Frontiers in Education (Vol. 8, p. 1128618). Frontiers Media SA.</w:t>
      </w:r>
    </w:p>
    <w:p w14:paraId="656D67DF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Geoffrion, S., Morselli, C., &amp; Guay, S. (2016). Rethinking compassion fatigue through the lens of professional identity: The case of child-protection workers. Trauma, Violence, &amp; Abuse, 17(3), 270-283.</w:t>
      </w:r>
    </w:p>
    <w:p w14:paraId="2D91C29D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Hoffman, S., Palladino, J. M., &amp; Barnett, J. (2007). Compassion Fatigue as a Theoretical Framework to Help Understand Burnout among Special Education Teachers. Online Submission, 2(1), 15-22.</w:t>
      </w:r>
    </w:p>
    <w:p w14:paraId="5C3A1FEA">
      <w:pPr>
        <w:numPr>
          <w:ilvl w:val="0"/>
          <w:numId w:val="0"/>
        </w:numPr>
        <w:spacing w:line="48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46FFFB06">
      <w:pPr>
        <w:spacing w:line="480" w:lineRule="auto"/>
        <w:ind w:left="1440"/>
        <w:textAlignment w:val="baseline"/>
        <w:rPr>
          <w:rFonts w:ascii="Times New Roman" w:hAnsi="Times New Roman" w:eastAsia="Times New Roman" w:cs="Times New Roman"/>
          <w:color w:val="000000"/>
        </w:rPr>
      </w:pPr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6BD3D"/>
    <w:multiLevelType w:val="singleLevel"/>
    <w:tmpl w:val="1456BD3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42318768"/>
    <w:multiLevelType w:val="singleLevel"/>
    <w:tmpl w:val="42318768"/>
    <w:lvl w:ilvl="0" w:tentative="0">
      <w:start w:val="26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67D5512F"/>
    <w:multiLevelType w:val="singleLevel"/>
    <w:tmpl w:val="67D5512F"/>
    <w:lvl w:ilvl="0" w:tentative="0">
      <w:start w:val="9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92"/>
    <w:rsid w:val="000074C8"/>
    <w:rsid w:val="00011A70"/>
    <w:rsid w:val="0005020D"/>
    <w:rsid w:val="000668C3"/>
    <w:rsid w:val="000757B2"/>
    <w:rsid w:val="0010667F"/>
    <w:rsid w:val="001250B3"/>
    <w:rsid w:val="00145F79"/>
    <w:rsid w:val="00150122"/>
    <w:rsid w:val="0016087E"/>
    <w:rsid w:val="0017293D"/>
    <w:rsid w:val="001F52C3"/>
    <w:rsid w:val="00201C4C"/>
    <w:rsid w:val="0020323D"/>
    <w:rsid w:val="00220E2B"/>
    <w:rsid w:val="00226713"/>
    <w:rsid w:val="00257714"/>
    <w:rsid w:val="002A05E5"/>
    <w:rsid w:val="002A1A36"/>
    <w:rsid w:val="002E02E6"/>
    <w:rsid w:val="002F228B"/>
    <w:rsid w:val="002F25FD"/>
    <w:rsid w:val="002F4181"/>
    <w:rsid w:val="00303197"/>
    <w:rsid w:val="00307AC3"/>
    <w:rsid w:val="00346575"/>
    <w:rsid w:val="00350095"/>
    <w:rsid w:val="0035744D"/>
    <w:rsid w:val="00367B62"/>
    <w:rsid w:val="0038229F"/>
    <w:rsid w:val="003838EE"/>
    <w:rsid w:val="00387552"/>
    <w:rsid w:val="00394A32"/>
    <w:rsid w:val="003C132E"/>
    <w:rsid w:val="003F4064"/>
    <w:rsid w:val="004267B2"/>
    <w:rsid w:val="00444E73"/>
    <w:rsid w:val="00463635"/>
    <w:rsid w:val="00483C46"/>
    <w:rsid w:val="00493CF1"/>
    <w:rsid w:val="004B5982"/>
    <w:rsid w:val="004C1A7F"/>
    <w:rsid w:val="004C7771"/>
    <w:rsid w:val="004D3BEF"/>
    <w:rsid w:val="004D509A"/>
    <w:rsid w:val="005072AA"/>
    <w:rsid w:val="00521361"/>
    <w:rsid w:val="00526850"/>
    <w:rsid w:val="005300B3"/>
    <w:rsid w:val="005538FD"/>
    <w:rsid w:val="00564295"/>
    <w:rsid w:val="005A7B88"/>
    <w:rsid w:val="005B1E87"/>
    <w:rsid w:val="005E4352"/>
    <w:rsid w:val="00616A56"/>
    <w:rsid w:val="0063291C"/>
    <w:rsid w:val="006710D2"/>
    <w:rsid w:val="00707A39"/>
    <w:rsid w:val="00736445"/>
    <w:rsid w:val="007A1292"/>
    <w:rsid w:val="007A471D"/>
    <w:rsid w:val="007E2AF5"/>
    <w:rsid w:val="007E3034"/>
    <w:rsid w:val="007E3AB1"/>
    <w:rsid w:val="00824279"/>
    <w:rsid w:val="0082429A"/>
    <w:rsid w:val="0088237F"/>
    <w:rsid w:val="008B64D6"/>
    <w:rsid w:val="008C4CA9"/>
    <w:rsid w:val="008E7C41"/>
    <w:rsid w:val="009D257B"/>
    <w:rsid w:val="009D66E7"/>
    <w:rsid w:val="009E3A16"/>
    <w:rsid w:val="00A704B6"/>
    <w:rsid w:val="00AA7FD1"/>
    <w:rsid w:val="00AB5EA0"/>
    <w:rsid w:val="00B2537C"/>
    <w:rsid w:val="00B562B2"/>
    <w:rsid w:val="00B71A35"/>
    <w:rsid w:val="00BA66CF"/>
    <w:rsid w:val="00BC5434"/>
    <w:rsid w:val="00C54E6E"/>
    <w:rsid w:val="00C84D90"/>
    <w:rsid w:val="00C92E7E"/>
    <w:rsid w:val="00C94C2A"/>
    <w:rsid w:val="00CC2ABC"/>
    <w:rsid w:val="00CE4B7A"/>
    <w:rsid w:val="00D122A2"/>
    <w:rsid w:val="00D20E51"/>
    <w:rsid w:val="00DB26D6"/>
    <w:rsid w:val="00DC35F5"/>
    <w:rsid w:val="00E46A08"/>
    <w:rsid w:val="00E72B67"/>
    <w:rsid w:val="00E85131"/>
    <w:rsid w:val="00E9679D"/>
    <w:rsid w:val="00EA2031"/>
    <w:rsid w:val="00EB3C87"/>
    <w:rsid w:val="00EC6415"/>
    <w:rsid w:val="00EE3D48"/>
    <w:rsid w:val="00F2406A"/>
    <w:rsid w:val="00F56332"/>
    <w:rsid w:val="00F6135B"/>
    <w:rsid w:val="00F75A12"/>
    <w:rsid w:val="00FA2568"/>
    <w:rsid w:val="00FC41BE"/>
    <w:rsid w:val="00FD12D4"/>
    <w:rsid w:val="1AC8116D"/>
    <w:rsid w:val="1F382E20"/>
    <w:rsid w:val="4DA16C75"/>
    <w:rsid w:val="5B382DFD"/>
    <w:rsid w:val="683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C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6">
    <w:name w:val="annotation subject"/>
    <w:basedOn w:val="5"/>
    <w:next w:val="5"/>
    <w:link w:val="14"/>
    <w:semiHidden/>
    <w:unhideWhenUsed/>
    <w:qFormat/>
    <w:uiPriority w:val="99"/>
    <w:rPr>
      <w:b/>
      <w:bCs/>
    </w:rPr>
  </w:style>
  <w:style w:type="character" w:styleId="7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omment Text Char"/>
    <w:basedOn w:val="2"/>
    <w:link w:val="5"/>
    <w:semiHidden/>
    <w:qFormat/>
    <w:uiPriority w:val="99"/>
    <w:rPr>
      <w:sz w:val="20"/>
      <w:szCs w:val="20"/>
    </w:rPr>
  </w:style>
  <w:style w:type="character" w:customStyle="1" w:styleId="14">
    <w:name w:val="Comment Subject Char"/>
    <w:basedOn w:val="13"/>
    <w:link w:val="6"/>
    <w:semiHidden/>
    <w:qFormat/>
    <w:uiPriority w:val="99"/>
    <w:rPr>
      <w:b/>
      <w:bCs/>
      <w:sz w:val="20"/>
      <w:szCs w:val="20"/>
    </w:rPr>
  </w:style>
  <w:style w:type="table" w:customStyle="1" w:styleId="15">
    <w:name w:val="_Style 13"/>
    <w:basedOn w:val="16"/>
    <w:qFormat/>
    <w:uiPriority w:val="0"/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6D15456B-70BA-9A40-8CCC-79E63BF01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1796</Words>
  <Characters>9857</Characters>
  <Lines>70</Lines>
  <Paragraphs>19</Paragraphs>
  <TotalTime>0</TotalTime>
  <ScaleCrop>false</ScaleCrop>
  <LinksUpToDate>false</LinksUpToDate>
  <CharactersWithSpaces>11201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2023-07-11T21:36:00Z</dcterms:created>
  <dc:creator>christina oleynikov</dc:creator>
  <cp:lastModifiedBy>Nidhi Kulkarni</cp:lastModifiedBy>
  <dcterms:modified xsi:type="dcterms:W3CDTF">2026-05-28T10:25:34Z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81517EBB6FBD4181B557A8A8434284D9_13</vt:lpwstr>
  </property>
  <property fmtid="{D5CDD505-2E9C-101B-9397-08002B2CF9AE}" pid="4" name="KSOTemplateDocerSaveRecord">
    <vt:lpwstr>eyJoZGlkIjoiNjMzMTc1OGM5YmYzMmZhZGFlMjY0ODk5YTQxNWQyNTgiLCJ1c2VySWQiOiI1Njc0OTM2NzQxNzMifQ==</vt:lpwstr>
  </property>
</Properties>
</file>