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0CD2DB" w14:textId="26E3CB66" w:rsidR="00B56327" w:rsidRDefault="00B56327" w:rsidP="4F249872">
      <w:pPr>
        <w:rPr>
          <w:rFonts w:ascii="Times New Roman" w:eastAsia="Times New Roman" w:hAnsi="Times New Roman" w:cs="Times New Roman"/>
          <w:color w:val="000000" w:themeColor="text1"/>
        </w:rPr>
      </w:pPr>
    </w:p>
    <w:p w14:paraId="7E4667B8" w14:textId="77777777" w:rsidR="00C2105C" w:rsidRDefault="007B1CA4" w:rsidP="4F249872">
      <w:pPr>
        <w:keepNext/>
        <w:rPr>
          <w:rFonts w:ascii="Times New Roman" w:eastAsia="Times New Roman" w:hAnsi="Times New Roman" w:cs="Times New Roman"/>
          <w:color w:val="000000" w:themeColor="text1"/>
        </w:rPr>
      </w:pPr>
      <w:r w:rsidRPr="007B1CA4">
        <w:rPr>
          <w:noProof/>
        </w:rPr>
        <w:drawing>
          <wp:inline distT="0" distB="0" distL="0" distR="0" wp14:anchorId="4619B366" wp14:editId="6F05D576">
            <wp:extent cx="5943600" cy="2990850"/>
            <wp:effectExtent l="0" t="0" r="0" b="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C1C21083-3B70-4182-AA86-AB509AA00B1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2B79E34D" w14:textId="60BF5CA6" w:rsidR="00C2105C" w:rsidRDefault="00C2105C" w:rsidP="7EA089BB">
      <w:pPr>
        <w:pStyle w:val="Caption"/>
        <w:keepNext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r w:rsidR="1B27663C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Supplemen</w:t>
      </w:r>
      <w:r w:rsidR="736CCFB9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t</w:t>
      </w:r>
      <w:r w:rsidR="1B27663C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ary </w:t>
      </w:r>
      <w:r w:rsidR="1B27663C" w:rsidRPr="7EA089BB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Figure S</w:t>
      </w:r>
      <w:r w:rsidR="5C883EE6" w:rsidRPr="7EA089BB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3</w:t>
      </w:r>
      <w:r w:rsidR="1B27663C" w:rsidRPr="7EA089BB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-a</w:t>
      </w:r>
      <w:r w:rsidR="05A2207C" w:rsidRPr="7EA089BB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-Gene frequency by chromosome-</w:t>
      </w:r>
      <w:r w:rsidR="1B27663C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r w:rsidR="00837C44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G</w:t>
      </w:r>
      <w:r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ene frequency </w:t>
      </w:r>
      <w:r w:rsidR="2D41ED2F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recorded for i</w:t>
      </w:r>
      <w:r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ndividual chromosome </w:t>
      </w:r>
      <w:r w:rsidR="29E40D81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during</w:t>
      </w:r>
      <w:r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candidate gene identification</w:t>
      </w:r>
      <w:r w:rsidR="5A431CC3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r w:rsidR="79C0AE65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by comparing </w:t>
      </w:r>
      <w:r w:rsidR="00837C44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Kiani and Szczepaniec</w:t>
      </w:r>
      <w:r w:rsidR="4193ADE4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,</w:t>
      </w:r>
      <w:r w:rsidR="00837C44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2018</w:t>
      </w:r>
      <w:r w:rsidR="6677B1A6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with the current study.</w:t>
      </w:r>
    </w:p>
    <w:p w14:paraId="53D29A07" w14:textId="31A1758B" w:rsidR="00705399" w:rsidRDefault="00705399" w:rsidP="4F249872">
      <w:pPr>
        <w:pStyle w:val="Caption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1A27205A" wp14:editId="624D25D3">
            <wp:extent cx="6191250" cy="3409950"/>
            <wp:effectExtent l="0" t="0" r="0" b="0"/>
            <wp:docPr id="9" name="Chart 9">
              <a:extLst xmlns:a="http://schemas.openxmlformats.org/drawingml/2006/main">
                <a:ext uri="{FF2B5EF4-FFF2-40B4-BE49-F238E27FC236}">
                  <a16:creationId xmlns:a16="http://schemas.microsoft.com/office/drawing/2014/main" id="{6980257A-7B1A-4ACE-A532-FB8552EBE17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26F695E8" w14:textId="3CAC99B1" w:rsidR="00775C14" w:rsidRPr="00C2105C" w:rsidRDefault="1733D570" w:rsidP="7EA089BB">
      <w:pPr>
        <w:pStyle w:val="Caption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Supplemen</w:t>
      </w:r>
      <w:r w:rsidR="7A169661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t</w:t>
      </w:r>
      <w:r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ary </w:t>
      </w:r>
      <w:r w:rsidRPr="7EA089BB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Figure S</w:t>
      </w:r>
      <w:r w:rsidR="110C686B" w:rsidRPr="7EA089BB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3</w:t>
      </w:r>
      <w:r w:rsidRPr="7EA089BB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-b</w:t>
      </w:r>
      <w:r w:rsidR="41A770D3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.</w:t>
      </w:r>
      <w:r w:rsidR="5AC6CDAF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-</w:t>
      </w:r>
      <w:r w:rsidR="5AC6CDAF" w:rsidRPr="7EA089BB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Gene frequency by trait-</w:t>
      </w:r>
      <w:r w:rsidR="41A770D3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Frequency</w:t>
      </w:r>
      <w:r w:rsidR="00C2105C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r w:rsidR="00837C44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of gene identified </w:t>
      </w:r>
      <w:r w:rsidR="00775C14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in 200</w:t>
      </w:r>
      <w:r w:rsidR="39F778EF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r w:rsidR="00775C14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kb </w:t>
      </w:r>
      <w:r w:rsidR="00837C44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for </w:t>
      </w:r>
      <w:r w:rsidR="00C2105C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aphid resistan</w:t>
      </w:r>
      <w:r w:rsidR="69377297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ce related</w:t>
      </w:r>
      <w:r w:rsidR="00C2105C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traits</w:t>
      </w:r>
      <w:r w:rsidR="00775C14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r w:rsidR="1BA1B51D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by </w:t>
      </w:r>
      <w:r w:rsidR="76DC2EA2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comparing</w:t>
      </w:r>
      <w:r w:rsidR="00775C14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Kian</w:t>
      </w:r>
      <w:r w:rsidR="72E0D42D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and </w:t>
      </w:r>
      <w:r w:rsidR="00775C14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Szczepaniec</w:t>
      </w:r>
      <w:r w:rsidR="2DD045A2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,</w:t>
      </w:r>
      <w:r w:rsidR="00775C14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2018</w:t>
      </w:r>
      <w:r w:rsidR="49E5A695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, </w:t>
      </w:r>
      <w:r w:rsidR="48705524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with the current </w:t>
      </w:r>
      <w:r w:rsidR="00775C14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study</w:t>
      </w:r>
      <w:r w:rsidR="00F639C3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.</w:t>
      </w:r>
    </w:p>
    <w:p w14:paraId="2741BAE6" w14:textId="4FA2F074" w:rsidR="007B1CA4" w:rsidRDefault="007B1CA4" w:rsidP="4F249872">
      <w:pPr>
        <w:pStyle w:val="Caption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</w:pPr>
    </w:p>
    <w:p w14:paraId="601E6F86" w14:textId="01A1BC3B" w:rsidR="00054BDA" w:rsidRPr="00054BDA" w:rsidRDefault="00054BDA" w:rsidP="4F249872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34BEE752" wp14:editId="2BCA268B">
            <wp:extent cx="5852160" cy="2834640"/>
            <wp:effectExtent l="0" t="0" r="15240" b="3810"/>
            <wp:docPr id="2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79AA6233-5466-46E0-92D8-0E213A4C6D7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568E1F10" w14:textId="67EBA585" w:rsidR="2E55CE2C" w:rsidRDefault="00CF10E5" w:rsidP="4F249872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7EA089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Supplementary</w:t>
      </w:r>
      <w:r w:rsidR="2E55CE2C" w:rsidRPr="7EA089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2E55CE2C" w:rsidRPr="7EA089B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Figure S</w:t>
      </w:r>
      <w:r w:rsidR="6BA4FC11" w:rsidRPr="7EA089B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="2E55CE2C" w:rsidRPr="7EA089B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-c</w:t>
      </w:r>
      <w:r w:rsidR="278F1D3E" w:rsidRPr="7EA089B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765C1F9" w:rsidRPr="7EA089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Gene frequency recorded for individual chromosome during candidate gene identification by comparing </w:t>
      </w:r>
      <w:r w:rsidR="0765C1F9" w:rsidRPr="7EA089BB">
        <w:rPr>
          <w:rFonts w:ascii="Times New Roman" w:eastAsia="Times New Roman" w:hAnsi="Times New Roman" w:cs="Times New Roman"/>
          <w:color w:val="000000" w:themeColor="text1"/>
        </w:rPr>
        <w:t>Tetreault et al</w:t>
      </w:r>
      <w:r w:rsidR="006C3DA1" w:rsidRPr="7EA089BB">
        <w:rPr>
          <w:rFonts w:ascii="Times New Roman" w:eastAsia="Times New Roman" w:hAnsi="Times New Roman" w:cs="Times New Roman"/>
          <w:color w:val="000000" w:themeColor="text1"/>
        </w:rPr>
        <w:t>.</w:t>
      </w:r>
      <w:r w:rsidRPr="7EA089BB">
        <w:rPr>
          <w:rFonts w:ascii="Times New Roman" w:eastAsia="Times New Roman" w:hAnsi="Times New Roman" w:cs="Times New Roman"/>
          <w:color w:val="000000" w:themeColor="text1"/>
        </w:rPr>
        <w:t>,</w:t>
      </w:r>
      <w:r w:rsidR="0765C1F9" w:rsidRPr="7EA089BB">
        <w:rPr>
          <w:rFonts w:ascii="Times New Roman" w:eastAsia="Times New Roman" w:hAnsi="Times New Roman" w:cs="Times New Roman"/>
          <w:color w:val="000000" w:themeColor="text1"/>
        </w:rPr>
        <w:t xml:space="preserve"> 2019</w:t>
      </w:r>
      <w:r w:rsidR="0765C1F9" w:rsidRPr="7EA089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with the current study.</w:t>
      </w:r>
    </w:p>
    <w:p w14:paraId="42F733CF" w14:textId="208B55A2" w:rsidR="00054BDA" w:rsidRDefault="00054BDA" w:rsidP="4F249872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1C60DBA1" w14:textId="13DC3F8A" w:rsidR="00054BDA" w:rsidRDefault="00CF10E5" w:rsidP="4F249872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037E5FD0" wp14:editId="6DAFE6E5">
            <wp:extent cx="5852160" cy="2834640"/>
            <wp:effectExtent l="0" t="0" r="15240" b="3810"/>
            <wp:docPr id="5" name="Chart 5">
              <a:extLst xmlns:a="http://schemas.openxmlformats.org/drawingml/2006/main">
                <a:ext uri="{FF2B5EF4-FFF2-40B4-BE49-F238E27FC236}">
                  <a16:creationId xmlns:a16="http://schemas.microsoft.com/office/drawing/2014/main" id="{79AA6233-5466-46E0-92D8-0E213A4C6D7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10CD2CB0" w14:textId="4E313007" w:rsidR="4D4E59DC" w:rsidRPr="00CF10E5" w:rsidRDefault="00775C14" w:rsidP="7EA089BB">
      <w:pPr>
        <w:pStyle w:val="Caption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r w:rsidR="00CF10E5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Supplementary</w:t>
      </w:r>
      <w:r w:rsidR="4D4E59DC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r w:rsidR="4D4E59DC" w:rsidRPr="7EA089BB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Figure S</w:t>
      </w:r>
      <w:r w:rsidR="73ADF4CF" w:rsidRPr="7EA089BB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3</w:t>
      </w:r>
      <w:r w:rsidR="4D4E59DC" w:rsidRPr="7EA089BB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-d </w:t>
      </w:r>
      <w:r w:rsidR="3CE6AACB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Frequency of gene identified in 200kb for aphid resistance related traits by comparing Tetreault et al</w:t>
      </w:r>
      <w:r w:rsidR="006C3DA1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.,</w:t>
      </w:r>
      <w:r w:rsidR="3CE6AACB" w:rsidRPr="7EA089B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2019 with the current study.</w:t>
      </w:r>
    </w:p>
    <w:p w14:paraId="66A777F7" w14:textId="2C61E46D" w:rsidR="39A0B794" w:rsidRDefault="39A0B794" w:rsidP="4F249872">
      <w:pP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sectPr w:rsidR="39A0B7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CA4"/>
    <w:rsid w:val="00054BDA"/>
    <w:rsid w:val="00061BE7"/>
    <w:rsid w:val="000B5F7C"/>
    <w:rsid w:val="000C59B5"/>
    <w:rsid w:val="000D02A9"/>
    <w:rsid w:val="00101AF7"/>
    <w:rsid w:val="001225ED"/>
    <w:rsid w:val="001F4F4C"/>
    <w:rsid w:val="00234BDB"/>
    <w:rsid w:val="002351D3"/>
    <w:rsid w:val="00270771"/>
    <w:rsid w:val="0027511E"/>
    <w:rsid w:val="002F0084"/>
    <w:rsid w:val="00321A9E"/>
    <w:rsid w:val="00337B87"/>
    <w:rsid w:val="00377FA4"/>
    <w:rsid w:val="00392093"/>
    <w:rsid w:val="00401B98"/>
    <w:rsid w:val="00481B0C"/>
    <w:rsid w:val="00486500"/>
    <w:rsid w:val="004B4B1B"/>
    <w:rsid w:val="004B7380"/>
    <w:rsid w:val="004C2611"/>
    <w:rsid w:val="004C57FC"/>
    <w:rsid w:val="005307AC"/>
    <w:rsid w:val="00630DAA"/>
    <w:rsid w:val="006A334F"/>
    <w:rsid w:val="006B6BD3"/>
    <w:rsid w:val="006C3C5F"/>
    <w:rsid w:val="006C3DA1"/>
    <w:rsid w:val="006E1DDE"/>
    <w:rsid w:val="006E6F0C"/>
    <w:rsid w:val="00700EFD"/>
    <w:rsid w:val="00705399"/>
    <w:rsid w:val="00775C14"/>
    <w:rsid w:val="007B1CA4"/>
    <w:rsid w:val="007C78E4"/>
    <w:rsid w:val="00837C44"/>
    <w:rsid w:val="008860E0"/>
    <w:rsid w:val="008F6836"/>
    <w:rsid w:val="009F6834"/>
    <w:rsid w:val="00A23E6E"/>
    <w:rsid w:val="00A56538"/>
    <w:rsid w:val="00B4663E"/>
    <w:rsid w:val="00B56327"/>
    <w:rsid w:val="00B73047"/>
    <w:rsid w:val="00BC3640"/>
    <w:rsid w:val="00BF1F81"/>
    <w:rsid w:val="00C2105C"/>
    <w:rsid w:val="00C5246E"/>
    <w:rsid w:val="00C636DB"/>
    <w:rsid w:val="00CF0E50"/>
    <w:rsid w:val="00CF10E5"/>
    <w:rsid w:val="00D15697"/>
    <w:rsid w:val="00D7758F"/>
    <w:rsid w:val="00E266CF"/>
    <w:rsid w:val="00E5487A"/>
    <w:rsid w:val="00ED3BBB"/>
    <w:rsid w:val="00F639C3"/>
    <w:rsid w:val="029D2ABE"/>
    <w:rsid w:val="029EABB0"/>
    <w:rsid w:val="02DAE616"/>
    <w:rsid w:val="05A2207C"/>
    <w:rsid w:val="074C1B34"/>
    <w:rsid w:val="0765C1F9"/>
    <w:rsid w:val="09AA86B2"/>
    <w:rsid w:val="0D184A73"/>
    <w:rsid w:val="0E23D00C"/>
    <w:rsid w:val="110C686B"/>
    <w:rsid w:val="120B411A"/>
    <w:rsid w:val="12677B27"/>
    <w:rsid w:val="1733D570"/>
    <w:rsid w:val="1B27663C"/>
    <w:rsid w:val="1BA1B51D"/>
    <w:rsid w:val="1C1E6A4F"/>
    <w:rsid w:val="1DAD97E7"/>
    <w:rsid w:val="1F658EF7"/>
    <w:rsid w:val="237CCEB4"/>
    <w:rsid w:val="23DAC1A9"/>
    <w:rsid w:val="278F1D3E"/>
    <w:rsid w:val="29E40D81"/>
    <w:rsid w:val="2D41ED2F"/>
    <w:rsid w:val="2DD045A2"/>
    <w:rsid w:val="2E55CE2C"/>
    <w:rsid w:val="2EB26751"/>
    <w:rsid w:val="32F076E4"/>
    <w:rsid w:val="33046D14"/>
    <w:rsid w:val="33D7BD16"/>
    <w:rsid w:val="36D46AC1"/>
    <w:rsid w:val="36F9BEFA"/>
    <w:rsid w:val="39950E26"/>
    <w:rsid w:val="39A0B794"/>
    <w:rsid w:val="39E830EC"/>
    <w:rsid w:val="39F778EF"/>
    <w:rsid w:val="3A1FF214"/>
    <w:rsid w:val="3CE6AACB"/>
    <w:rsid w:val="3DEA55F8"/>
    <w:rsid w:val="3E15A15E"/>
    <w:rsid w:val="3E72624F"/>
    <w:rsid w:val="3FB24564"/>
    <w:rsid w:val="3FCA6085"/>
    <w:rsid w:val="406D5AC8"/>
    <w:rsid w:val="40C8BDDE"/>
    <w:rsid w:val="40F0A851"/>
    <w:rsid w:val="4193ADE4"/>
    <w:rsid w:val="41A770D3"/>
    <w:rsid w:val="41EDCB10"/>
    <w:rsid w:val="47090BD4"/>
    <w:rsid w:val="48705524"/>
    <w:rsid w:val="48ABF9F0"/>
    <w:rsid w:val="49E16F86"/>
    <w:rsid w:val="49E5A695"/>
    <w:rsid w:val="4D4E59DC"/>
    <w:rsid w:val="4DE078AB"/>
    <w:rsid w:val="4F249872"/>
    <w:rsid w:val="51377E18"/>
    <w:rsid w:val="5656831B"/>
    <w:rsid w:val="57E778C7"/>
    <w:rsid w:val="59467359"/>
    <w:rsid w:val="5A431CC3"/>
    <w:rsid w:val="5AC6CDAF"/>
    <w:rsid w:val="5C2FE0DC"/>
    <w:rsid w:val="5C883EE6"/>
    <w:rsid w:val="5E5DAC7B"/>
    <w:rsid w:val="5E690BB8"/>
    <w:rsid w:val="5EEC918C"/>
    <w:rsid w:val="60D7CD26"/>
    <w:rsid w:val="6182733C"/>
    <w:rsid w:val="61A0A43D"/>
    <w:rsid w:val="64156A5E"/>
    <w:rsid w:val="665AF540"/>
    <w:rsid w:val="6677B1A6"/>
    <w:rsid w:val="6693B9B3"/>
    <w:rsid w:val="67558F23"/>
    <w:rsid w:val="69377297"/>
    <w:rsid w:val="6BA4FC11"/>
    <w:rsid w:val="6DA32447"/>
    <w:rsid w:val="6E1E6704"/>
    <w:rsid w:val="6EBC97C6"/>
    <w:rsid w:val="6F2BE1A6"/>
    <w:rsid w:val="72E0D42D"/>
    <w:rsid w:val="736CCFB9"/>
    <w:rsid w:val="73ADF4CF"/>
    <w:rsid w:val="75C6E08D"/>
    <w:rsid w:val="76DC2EA2"/>
    <w:rsid w:val="79A89922"/>
    <w:rsid w:val="79C0AE65"/>
    <w:rsid w:val="7A169661"/>
    <w:rsid w:val="7B077B42"/>
    <w:rsid w:val="7D94E80D"/>
    <w:rsid w:val="7EA089BB"/>
    <w:rsid w:val="7EB8B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FF6970"/>
  <w15:chartTrackingRefBased/>
  <w15:docId w15:val="{FEBD4EA2-1CC6-440D-AC89-3EE9BC2CF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7B1CA4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customXml" Target="../customXml/item3.xml"/><Relationship Id="rId7" Type="http://schemas.openxmlformats.org/officeDocument/2006/relationships/chart" Target="charts/chart1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chart" Target="charts/chart4.xml"/><Relationship Id="rId4" Type="http://schemas.openxmlformats.org/officeDocument/2006/relationships/styles" Target="style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../embeddings/oleObject1.bin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[Final_hit_200k_range_marker_gene_list_BMC_genomics with dup removed.xlsx]Sheet1!PivotTable1</c:name>
    <c:fmtId val="-1"/>
  </c:pivotSource>
  <c:chart>
    <c:title>
      <c:tx>
        <c:rich>
          <a:bodyPr rot="0" spcFirstLastPara="1" vertOverflow="ellipsis" vert="horz" wrap="square" anchor="ctr" anchorCtr="1"/>
          <a:lstStyle/>
          <a:p>
            <a:pPr>
              <a:defRPr sz="1320" b="0" i="0" u="none" strike="noStrike" kern="1200" cap="none" spc="20" baseline="0">
                <a:solidFill>
                  <a:schemeClr val="dk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320" b="0" i="0" u="none" strike="noStrike" cap="none" baseline="0">
                <a:effectLst/>
              </a:rPr>
              <a:t>Kiani and Szczepaniec, 2018 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320" b="0" i="0" u="none" strike="noStrike" kern="1200" cap="none" spc="20" baseline="0">
              <a:solidFill>
                <a:schemeClr val="dk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ivotFmts>
      <c:pivotFmt>
        <c:idx val="0"/>
        <c:spPr>
          <a:gradFill rotWithShape="1">
            <a:gsLst>
              <a:gs pos="0">
                <a:schemeClr val="accent1">
                  <a:lumMod val="110000"/>
                  <a:satMod val="105000"/>
                  <a:tint val="67000"/>
                </a:schemeClr>
              </a:gs>
              <a:gs pos="50000">
                <a:schemeClr val="accent1">
                  <a:lumMod val="105000"/>
                  <a:satMod val="103000"/>
                  <a:tint val="73000"/>
                </a:schemeClr>
              </a:gs>
              <a:gs pos="100000">
                <a:schemeClr val="accent1">
                  <a:lumMod val="105000"/>
                  <a:satMod val="109000"/>
                  <a:tint val="81000"/>
                </a:schemeClr>
              </a:gs>
            </a:gsLst>
            <a:lin ang="5400000" scaled="0"/>
          </a:gradFill>
          <a:ln w="9525" cap="flat" cmpd="sng" algn="ctr">
            <a:solidFill>
              <a:schemeClr val="accent1">
                <a:shade val="95000"/>
              </a:schemeClr>
            </a:solidFill>
            <a:round/>
          </a:ln>
          <a:effectLst/>
        </c:spPr>
        <c:marker>
          <c:symbol val="circle"/>
          <c:size val="4"/>
          <c:spPr>
            <a:gradFill rotWithShape="1">
              <a:gsLst>
                <a:gs pos="0">
                  <a:schemeClr val="accent1">
                    <a:lumMod val="110000"/>
                    <a:satMod val="105000"/>
                    <a:tint val="67000"/>
                  </a:schemeClr>
                </a:gs>
                <a:gs pos="50000">
                  <a:schemeClr val="accent1">
                    <a:lumMod val="105000"/>
                    <a:satMod val="103000"/>
                    <a:tint val="73000"/>
                  </a:schemeClr>
                </a:gs>
                <a:gs pos="100000">
                  <a:schemeClr val="accent1">
                    <a:lumMod val="105000"/>
                    <a:satMod val="109000"/>
                    <a:tint val="81000"/>
                  </a:schemeClr>
                </a:gs>
              </a:gsLst>
              <a:lin ang="5400000" scaled="0"/>
            </a:gradFill>
            <a:ln w="9525" cap="flat" cmpd="sng" algn="ctr">
              <a:solidFill>
                <a:schemeClr val="accent1">
                  <a:shade val="95000"/>
                </a:schemeClr>
              </a:solidFill>
              <a:round/>
            </a:ln>
            <a:effectLst/>
          </c:spPr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50000"/>
                      <a:lumOff val="50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spPr>
          <a:gradFill rotWithShape="1">
            <a:gsLst>
              <a:gs pos="0">
                <a:schemeClr val="accent1">
                  <a:lumMod val="110000"/>
                  <a:satMod val="105000"/>
                  <a:tint val="67000"/>
                </a:schemeClr>
              </a:gs>
              <a:gs pos="50000">
                <a:schemeClr val="accent1">
                  <a:lumMod val="105000"/>
                  <a:satMod val="103000"/>
                  <a:tint val="73000"/>
                </a:schemeClr>
              </a:gs>
              <a:gs pos="100000">
                <a:schemeClr val="accent1">
                  <a:lumMod val="105000"/>
                  <a:satMod val="109000"/>
                  <a:tint val="81000"/>
                </a:schemeClr>
              </a:gs>
            </a:gsLst>
            <a:lin ang="5400000" scaled="0"/>
          </a:gradFill>
          <a:ln w="9525" cap="flat" cmpd="sng" algn="ctr">
            <a:solidFill>
              <a:schemeClr val="accent1">
                <a:shade val="95000"/>
              </a:schemeClr>
            </a:solidFill>
            <a:round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50000"/>
                      <a:lumOff val="50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"/>
        <c:spPr>
          <a:gradFill rotWithShape="1">
            <a:gsLst>
              <a:gs pos="0">
                <a:schemeClr val="accent1">
                  <a:lumMod val="110000"/>
                  <a:satMod val="105000"/>
                  <a:tint val="67000"/>
                </a:schemeClr>
              </a:gs>
              <a:gs pos="50000">
                <a:schemeClr val="accent1">
                  <a:lumMod val="105000"/>
                  <a:satMod val="103000"/>
                  <a:tint val="73000"/>
                </a:schemeClr>
              </a:gs>
              <a:gs pos="100000">
                <a:schemeClr val="accent1">
                  <a:lumMod val="105000"/>
                  <a:satMod val="109000"/>
                  <a:tint val="81000"/>
                </a:schemeClr>
              </a:gs>
            </a:gsLst>
            <a:lin ang="5400000" scaled="0"/>
          </a:gradFill>
          <a:ln w="9525" cap="flat" cmpd="sng" algn="ctr">
            <a:solidFill>
              <a:schemeClr val="accent1">
                <a:shade val="95000"/>
              </a:schemeClr>
            </a:solidFill>
            <a:round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50000"/>
                      <a:lumOff val="50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Sheet1!$B$3</c:f>
              <c:strCache>
                <c:ptCount val="1"/>
                <c:pt idx="0">
                  <c:v>Total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lumMod val="110000"/>
                    <a:satMod val="105000"/>
                    <a:tint val="67000"/>
                  </a:schemeClr>
                </a:gs>
                <a:gs pos="50000">
                  <a:schemeClr val="accent1">
                    <a:lumMod val="105000"/>
                    <a:satMod val="103000"/>
                    <a:tint val="73000"/>
                  </a:schemeClr>
                </a:gs>
                <a:gs pos="100000">
                  <a:schemeClr val="accent1">
                    <a:lumMod val="105000"/>
                    <a:satMod val="109000"/>
                    <a:tint val="81000"/>
                  </a:schemeClr>
                </a:gs>
              </a:gsLst>
              <a:lin ang="5400000" scaled="0"/>
            </a:gradFill>
            <a:ln w="9525" cap="flat" cmpd="sng" algn="ctr">
              <a:solidFill>
                <a:schemeClr val="accent1">
                  <a:shade val="95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dk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Sheet1!$A$4:$A$14</c:f>
              <c:strCache>
                <c:ptCount val="1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</c:strCache>
            </c:strRef>
          </c:cat>
          <c:val>
            <c:numRef>
              <c:f>Sheet1!$B$4:$B$14</c:f>
              <c:numCache>
                <c:formatCode>General</c:formatCode>
                <c:ptCount val="10"/>
                <c:pt idx="0">
                  <c:v>124</c:v>
                </c:pt>
                <c:pt idx="1">
                  <c:v>45</c:v>
                </c:pt>
                <c:pt idx="2">
                  <c:v>35</c:v>
                </c:pt>
                <c:pt idx="3">
                  <c:v>33</c:v>
                </c:pt>
                <c:pt idx="4">
                  <c:v>51</c:v>
                </c:pt>
                <c:pt idx="5">
                  <c:v>80</c:v>
                </c:pt>
                <c:pt idx="6">
                  <c:v>64</c:v>
                </c:pt>
                <c:pt idx="7">
                  <c:v>21</c:v>
                </c:pt>
                <c:pt idx="8">
                  <c:v>60</c:v>
                </c:pt>
                <c:pt idx="9">
                  <c:v>47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2D3-41AC-BB6D-87C127FE6B7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24"/>
        <c:axId val="1598839536"/>
        <c:axId val="1460204480"/>
      </c:barChart>
      <c:catAx>
        <c:axId val="159883953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cap="none" baseline="0">
                    <a:solidFill>
                      <a:schemeClr val="dk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cap="none"/>
                  <a:t>Chromosome 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cap="none" baseline="0">
                  <a:solidFill>
                    <a:schemeClr val="dk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out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dk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460204480"/>
        <c:crosses val="autoZero"/>
        <c:auto val="1"/>
        <c:lblAlgn val="ctr"/>
        <c:lblOffset val="100"/>
        <c:noMultiLvlLbl val="0"/>
      </c:catAx>
      <c:valAx>
        <c:axId val="14602044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cap="none" baseline="0">
                    <a:solidFill>
                      <a:schemeClr val="dk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cap="none"/>
                  <a:t>Number Of Genes (Count) 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cap="none" baseline="0">
                  <a:solidFill>
                    <a:schemeClr val="dk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>
            <a:solidFill>
              <a:schemeClr val="accent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dk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598839536"/>
        <c:crosses val="autoZero"/>
        <c:crossBetween val="between"/>
        <c:minorUnit val="20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12700" cap="flat" cmpd="sng" algn="ctr">
      <a:solidFill>
        <a:schemeClr val="accent1"/>
      </a:solidFill>
      <a:prstDash val="solid"/>
      <a:miter lim="800000"/>
    </a:ln>
    <a:effectLst/>
  </c:spPr>
  <c:txPr>
    <a:bodyPr/>
    <a:lstStyle/>
    <a:p>
      <a:pPr>
        <a:defRPr sz="1100">
          <a:solidFill>
            <a:schemeClr val="dk1"/>
          </a:solidFill>
          <a:latin typeface="Times New Roman" panose="02020603050405020304" pitchFamily="18" charset="0"/>
          <a:ea typeface="+mn-ea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Visible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[Chart in Microsoft Word]Sheet1!PivotTable1</c:name>
    <c:fmtId val="-1"/>
  </c:pivotSource>
  <c:chart>
    <c:title>
      <c:tx>
        <c:rich>
          <a:bodyPr rot="0" spcFirstLastPara="1" vertOverflow="ellipsis" vert="horz" wrap="square" anchor="ctr" anchorCtr="1"/>
          <a:lstStyle/>
          <a:p>
            <a:pPr>
              <a:defRPr sz="1320" b="0" i="0" u="none" strike="noStrike" kern="1200" cap="none" spc="50" normalizeH="0" baseline="0">
                <a:solidFill>
                  <a:schemeClr val="dk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320" b="0" i="0" u="none" strike="noStrike" cap="none" normalizeH="0" baseline="0">
                <a:effectLst/>
              </a:rPr>
              <a:t>Kiani and Szczepaniec, 2018 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320" b="0" i="0" u="none" strike="noStrike" kern="1200" cap="none" spc="50" normalizeH="0" baseline="0">
              <a:solidFill>
                <a:schemeClr val="dk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ivotFmts>
      <c:pivotFmt>
        <c:idx val="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Sheet1!$B$3</c:f>
              <c:strCache>
                <c:ptCount val="1"/>
                <c:pt idx="0">
                  <c:v>Total</c:v>
                </c:pt>
              </c:strCache>
            </c:strRef>
          </c:tx>
          <c:spPr>
            <a:solidFill>
              <a:schemeClr val="accent1">
                <a:alpha val="7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dk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Sheet1!$A$4:$A$14</c:f>
              <c:strCache>
                <c:ptCount val="10"/>
                <c:pt idx="0">
                  <c:v>AC1</c:v>
                </c:pt>
                <c:pt idx="1">
                  <c:v>D1</c:v>
                </c:pt>
                <c:pt idx="2">
                  <c:v>D2 </c:v>
                </c:pt>
                <c:pt idx="3">
                  <c:v>AC2</c:v>
                </c:pt>
                <c:pt idx="4">
                  <c:v>Single_run GHD</c:v>
                </c:pt>
                <c:pt idx="5">
                  <c:v>GHD</c:v>
                </c:pt>
                <c:pt idx="6">
                  <c:v>NDRE</c:v>
                </c:pt>
                <c:pt idx="7">
                  <c:v>NDRE (FL_Cov)</c:v>
                </c:pt>
                <c:pt idx="8">
                  <c:v>NDVI</c:v>
                </c:pt>
                <c:pt idx="9">
                  <c:v>SAVI</c:v>
                </c:pt>
              </c:strCache>
            </c:strRef>
          </c:cat>
          <c:val>
            <c:numRef>
              <c:f>Sheet1!$B$4:$B$14</c:f>
              <c:numCache>
                <c:formatCode>General</c:formatCode>
                <c:ptCount val="10"/>
                <c:pt idx="0">
                  <c:v>69</c:v>
                </c:pt>
                <c:pt idx="1">
                  <c:v>54</c:v>
                </c:pt>
                <c:pt idx="2">
                  <c:v>122</c:v>
                </c:pt>
                <c:pt idx="3">
                  <c:v>7</c:v>
                </c:pt>
                <c:pt idx="4">
                  <c:v>102</c:v>
                </c:pt>
                <c:pt idx="5">
                  <c:v>10</c:v>
                </c:pt>
                <c:pt idx="6">
                  <c:v>141</c:v>
                </c:pt>
                <c:pt idx="7">
                  <c:v>14</c:v>
                </c:pt>
                <c:pt idx="8">
                  <c:v>34</c:v>
                </c:pt>
                <c:pt idx="9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E46-4FFD-B537-95F655CC99D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0"/>
        <c:overlap val="25"/>
        <c:axId val="396005808"/>
        <c:axId val="476599344"/>
      </c:barChart>
      <c:catAx>
        <c:axId val="39600580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cap="none" baseline="0">
                    <a:solidFill>
                      <a:schemeClr val="dk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cap="none"/>
                  <a:t>Traits 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cap="none" baseline="0">
                  <a:solidFill>
                    <a:schemeClr val="dk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1587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cap="none" spc="20" normalizeH="0" baseline="0">
                <a:solidFill>
                  <a:schemeClr val="dk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76599344"/>
        <c:crosses val="autoZero"/>
        <c:auto val="1"/>
        <c:lblAlgn val="ctr"/>
        <c:lblOffset val="100"/>
        <c:noMultiLvlLbl val="0"/>
      </c:catAx>
      <c:valAx>
        <c:axId val="4765993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cap="none" baseline="0">
                    <a:solidFill>
                      <a:schemeClr val="dk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cap="none"/>
                  <a:t>Gene Frequency 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cap="none" baseline="0">
                  <a:solidFill>
                    <a:schemeClr val="dk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out"/>
        <c:tickLblPos val="nextTo"/>
        <c:spPr>
          <a:noFill/>
          <a:ln>
            <a:solidFill>
              <a:schemeClr val="accent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spc="20" baseline="0">
                <a:solidFill>
                  <a:schemeClr val="dk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96005808"/>
        <c:crosses val="autoZero"/>
        <c:crossBetween val="between"/>
        <c:minorUnit val="20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12700" cap="flat" cmpd="sng" algn="ctr">
      <a:solidFill>
        <a:schemeClr val="accent1"/>
      </a:solidFill>
      <a:prstDash val="solid"/>
      <a:miter lim="800000"/>
    </a:ln>
    <a:effectLst/>
  </c:spPr>
  <c:txPr>
    <a:bodyPr/>
    <a:lstStyle/>
    <a:p>
      <a:pPr>
        <a:defRPr sz="1100">
          <a:solidFill>
            <a:schemeClr val="dk1"/>
          </a:solidFill>
          <a:latin typeface="Times New Roman" panose="02020603050405020304" pitchFamily="18" charset="0"/>
          <a:ea typeface="+mn-ea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Visible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[Chart in Microsoft Word]Sheet9!PivotTable3</c:name>
    <c:fmtId val="-1"/>
  </c:pivotSource>
  <c:chart>
    <c:title>
      <c:tx>
        <c:rich>
          <a:bodyPr rot="0" spcFirstLastPara="1" vertOverflow="ellipsis" vert="horz" wrap="square" anchor="ctr" anchorCtr="1"/>
          <a:lstStyle/>
          <a:p>
            <a:pPr>
              <a:defRPr sz="1440" b="0" i="0" u="none" strike="noStrike" kern="1200" cap="none" spc="20" baseline="0">
                <a:solidFill>
                  <a:schemeClr val="dk1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Tetreault, H.M. et al., 2019 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40" b="0" i="0" u="none" strike="noStrike" kern="1200" cap="none" spc="20" baseline="0">
              <a:solidFill>
                <a:schemeClr val="dk1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ivotFmts>
      <c:pivotFmt>
        <c:idx val="0"/>
        <c:spPr>
          <a:gradFill rotWithShape="1">
            <a:gsLst>
              <a:gs pos="0">
                <a:schemeClr val="accent1">
                  <a:lumMod val="110000"/>
                  <a:satMod val="105000"/>
                  <a:tint val="67000"/>
                </a:schemeClr>
              </a:gs>
              <a:gs pos="50000">
                <a:schemeClr val="accent1">
                  <a:lumMod val="105000"/>
                  <a:satMod val="103000"/>
                  <a:tint val="73000"/>
                </a:schemeClr>
              </a:gs>
              <a:gs pos="100000">
                <a:schemeClr val="accent1">
                  <a:lumMod val="105000"/>
                  <a:satMod val="109000"/>
                  <a:tint val="81000"/>
                </a:schemeClr>
              </a:gs>
            </a:gsLst>
            <a:lin ang="5400000" scaled="0"/>
          </a:gradFill>
          <a:ln w="9525" cap="flat" cmpd="sng" algn="ctr">
            <a:solidFill>
              <a:schemeClr val="accent1">
                <a:shade val="95000"/>
              </a:schemeClr>
            </a:solidFill>
            <a:round/>
          </a:ln>
          <a:effectLst/>
        </c:spPr>
        <c:marker>
          <c:symbol val="circle"/>
          <c:size val="4"/>
          <c:spPr>
            <a:gradFill rotWithShape="1">
              <a:gsLst>
                <a:gs pos="0">
                  <a:schemeClr val="accent1">
                    <a:lumMod val="110000"/>
                    <a:satMod val="105000"/>
                    <a:tint val="67000"/>
                  </a:schemeClr>
                </a:gs>
                <a:gs pos="50000">
                  <a:schemeClr val="accent1">
                    <a:lumMod val="105000"/>
                    <a:satMod val="103000"/>
                    <a:tint val="73000"/>
                  </a:schemeClr>
                </a:gs>
                <a:gs pos="100000">
                  <a:schemeClr val="accent1">
                    <a:lumMod val="105000"/>
                    <a:satMod val="109000"/>
                    <a:tint val="81000"/>
                  </a:schemeClr>
                </a:gs>
              </a:gsLst>
              <a:lin ang="5400000" scaled="0"/>
            </a:gradFill>
            <a:ln w="9525" cap="flat" cmpd="sng" algn="ctr">
              <a:solidFill>
                <a:schemeClr val="accent1">
                  <a:shade val="95000"/>
                </a:schemeClr>
              </a:solidFill>
              <a:round/>
            </a:ln>
            <a:effectLst/>
          </c:spPr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50000"/>
                      <a:lumOff val="50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spPr>
          <a:gradFill rotWithShape="1">
            <a:gsLst>
              <a:gs pos="0">
                <a:schemeClr val="accent1">
                  <a:lumMod val="110000"/>
                  <a:satMod val="105000"/>
                  <a:tint val="67000"/>
                </a:schemeClr>
              </a:gs>
              <a:gs pos="50000">
                <a:schemeClr val="accent1">
                  <a:lumMod val="105000"/>
                  <a:satMod val="103000"/>
                  <a:tint val="73000"/>
                </a:schemeClr>
              </a:gs>
              <a:gs pos="100000">
                <a:schemeClr val="accent1">
                  <a:lumMod val="105000"/>
                  <a:satMod val="109000"/>
                  <a:tint val="81000"/>
                </a:schemeClr>
              </a:gs>
            </a:gsLst>
            <a:lin ang="5400000" scaled="0"/>
          </a:gradFill>
          <a:ln w="9525" cap="flat" cmpd="sng" algn="ctr">
            <a:solidFill>
              <a:schemeClr val="accent1">
                <a:shade val="95000"/>
              </a:schemeClr>
            </a:solidFill>
            <a:round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50000"/>
                      <a:lumOff val="50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"/>
        <c:spPr>
          <a:gradFill rotWithShape="1">
            <a:gsLst>
              <a:gs pos="0">
                <a:schemeClr val="accent1">
                  <a:lumMod val="110000"/>
                  <a:satMod val="105000"/>
                  <a:tint val="67000"/>
                </a:schemeClr>
              </a:gs>
              <a:gs pos="50000">
                <a:schemeClr val="accent1">
                  <a:lumMod val="105000"/>
                  <a:satMod val="103000"/>
                  <a:tint val="73000"/>
                </a:schemeClr>
              </a:gs>
              <a:gs pos="100000">
                <a:schemeClr val="accent1">
                  <a:lumMod val="105000"/>
                  <a:satMod val="109000"/>
                  <a:tint val="81000"/>
                </a:schemeClr>
              </a:gs>
            </a:gsLst>
            <a:lin ang="5400000" scaled="0"/>
          </a:gradFill>
          <a:ln w="9525" cap="flat" cmpd="sng" algn="ctr">
            <a:solidFill>
              <a:schemeClr val="accent1">
                <a:shade val="95000"/>
              </a:schemeClr>
            </a:solidFill>
            <a:round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50000"/>
                      <a:lumOff val="50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Sheet9!$B$3</c:f>
              <c:strCache>
                <c:ptCount val="1"/>
                <c:pt idx="0">
                  <c:v>Total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lumMod val="110000"/>
                    <a:satMod val="105000"/>
                    <a:tint val="67000"/>
                  </a:schemeClr>
                </a:gs>
                <a:gs pos="50000">
                  <a:schemeClr val="accent1">
                    <a:lumMod val="105000"/>
                    <a:satMod val="103000"/>
                    <a:tint val="73000"/>
                  </a:schemeClr>
                </a:gs>
                <a:gs pos="100000">
                  <a:schemeClr val="accent1">
                    <a:lumMod val="105000"/>
                    <a:satMod val="109000"/>
                    <a:tint val="81000"/>
                  </a:schemeClr>
                </a:gs>
              </a:gsLst>
              <a:lin ang="5400000" scaled="0"/>
            </a:gradFill>
            <a:ln w="9525" cap="flat" cmpd="sng" algn="ctr">
              <a:solidFill>
                <a:schemeClr val="accent1">
                  <a:shade val="95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dk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Sheet9!$A$4:$A$14</c:f>
              <c:strCache>
                <c:ptCount val="1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</c:strCache>
            </c:strRef>
          </c:cat>
          <c:val>
            <c:numRef>
              <c:f>Sheet9!$B$4:$B$14</c:f>
              <c:numCache>
                <c:formatCode>General</c:formatCode>
                <c:ptCount val="10"/>
                <c:pt idx="0">
                  <c:v>187</c:v>
                </c:pt>
                <c:pt idx="1">
                  <c:v>89</c:v>
                </c:pt>
                <c:pt idx="2">
                  <c:v>72</c:v>
                </c:pt>
                <c:pt idx="3">
                  <c:v>52</c:v>
                </c:pt>
                <c:pt idx="4">
                  <c:v>71</c:v>
                </c:pt>
                <c:pt idx="5">
                  <c:v>132</c:v>
                </c:pt>
                <c:pt idx="6">
                  <c:v>103</c:v>
                </c:pt>
                <c:pt idx="7">
                  <c:v>31</c:v>
                </c:pt>
                <c:pt idx="8">
                  <c:v>95</c:v>
                </c:pt>
                <c:pt idx="9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DBD-4000-960E-7F742682AA45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00"/>
        <c:overlap val="-24"/>
        <c:axId val="22457743"/>
        <c:axId val="493118079"/>
      </c:barChart>
      <c:catAx>
        <c:axId val="22457743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cap="none" baseline="0">
                    <a:solidFill>
                      <a:schemeClr val="dk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cap="none"/>
                  <a:t>Chromosome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cap="none" baseline="0">
                  <a:solidFill>
                    <a:schemeClr val="dk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out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dk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93118079"/>
        <c:crosses val="autoZero"/>
        <c:auto val="1"/>
        <c:lblAlgn val="ctr"/>
        <c:lblOffset val="100"/>
        <c:noMultiLvlLbl val="0"/>
      </c:catAx>
      <c:valAx>
        <c:axId val="493118079"/>
        <c:scaling>
          <c:orientation val="minMax"/>
          <c:min val="1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cap="none" baseline="0">
                    <a:solidFill>
                      <a:schemeClr val="dk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cap="none"/>
                  <a:t>Gene frequency </a:t>
                </a:r>
              </a:p>
            </c:rich>
          </c:tx>
          <c:layout>
            <c:manualLayout>
              <c:xMode val="edge"/>
              <c:yMode val="edge"/>
              <c:x val="1.5190972222222222E-2"/>
              <c:y val="0.2825004233341799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cap="none" baseline="0">
                  <a:solidFill>
                    <a:schemeClr val="dk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out"/>
        <c:tickLblPos val="nextTo"/>
        <c:spPr>
          <a:noFill/>
          <a:ln>
            <a:solidFill>
              <a:schemeClr val="accent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dk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2457743"/>
        <c:crosses val="autoZero"/>
        <c:crossBetween val="between"/>
        <c:majorUnit val="30"/>
        <c:minorUnit val="30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12700" cap="flat" cmpd="sng" algn="ctr">
      <a:solidFill>
        <a:schemeClr val="accent1"/>
      </a:solidFill>
      <a:prstDash val="solid"/>
      <a:miter lim="800000"/>
    </a:ln>
    <a:effectLst/>
  </c:spPr>
  <c:txPr>
    <a:bodyPr/>
    <a:lstStyle/>
    <a:p>
      <a:pPr>
        <a:defRPr sz="1200">
          <a:solidFill>
            <a:schemeClr val="dk1"/>
          </a:solidFill>
          <a:latin typeface="+mn-lt"/>
          <a:ea typeface="+mn-ea"/>
          <a:cs typeface="+mn-cs"/>
        </a:defRPr>
      </a:pPr>
      <a:endParaRPr lang="en-US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Visible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[LRR-Global full unique _hit_200k_range_marker_gene_list_global_response.xlsx]Sheet9!PivotTable3</c:name>
    <c:fmtId val="-1"/>
  </c:pivotSource>
  <c:chart>
    <c:title>
      <c:tx>
        <c:rich>
          <a:bodyPr rot="0" spcFirstLastPara="1" vertOverflow="ellipsis" vert="horz" wrap="square" anchor="ctr" anchorCtr="1"/>
          <a:lstStyle/>
          <a:p>
            <a:pPr>
              <a:defRPr sz="1320" b="0" i="0" u="none" strike="noStrike" kern="1200" cap="none" spc="20" baseline="0">
                <a:solidFill>
                  <a:schemeClr val="dk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Tetreault, H.M. et al.,</a:t>
            </a:r>
            <a:r>
              <a:rPr lang="en-US" baseline="0"/>
              <a:t> </a:t>
            </a:r>
            <a:r>
              <a:rPr lang="en-US"/>
              <a:t>2019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320" b="0" i="0" u="none" strike="noStrike" kern="1200" cap="none" spc="20" baseline="0">
              <a:solidFill>
                <a:schemeClr val="dk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ivotFmts>
      <c:pivotFmt>
        <c:idx val="0"/>
        <c:spPr>
          <a:gradFill rotWithShape="1">
            <a:gsLst>
              <a:gs pos="0">
                <a:schemeClr val="accent1">
                  <a:lumMod val="110000"/>
                  <a:satMod val="105000"/>
                  <a:tint val="67000"/>
                </a:schemeClr>
              </a:gs>
              <a:gs pos="50000">
                <a:schemeClr val="accent1">
                  <a:lumMod val="105000"/>
                  <a:satMod val="103000"/>
                  <a:tint val="73000"/>
                </a:schemeClr>
              </a:gs>
              <a:gs pos="100000">
                <a:schemeClr val="accent1">
                  <a:lumMod val="105000"/>
                  <a:satMod val="109000"/>
                  <a:tint val="81000"/>
                </a:schemeClr>
              </a:gs>
            </a:gsLst>
            <a:lin ang="5400000" scaled="0"/>
          </a:gradFill>
          <a:ln w="9525" cap="flat" cmpd="sng" algn="ctr">
            <a:solidFill>
              <a:schemeClr val="accent1">
                <a:shade val="95000"/>
              </a:schemeClr>
            </a:solidFill>
            <a:round/>
          </a:ln>
          <a:effectLst/>
        </c:spPr>
        <c:marker>
          <c:symbol val="circle"/>
          <c:size val="4"/>
          <c:spPr>
            <a:gradFill rotWithShape="1">
              <a:gsLst>
                <a:gs pos="0">
                  <a:schemeClr val="accent1">
                    <a:lumMod val="110000"/>
                    <a:satMod val="105000"/>
                    <a:tint val="67000"/>
                  </a:schemeClr>
                </a:gs>
                <a:gs pos="50000">
                  <a:schemeClr val="accent1">
                    <a:lumMod val="105000"/>
                    <a:satMod val="103000"/>
                    <a:tint val="73000"/>
                  </a:schemeClr>
                </a:gs>
                <a:gs pos="100000">
                  <a:schemeClr val="accent1">
                    <a:lumMod val="105000"/>
                    <a:satMod val="109000"/>
                    <a:tint val="81000"/>
                  </a:schemeClr>
                </a:gs>
              </a:gsLst>
              <a:lin ang="5400000" scaled="0"/>
            </a:gradFill>
            <a:ln w="9525" cap="flat" cmpd="sng" algn="ctr">
              <a:solidFill>
                <a:schemeClr val="accent1">
                  <a:shade val="95000"/>
                </a:schemeClr>
              </a:solidFill>
              <a:round/>
            </a:ln>
            <a:effectLst/>
          </c:spPr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50000"/>
                      <a:lumOff val="50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spPr>
          <a:gradFill rotWithShape="1">
            <a:gsLst>
              <a:gs pos="0">
                <a:schemeClr val="accent1">
                  <a:lumMod val="110000"/>
                  <a:satMod val="105000"/>
                  <a:tint val="67000"/>
                </a:schemeClr>
              </a:gs>
              <a:gs pos="50000">
                <a:schemeClr val="accent1">
                  <a:lumMod val="105000"/>
                  <a:satMod val="103000"/>
                  <a:tint val="73000"/>
                </a:schemeClr>
              </a:gs>
              <a:gs pos="100000">
                <a:schemeClr val="accent1">
                  <a:lumMod val="105000"/>
                  <a:satMod val="109000"/>
                  <a:tint val="81000"/>
                </a:schemeClr>
              </a:gs>
            </a:gsLst>
            <a:lin ang="5400000" scaled="0"/>
          </a:gradFill>
          <a:ln w="9525" cap="flat" cmpd="sng" algn="ctr">
            <a:solidFill>
              <a:schemeClr val="accent1">
                <a:shade val="95000"/>
              </a:schemeClr>
            </a:solidFill>
            <a:round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50000"/>
                      <a:lumOff val="50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"/>
        <c:spPr>
          <a:gradFill rotWithShape="1">
            <a:gsLst>
              <a:gs pos="0">
                <a:schemeClr val="accent1">
                  <a:lumMod val="110000"/>
                  <a:satMod val="105000"/>
                  <a:tint val="67000"/>
                </a:schemeClr>
              </a:gs>
              <a:gs pos="50000">
                <a:schemeClr val="accent1">
                  <a:lumMod val="105000"/>
                  <a:satMod val="103000"/>
                  <a:tint val="73000"/>
                </a:schemeClr>
              </a:gs>
              <a:gs pos="100000">
                <a:schemeClr val="accent1">
                  <a:lumMod val="105000"/>
                  <a:satMod val="109000"/>
                  <a:tint val="81000"/>
                </a:schemeClr>
              </a:gs>
            </a:gsLst>
            <a:lin ang="5400000" scaled="0"/>
          </a:gradFill>
          <a:ln w="9525" cap="flat" cmpd="sng" algn="ctr">
            <a:solidFill>
              <a:schemeClr val="accent1">
                <a:shade val="95000"/>
              </a:schemeClr>
            </a:solidFill>
            <a:round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50000"/>
                      <a:lumOff val="50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Sheet9!$B$3</c:f>
              <c:strCache>
                <c:ptCount val="1"/>
                <c:pt idx="0">
                  <c:v>Total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lumMod val="110000"/>
                    <a:satMod val="105000"/>
                    <a:tint val="67000"/>
                  </a:schemeClr>
                </a:gs>
                <a:gs pos="50000">
                  <a:schemeClr val="accent1">
                    <a:lumMod val="105000"/>
                    <a:satMod val="103000"/>
                    <a:tint val="73000"/>
                  </a:schemeClr>
                </a:gs>
                <a:gs pos="100000">
                  <a:schemeClr val="accent1">
                    <a:lumMod val="105000"/>
                    <a:satMod val="109000"/>
                    <a:tint val="81000"/>
                  </a:schemeClr>
                </a:gs>
              </a:gsLst>
              <a:lin ang="5400000" scaled="0"/>
            </a:gradFill>
            <a:ln w="9525" cap="flat" cmpd="sng" algn="ctr">
              <a:solidFill>
                <a:schemeClr val="accent1">
                  <a:shade val="95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dk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Sheet9!$A$4:$A$14</c:f>
              <c:strCache>
                <c:ptCount val="10"/>
                <c:pt idx="0">
                  <c:v>AC1</c:v>
                </c:pt>
                <c:pt idx="1">
                  <c:v>D1 </c:v>
                </c:pt>
                <c:pt idx="2">
                  <c:v>D2</c:v>
                </c:pt>
                <c:pt idx="3">
                  <c:v>AC2</c:v>
                </c:pt>
                <c:pt idx="4">
                  <c:v>Single Run-GHD</c:v>
                </c:pt>
                <c:pt idx="5">
                  <c:v>GHD</c:v>
                </c:pt>
                <c:pt idx="6">
                  <c:v>NDRE</c:v>
                </c:pt>
                <c:pt idx="7">
                  <c:v>NDRE (FL_Cov)</c:v>
                </c:pt>
                <c:pt idx="8">
                  <c:v>NDVI</c:v>
                </c:pt>
                <c:pt idx="9">
                  <c:v>SAVI</c:v>
                </c:pt>
              </c:strCache>
            </c:strRef>
          </c:cat>
          <c:val>
            <c:numRef>
              <c:f>Sheet9!$B$4:$B$14</c:f>
              <c:numCache>
                <c:formatCode>General</c:formatCode>
                <c:ptCount val="10"/>
                <c:pt idx="0">
                  <c:v>94</c:v>
                </c:pt>
                <c:pt idx="1">
                  <c:v>100</c:v>
                </c:pt>
                <c:pt idx="2">
                  <c:v>194</c:v>
                </c:pt>
                <c:pt idx="3">
                  <c:v>18</c:v>
                </c:pt>
                <c:pt idx="4">
                  <c:v>159</c:v>
                </c:pt>
                <c:pt idx="5">
                  <c:v>20</c:v>
                </c:pt>
                <c:pt idx="6">
                  <c:v>247</c:v>
                </c:pt>
                <c:pt idx="7">
                  <c:v>13</c:v>
                </c:pt>
                <c:pt idx="8">
                  <c:v>48</c:v>
                </c:pt>
                <c:pt idx="9">
                  <c:v>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B35-4BD0-A96E-A89A6BBA2589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00"/>
        <c:overlap val="-24"/>
        <c:axId val="22457743"/>
        <c:axId val="493118079"/>
      </c:barChart>
      <c:catAx>
        <c:axId val="22457743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cap="none" baseline="0">
                    <a:solidFill>
                      <a:schemeClr val="dk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cap="none"/>
                  <a:t>Traits</a:t>
                </a:r>
              </a:p>
            </c:rich>
          </c:tx>
          <c:layout>
            <c:manualLayout>
              <c:xMode val="edge"/>
              <c:yMode val="edge"/>
              <c:x val="0.51283720216791084"/>
              <c:y val="0.8464747601168126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cap="none" baseline="0">
                  <a:solidFill>
                    <a:schemeClr val="dk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dk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93118079"/>
        <c:crosses val="autoZero"/>
        <c:auto val="1"/>
        <c:lblAlgn val="ctr"/>
        <c:lblOffset val="100"/>
        <c:noMultiLvlLbl val="0"/>
      </c:catAx>
      <c:valAx>
        <c:axId val="49311807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cap="none" baseline="0">
                    <a:solidFill>
                      <a:schemeClr val="dk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cap="none"/>
                  <a:t>Gene frequency 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cap="none" baseline="0">
                  <a:solidFill>
                    <a:schemeClr val="dk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dk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24577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12700" cap="flat" cmpd="sng" algn="ctr">
      <a:solidFill>
        <a:schemeClr val="accent1"/>
      </a:solidFill>
      <a:prstDash val="solid"/>
      <a:miter lim="800000"/>
    </a:ln>
    <a:effectLst/>
  </c:spPr>
  <c:txPr>
    <a:bodyPr/>
    <a:lstStyle/>
    <a:p>
      <a:pPr>
        <a:defRPr sz="1100">
          <a:solidFill>
            <a:schemeClr val="dk1"/>
          </a:solidFill>
          <a:latin typeface="Times New Roman" panose="02020603050405020304" pitchFamily="18" charset="0"/>
          <a:ea typeface="+mn-ea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Visible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6">
  <cs:axisTitle>
    <cs:lnRef idx="0"/>
    <cs:fillRef idx="0"/>
    <cs:effectRef idx="0"/>
    <cs:fontRef idx="minor">
      <a:schemeClr val="tx1">
        <a:lumMod val="50000"/>
        <a:lumOff val="50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158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Marker>
  <cs:dataPointMarkerLayout symbol="circle" size="4"/>
  <cs:dataPointWirefram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15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587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 cap="none" spc="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bg1"/>
    </cs:fontRef>
    <cs:spPr>
      <a:solidFill>
        <a:schemeClr val="tx1">
          <a:lumMod val="50000"/>
          <a:lumOff val="50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70000"/>
        </a:schemeClr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70000"/>
        </a:schemeClr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>
            <a:alpha val="70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70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 baseline="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tx1">
        <a:lumMod val="65000"/>
        <a:lumOff val="35000"/>
      </a:schemeClr>
    </cs:fontRef>
    <cs:defRPr sz="1600" b="0" i="0" kern="1200" cap="none" spc="5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587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06">
  <cs:axisTitle>
    <cs:lnRef idx="0"/>
    <cs:fillRef idx="0"/>
    <cs:effectRef idx="0"/>
    <cs:fontRef idx="minor">
      <a:schemeClr val="tx1">
        <a:lumMod val="50000"/>
        <a:lumOff val="50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158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Marker>
  <cs:dataPointMarkerLayout symbol="circle" size="4"/>
  <cs:dataPointWirefram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06">
  <cs:axisTitle>
    <cs:lnRef idx="0"/>
    <cs:fillRef idx="0"/>
    <cs:effectRef idx="0"/>
    <cs:fontRef idx="minor">
      <a:schemeClr val="tx1">
        <a:lumMod val="50000"/>
        <a:lumOff val="50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158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Marker>
  <cs:dataPointMarkerLayout symbol="circle" size="4"/>
  <cs:dataPointWirefram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299688068CB64A867DF2F7DA8F56F2" ma:contentTypeVersion="14" ma:contentTypeDescription="Create a new document." ma:contentTypeScope="" ma:versionID="f946ef9614b8cf956c0f93f2bb580838">
  <xsd:schema xmlns:xsd="http://www.w3.org/2001/XMLSchema" xmlns:xs="http://www.w3.org/2001/XMLSchema" xmlns:p="http://schemas.microsoft.com/office/2006/metadata/properties" xmlns:ns3="a04a10d7-3ccc-4977-983c-c8e8dec67334" xmlns:ns4="17254bc8-3377-4cdd-ac78-bba65a878bd5" targetNamespace="http://schemas.microsoft.com/office/2006/metadata/properties" ma:root="true" ma:fieldsID="ba0fa860c875cda0e5d0b430f17635ce" ns3:_="" ns4:_="">
    <xsd:import namespace="a04a10d7-3ccc-4977-983c-c8e8dec67334"/>
    <xsd:import namespace="17254bc8-3377-4cdd-ac78-bba65a878bd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4a10d7-3ccc-4977-983c-c8e8dec6733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254bc8-3377-4cdd-ac78-bba65a878bd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B30CFD3-643B-46AE-8B16-D6AE8922309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06DEA03-B376-4B35-890F-14CB90E007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4a10d7-3ccc-4977-983c-c8e8dec67334"/>
    <ds:schemaRef ds:uri="17254bc8-3377-4cdd-ac78-bba65a878b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60F4505-5BF4-4467-ADCD-4C5D30F6E22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Ayele, Addissu</dc:creator>
  <cp:keywords/>
  <dc:description/>
  <cp:lastModifiedBy>Ayele, Addissu</cp:lastModifiedBy>
  <cp:revision>2</cp:revision>
  <dcterms:created xsi:type="dcterms:W3CDTF">2021-10-14T17:13:00Z</dcterms:created>
  <dcterms:modified xsi:type="dcterms:W3CDTF">2021-10-14T17:13:00Z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0x010100A2299688068CB64A867DF2F7DA8F56F2</vt:lpwstr>
  </property>
</Properties>
</file>