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D7598" w14:textId="79804BDB" w:rsidR="006F6ACF" w:rsidRPr="00872A29" w:rsidRDefault="006F6ACF" w:rsidP="00C32749">
      <w:pPr>
        <w:pStyle w:val="Title"/>
        <w:suppressAutoHyphens/>
        <w:jc w:val="left"/>
        <w:rPr>
          <w:rFonts w:ascii="Aptos" w:hAnsi="Aptos"/>
          <w:b/>
          <w:bCs/>
          <w:color w:val="auto"/>
          <w:sz w:val="36"/>
          <w:szCs w:val="36"/>
        </w:rPr>
      </w:pPr>
      <w:r w:rsidRPr="00872A29">
        <w:rPr>
          <w:rFonts w:ascii="Aptos" w:hAnsi="Aptos"/>
          <w:b/>
          <w:bCs/>
          <w:color w:val="auto"/>
          <w:sz w:val="36"/>
          <w:szCs w:val="36"/>
        </w:rPr>
        <w:t>SUPPLEMENTARY INFORMATION 2</w:t>
      </w:r>
    </w:p>
    <w:p w14:paraId="592B6361" w14:textId="77777777" w:rsidR="006F6ACF" w:rsidRPr="00872A29" w:rsidRDefault="006F6ACF" w:rsidP="006F6ACF">
      <w:pPr>
        <w:rPr>
          <w:rFonts w:ascii="Aptos" w:hAnsi="Aptos"/>
        </w:rPr>
      </w:pPr>
    </w:p>
    <w:p w14:paraId="094A3340" w14:textId="071FB7DE" w:rsidR="006D226F" w:rsidRPr="00872A29" w:rsidRDefault="00EB3B0E" w:rsidP="00C32749">
      <w:pPr>
        <w:pStyle w:val="Title"/>
        <w:suppressAutoHyphens/>
        <w:jc w:val="left"/>
        <w:rPr>
          <w:rFonts w:ascii="Aptos" w:hAnsi="Aptos"/>
          <w:b/>
          <w:bCs/>
          <w:color w:val="auto"/>
          <w:sz w:val="32"/>
          <w:szCs w:val="32"/>
        </w:rPr>
      </w:pPr>
      <w:r w:rsidRPr="00872A29">
        <w:rPr>
          <w:rFonts w:ascii="Aptos" w:hAnsi="Aptos"/>
          <w:b/>
          <w:bCs/>
          <w:color w:val="auto"/>
          <w:sz w:val="32"/>
          <w:szCs w:val="32"/>
        </w:rPr>
        <w:t xml:space="preserve">Setting corporate </w:t>
      </w:r>
      <w:r w:rsidR="0045371E" w:rsidRPr="00872A29">
        <w:rPr>
          <w:rFonts w:ascii="Aptos" w:hAnsi="Aptos"/>
          <w:b/>
          <w:bCs/>
          <w:color w:val="auto"/>
          <w:sz w:val="32"/>
          <w:szCs w:val="32"/>
        </w:rPr>
        <w:t>c</w:t>
      </w:r>
      <w:r w:rsidRPr="00872A29">
        <w:rPr>
          <w:rFonts w:ascii="Aptos" w:hAnsi="Aptos"/>
          <w:b/>
          <w:bCs/>
          <w:color w:val="auto"/>
          <w:sz w:val="32"/>
          <w:szCs w:val="32"/>
        </w:rPr>
        <w:t xml:space="preserve">limate </w:t>
      </w:r>
      <w:r w:rsidR="0045371E" w:rsidRPr="00872A29">
        <w:rPr>
          <w:rFonts w:ascii="Aptos" w:hAnsi="Aptos"/>
          <w:b/>
          <w:bCs/>
          <w:color w:val="auto"/>
          <w:sz w:val="32"/>
          <w:szCs w:val="32"/>
        </w:rPr>
        <w:t>t</w:t>
      </w:r>
      <w:r w:rsidRPr="00872A29">
        <w:rPr>
          <w:rFonts w:ascii="Aptos" w:hAnsi="Aptos"/>
          <w:b/>
          <w:bCs/>
          <w:color w:val="auto"/>
          <w:sz w:val="32"/>
          <w:szCs w:val="32"/>
        </w:rPr>
        <w:t xml:space="preserve">argets </w:t>
      </w:r>
      <w:r w:rsidR="0045371E" w:rsidRPr="00872A29">
        <w:rPr>
          <w:rFonts w:ascii="Aptos" w:hAnsi="Aptos"/>
          <w:b/>
          <w:bCs/>
          <w:color w:val="auto"/>
          <w:sz w:val="32"/>
          <w:szCs w:val="32"/>
        </w:rPr>
        <w:t>b</w:t>
      </w:r>
      <w:r w:rsidRPr="00872A29">
        <w:rPr>
          <w:rFonts w:ascii="Aptos" w:hAnsi="Aptos"/>
          <w:b/>
          <w:bCs/>
          <w:color w:val="auto"/>
          <w:sz w:val="32"/>
          <w:szCs w:val="32"/>
        </w:rPr>
        <w:t xml:space="preserve">ased on the </w:t>
      </w:r>
      <w:r w:rsidR="0045371E" w:rsidRPr="00872A29">
        <w:rPr>
          <w:rFonts w:ascii="Aptos" w:hAnsi="Aptos"/>
          <w:b/>
          <w:bCs/>
          <w:color w:val="auto"/>
          <w:sz w:val="32"/>
          <w:szCs w:val="32"/>
        </w:rPr>
        <w:t>consumer needs</w:t>
      </w:r>
      <w:r w:rsidRPr="00872A29">
        <w:rPr>
          <w:rFonts w:ascii="Aptos" w:hAnsi="Aptos"/>
          <w:b/>
          <w:bCs/>
          <w:color w:val="auto"/>
          <w:sz w:val="32"/>
          <w:szCs w:val="32"/>
        </w:rPr>
        <w:t xml:space="preserve"> </w:t>
      </w:r>
      <w:proofErr w:type="gramStart"/>
      <w:r w:rsidR="0045371E" w:rsidRPr="00872A29">
        <w:rPr>
          <w:rFonts w:ascii="Aptos" w:hAnsi="Aptos"/>
          <w:b/>
          <w:bCs/>
          <w:color w:val="auto"/>
          <w:sz w:val="32"/>
          <w:szCs w:val="32"/>
        </w:rPr>
        <w:t>c</w:t>
      </w:r>
      <w:r w:rsidRPr="00872A29">
        <w:rPr>
          <w:rFonts w:ascii="Aptos" w:hAnsi="Aptos"/>
          <w:b/>
          <w:bCs/>
          <w:color w:val="auto"/>
          <w:sz w:val="32"/>
          <w:szCs w:val="32"/>
        </w:rPr>
        <w:t>ompanies</w:t>
      </w:r>
      <w:proofErr w:type="gramEnd"/>
      <w:r w:rsidRPr="00872A29">
        <w:rPr>
          <w:rFonts w:ascii="Aptos" w:hAnsi="Aptos"/>
          <w:b/>
          <w:bCs/>
          <w:color w:val="auto"/>
          <w:sz w:val="32"/>
          <w:szCs w:val="32"/>
        </w:rPr>
        <w:t xml:space="preserve"> </w:t>
      </w:r>
      <w:r w:rsidR="0045371E" w:rsidRPr="00872A29">
        <w:rPr>
          <w:rFonts w:ascii="Aptos" w:hAnsi="Aptos"/>
          <w:b/>
          <w:bCs/>
          <w:color w:val="auto"/>
          <w:sz w:val="32"/>
          <w:szCs w:val="32"/>
        </w:rPr>
        <w:t>s</w:t>
      </w:r>
      <w:r w:rsidRPr="00872A29">
        <w:rPr>
          <w:rFonts w:ascii="Aptos" w:hAnsi="Aptos"/>
          <w:b/>
          <w:bCs/>
          <w:color w:val="auto"/>
          <w:sz w:val="32"/>
          <w:szCs w:val="32"/>
        </w:rPr>
        <w:t>upport</w:t>
      </w:r>
    </w:p>
    <w:p w14:paraId="575A2CF0" w14:textId="77777777" w:rsidR="00BC41D5" w:rsidRPr="00872A29" w:rsidRDefault="00BC41D5" w:rsidP="00196FE1">
      <w:pPr>
        <w:suppressAutoHyphens/>
        <w:rPr>
          <w:rFonts w:ascii="Aptos" w:hAnsi="Aptos"/>
          <w:color w:val="auto"/>
        </w:rPr>
      </w:pPr>
    </w:p>
    <w:p w14:paraId="24E8EFE9" w14:textId="021C3BE1" w:rsidR="00287946" w:rsidRPr="00B252F1" w:rsidRDefault="00F13839" w:rsidP="00F659B0">
      <w:pPr>
        <w:pStyle w:val="Title"/>
        <w:suppressAutoHyphens/>
        <w:jc w:val="left"/>
        <w:rPr>
          <w:rFonts w:ascii="Aptos" w:hAnsi="Aptos"/>
          <w:b/>
          <w:bCs/>
          <w:color w:val="auto"/>
          <w:sz w:val="18"/>
          <w:szCs w:val="18"/>
        </w:rPr>
      </w:pPr>
      <w:r w:rsidRPr="00B252F1">
        <w:rPr>
          <w:rFonts w:ascii="Aptos" w:hAnsi="Aptos"/>
          <w:b/>
          <w:bCs/>
          <w:color w:val="auto"/>
          <w:sz w:val="18"/>
          <w:szCs w:val="18"/>
        </w:rPr>
        <w:t>Teddy Serrano</w:t>
      </w:r>
      <w:r w:rsidR="00AA4CF6" w:rsidRPr="00B252F1">
        <w:rPr>
          <w:rFonts w:ascii="Aptos" w:hAnsi="Aptos"/>
          <w:b/>
          <w:bCs/>
          <w:color w:val="auto"/>
          <w:sz w:val="18"/>
          <w:szCs w:val="18"/>
          <w:vertAlign w:val="superscript"/>
        </w:rPr>
        <w:t>1,</w:t>
      </w:r>
      <w:proofErr w:type="gramStart"/>
      <w:r w:rsidR="00AA4CF6" w:rsidRPr="00B252F1">
        <w:rPr>
          <w:rFonts w:ascii="Aptos" w:hAnsi="Aptos"/>
          <w:b/>
          <w:bCs/>
          <w:color w:val="auto"/>
          <w:sz w:val="18"/>
          <w:szCs w:val="18"/>
          <w:vertAlign w:val="superscript"/>
        </w:rPr>
        <w:t>2</w:t>
      </w:r>
      <w:r w:rsidR="006D226F" w:rsidRPr="00B252F1">
        <w:rPr>
          <w:rFonts w:ascii="Aptos" w:hAnsi="Aptos"/>
          <w:b/>
          <w:bCs/>
          <w:color w:val="auto"/>
          <w:sz w:val="18"/>
          <w:szCs w:val="18"/>
          <w:vertAlign w:val="superscript"/>
        </w:rPr>
        <w:t>,*</w:t>
      </w:r>
      <w:proofErr w:type="gramEnd"/>
      <w:r w:rsidRPr="00B252F1">
        <w:rPr>
          <w:rFonts w:ascii="Aptos" w:hAnsi="Aptos"/>
          <w:b/>
          <w:bCs/>
          <w:color w:val="auto"/>
          <w:sz w:val="18"/>
          <w:szCs w:val="18"/>
        </w:rPr>
        <w:t>,</w:t>
      </w:r>
      <w:r w:rsidR="00287946" w:rsidRPr="00B252F1">
        <w:rPr>
          <w:rFonts w:ascii="Aptos" w:hAnsi="Aptos"/>
          <w:b/>
          <w:bCs/>
          <w:color w:val="auto"/>
          <w:sz w:val="18"/>
          <w:szCs w:val="18"/>
        </w:rPr>
        <w:t xml:space="preserve"> </w:t>
      </w:r>
      <w:r w:rsidR="0045371E" w:rsidRPr="00B252F1">
        <w:rPr>
          <w:rFonts w:ascii="Aptos" w:hAnsi="Aptos"/>
          <w:b/>
          <w:bCs/>
          <w:color w:val="auto"/>
          <w:sz w:val="18"/>
          <w:szCs w:val="18"/>
        </w:rPr>
        <w:t>Moritz Günther</w:t>
      </w:r>
      <w:r w:rsidR="0045371E" w:rsidRPr="00B252F1">
        <w:rPr>
          <w:rFonts w:ascii="Aptos" w:hAnsi="Aptos"/>
          <w:b/>
          <w:bCs/>
          <w:color w:val="auto"/>
          <w:sz w:val="18"/>
          <w:szCs w:val="18"/>
          <w:vertAlign w:val="superscript"/>
        </w:rPr>
        <w:t>3</w:t>
      </w:r>
      <w:r w:rsidR="0045371E" w:rsidRPr="00B252F1">
        <w:rPr>
          <w:rFonts w:ascii="Aptos" w:hAnsi="Aptos"/>
          <w:b/>
          <w:bCs/>
          <w:color w:val="auto"/>
          <w:sz w:val="18"/>
          <w:szCs w:val="18"/>
        </w:rPr>
        <w:t xml:space="preserve">, </w:t>
      </w:r>
      <w:r w:rsidR="00287946" w:rsidRPr="00B252F1">
        <w:rPr>
          <w:rFonts w:ascii="Aptos" w:hAnsi="Aptos"/>
          <w:b/>
          <w:bCs/>
          <w:color w:val="auto"/>
          <w:sz w:val="18"/>
          <w:szCs w:val="18"/>
        </w:rPr>
        <w:t>Anders Bjørn</w:t>
      </w:r>
      <w:r w:rsidR="00287946" w:rsidRPr="00B252F1">
        <w:rPr>
          <w:rFonts w:ascii="Aptos" w:hAnsi="Aptos"/>
          <w:b/>
          <w:bCs/>
          <w:color w:val="auto"/>
          <w:sz w:val="18"/>
          <w:szCs w:val="18"/>
          <w:vertAlign w:val="superscript"/>
        </w:rPr>
        <w:t>1,2</w:t>
      </w:r>
      <w:r w:rsidR="00287946" w:rsidRPr="00B252F1">
        <w:rPr>
          <w:rFonts w:ascii="Aptos" w:hAnsi="Aptos"/>
          <w:b/>
          <w:bCs/>
          <w:color w:val="auto"/>
          <w:sz w:val="18"/>
          <w:szCs w:val="18"/>
        </w:rPr>
        <w:t xml:space="preserve">, </w:t>
      </w:r>
      <w:r w:rsidR="0013236F" w:rsidRPr="00B252F1">
        <w:rPr>
          <w:rFonts w:ascii="Aptos" w:hAnsi="Aptos"/>
          <w:b/>
          <w:bCs/>
          <w:color w:val="auto"/>
          <w:sz w:val="18"/>
          <w:szCs w:val="18"/>
        </w:rPr>
        <w:t>Michael Hauschild</w:t>
      </w:r>
      <w:r w:rsidR="00AA4CF6" w:rsidRPr="00B252F1">
        <w:rPr>
          <w:rFonts w:ascii="Aptos" w:hAnsi="Aptos"/>
          <w:b/>
          <w:bCs/>
          <w:color w:val="auto"/>
          <w:sz w:val="18"/>
          <w:szCs w:val="18"/>
          <w:vertAlign w:val="superscript"/>
        </w:rPr>
        <w:t>1,2</w:t>
      </w:r>
      <w:r w:rsidR="0013236F" w:rsidRPr="00B252F1">
        <w:rPr>
          <w:rFonts w:ascii="Aptos" w:hAnsi="Aptos"/>
          <w:b/>
          <w:bCs/>
          <w:color w:val="auto"/>
          <w:sz w:val="18"/>
          <w:szCs w:val="18"/>
        </w:rPr>
        <w:t xml:space="preserve"> </w:t>
      </w:r>
    </w:p>
    <w:p w14:paraId="6231714D" w14:textId="77777777" w:rsidR="00F659B0" w:rsidRPr="00872A29" w:rsidRDefault="00F659B0" w:rsidP="00F659B0">
      <w:pPr>
        <w:rPr>
          <w:rFonts w:ascii="Aptos" w:hAnsi="Aptos"/>
        </w:rPr>
      </w:pPr>
    </w:p>
    <w:p w14:paraId="4DCCB7E9" w14:textId="77777777" w:rsidR="00FA56CA" w:rsidRPr="00872A29" w:rsidRDefault="00FA56CA" w:rsidP="00196FE1">
      <w:pPr>
        <w:suppressAutoHyphens/>
        <w:spacing w:line="240" w:lineRule="auto"/>
        <w:jc w:val="left"/>
        <w:rPr>
          <w:rFonts w:ascii="Aptos" w:hAnsi="Aptos"/>
          <w:color w:val="auto"/>
          <w:sz w:val="14"/>
          <w:szCs w:val="14"/>
        </w:rPr>
      </w:pPr>
      <w:r w:rsidRPr="00872A29">
        <w:rPr>
          <w:rFonts w:ascii="Aptos" w:hAnsi="Aptos"/>
          <w:color w:val="auto"/>
          <w:sz w:val="14"/>
          <w:szCs w:val="14"/>
          <w:vertAlign w:val="superscript"/>
        </w:rPr>
        <w:t>1</w:t>
      </w:r>
      <w:r w:rsidRPr="00872A29">
        <w:rPr>
          <w:rFonts w:ascii="Aptos" w:hAnsi="Aptos"/>
          <w:color w:val="auto"/>
          <w:sz w:val="14"/>
          <w:szCs w:val="14"/>
        </w:rPr>
        <w:t>Centre for Absolute Sustainability, Technical University of Denmark, Kgs Lyngby, Denmark</w:t>
      </w:r>
    </w:p>
    <w:p w14:paraId="0B4CD133" w14:textId="77777777" w:rsidR="00990ACA" w:rsidRPr="00872A29" w:rsidRDefault="00FA56CA" w:rsidP="000C1F3F">
      <w:pPr>
        <w:suppressAutoHyphens/>
        <w:spacing w:line="240" w:lineRule="auto"/>
        <w:jc w:val="left"/>
        <w:rPr>
          <w:rFonts w:ascii="Aptos" w:hAnsi="Aptos"/>
          <w:color w:val="auto"/>
          <w:sz w:val="14"/>
          <w:szCs w:val="14"/>
        </w:rPr>
      </w:pPr>
      <w:r w:rsidRPr="00872A29">
        <w:rPr>
          <w:rFonts w:ascii="Aptos" w:hAnsi="Aptos"/>
          <w:color w:val="auto"/>
          <w:sz w:val="14"/>
          <w:szCs w:val="14"/>
          <w:vertAlign w:val="superscript"/>
        </w:rPr>
        <w:t>2</w:t>
      </w:r>
      <w:r w:rsidRPr="00872A29">
        <w:rPr>
          <w:rFonts w:ascii="Aptos" w:hAnsi="Aptos"/>
          <w:color w:val="auto"/>
          <w:sz w:val="14"/>
          <w:szCs w:val="14"/>
        </w:rPr>
        <w:t>Section for Quantitative Sustainability Assessment, Department of Environmental and Resource Engineering, Technical University of Denmark, Kgs Lyngby, Denmark</w:t>
      </w:r>
    </w:p>
    <w:p w14:paraId="535FD59E" w14:textId="2F7A1779" w:rsidR="00FA56CA" w:rsidRPr="00872A29" w:rsidRDefault="00990ACA" w:rsidP="00990ACA">
      <w:pPr>
        <w:rPr>
          <w:rFonts w:ascii="Aptos" w:hAnsi="Aptos"/>
          <w:color w:val="auto"/>
          <w:sz w:val="14"/>
          <w:szCs w:val="14"/>
        </w:rPr>
      </w:pPr>
      <w:r w:rsidRPr="00872A29">
        <w:rPr>
          <w:rFonts w:ascii="Aptos" w:hAnsi="Aptos"/>
          <w:color w:val="auto"/>
          <w:sz w:val="14"/>
          <w:szCs w:val="14"/>
          <w:vertAlign w:val="superscript"/>
        </w:rPr>
        <w:t>3</w:t>
      </w:r>
      <w:r w:rsidRPr="00872A29">
        <w:rPr>
          <w:rFonts w:ascii="Aptos" w:hAnsi="Aptos"/>
          <w:color w:val="auto"/>
          <w:sz w:val="14"/>
          <w:szCs w:val="14"/>
        </w:rPr>
        <w:t>Department Sustainability Management and Life Cycle Engineering, Fraunhofer Institute for Surface Engineering and Thin Films IST, Braunschweig, Germany</w:t>
      </w:r>
      <w:r w:rsidR="00FA56CA" w:rsidRPr="00872A29">
        <w:rPr>
          <w:rFonts w:ascii="Aptos" w:hAnsi="Aptos"/>
          <w:color w:val="auto"/>
          <w:sz w:val="14"/>
          <w:szCs w:val="14"/>
        </w:rPr>
        <w:t xml:space="preserve"> </w:t>
      </w:r>
    </w:p>
    <w:p w14:paraId="0AC20139" w14:textId="2055D154" w:rsidR="00FA56CA" w:rsidRPr="00872A29" w:rsidRDefault="00FA56CA" w:rsidP="00196FE1">
      <w:pPr>
        <w:suppressAutoHyphens/>
        <w:jc w:val="left"/>
        <w:rPr>
          <w:rFonts w:ascii="Aptos" w:hAnsi="Aptos"/>
          <w:color w:val="auto"/>
          <w:sz w:val="14"/>
          <w:szCs w:val="14"/>
        </w:rPr>
      </w:pPr>
      <w:r w:rsidRPr="00872A29">
        <w:rPr>
          <w:rFonts w:ascii="Aptos" w:hAnsi="Aptos"/>
          <w:color w:val="auto"/>
          <w:sz w:val="14"/>
          <w:szCs w:val="14"/>
        </w:rPr>
        <w:t xml:space="preserve">*Corresponding author: </w:t>
      </w:r>
      <w:hyperlink r:id="rId11" w:history="1">
        <w:r w:rsidR="00B63019" w:rsidRPr="00872A29">
          <w:rPr>
            <w:rStyle w:val="Hyperlink"/>
            <w:rFonts w:ascii="Aptos" w:hAnsi="Aptos"/>
            <w:color w:val="auto"/>
            <w:sz w:val="14"/>
            <w:szCs w:val="14"/>
          </w:rPr>
          <w:t>tadse@dtu.dk</w:t>
        </w:r>
      </w:hyperlink>
    </w:p>
    <w:p w14:paraId="36ED4C91" w14:textId="6D9BCD65" w:rsidR="00270E20" w:rsidRPr="00B252F1" w:rsidRDefault="00270E20" w:rsidP="00B252F1">
      <w:pPr>
        <w:pStyle w:val="Heading2"/>
      </w:pPr>
      <w:r w:rsidRPr="00B252F1">
        <w:t xml:space="preserve"> Completeness proof of the approach</w:t>
      </w:r>
    </w:p>
    <w:p w14:paraId="6491E8B0" w14:textId="77777777" w:rsidR="0039611F" w:rsidRPr="00872A29" w:rsidRDefault="0039611F" w:rsidP="0039611F">
      <w:pPr>
        <w:rPr>
          <w:rFonts w:ascii="Aptos" w:hAnsi="Aptos"/>
          <w:lang w:val="de-DE"/>
        </w:rPr>
      </w:pPr>
      <w:r w:rsidRPr="00872A29">
        <w:rPr>
          <w:rFonts w:ascii="Aptos" w:hAnsi="Aptos"/>
          <w:lang w:val="de-DE"/>
        </w:rPr>
        <w:t>This section presents the completeness proof showing that a climate sustainability score of 1 of all companies guarantees global emissions stay within the defined carrying capacity. To keep the demonstration straightforward, the proof considers a simplified case with only one societal function worldwide and excludes emissions from the products’ use phase.</w:t>
      </w:r>
    </w:p>
    <w:p w14:paraId="4C98903D" w14:textId="248CA16A" w:rsidR="0039611F" w:rsidRPr="00872A29" w:rsidRDefault="0039611F" w:rsidP="0039611F">
      <w:pPr>
        <w:rPr>
          <w:rFonts w:ascii="Aptos" w:hAnsi="Aptos"/>
          <w:lang w:val="de-DE"/>
        </w:rPr>
      </w:pPr>
      <w:r w:rsidRPr="00872A29">
        <w:rPr>
          <w:rFonts w:ascii="Aptos" w:hAnsi="Aptos"/>
          <w:lang w:val="de-DE"/>
        </w:rPr>
        <w:t xml:space="preserve">Let </w:t>
      </w:r>
      <m:oMath>
        <m:r>
          <w:rPr>
            <w:rFonts w:ascii="Cambria Math" w:hAnsi="Cambria Math"/>
            <w:lang w:val="de-DE"/>
          </w:rPr>
          <m:t>S</m:t>
        </m:r>
      </m:oMath>
      <w:r w:rsidRPr="00872A29">
        <w:rPr>
          <w:rFonts w:ascii="Aptos" w:hAnsi="Aptos"/>
          <w:lang w:val="de-DE"/>
        </w:rPr>
        <w:t xml:space="preserve"> be the emissions matrix, and </w:t>
      </w:r>
      <m:oMath>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oMath>
      <w:r w:rsidRPr="00872A29">
        <w:rPr>
          <w:rFonts w:ascii="Aptos" w:hAnsi="Aptos"/>
          <w:lang w:val="de-DE"/>
        </w:rPr>
        <w:t xml:space="preserve"> be the direct emissions of company </w:t>
      </w:r>
      <m:oMath>
        <m:r>
          <w:rPr>
            <w:rFonts w:ascii="Cambria Math" w:hAnsi="Cambria Math"/>
            <w:lang w:val="de-DE"/>
          </w:rPr>
          <m:t>j</m:t>
        </m:r>
      </m:oMath>
      <w:r w:rsidRPr="00872A29">
        <w:rPr>
          <w:rFonts w:ascii="Aptos" w:hAnsi="Aptos"/>
          <w:lang w:val="de-DE"/>
        </w:rPr>
        <w:t xml:space="preserve"> to make the consumer product </w:t>
      </w:r>
      <m:oMath>
        <m:r>
          <w:rPr>
            <w:rFonts w:ascii="Cambria Math" w:hAnsi="Cambria Math"/>
            <w:lang w:val="de-DE"/>
          </w:rPr>
          <m:t>i</m:t>
        </m:r>
      </m:oMath>
      <w:r w:rsidRPr="00872A29">
        <w:rPr>
          <w:rFonts w:ascii="Aptos" w:hAnsi="Aptos"/>
          <w:lang w:val="de-DE"/>
        </w:rPr>
        <w:t>.</w:t>
      </w:r>
    </w:p>
    <w:p w14:paraId="13E24802" w14:textId="77777777" w:rsidR="0039611F" w:rsidRPr="00872A29" w:rsidRDefault="0039611F" w:rsidP="0039611F">
      <w:pPr>
        <w:rPr>
          <w:rFonts w:ascii="Aptos" w:hAnsi="Aptos"/>
          <w:lang w:val="de-DE"/>
        </w:rPr>
      </w:pPr>
      <w:r w:rsidRPr="00872A29">
        <w:rPr>
          <w:rFonts w:ascii="Aptos" w:hAnsi="Aptos"/>
          <w:lang w:val="de-DE"/>
        </w:rPr>
        <w:t xml:space="preserve">We denote </w:t>
      </w:r>
      <m:oMath>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m:t>
            </m:r>
          </m:sub>
        </m:sSub>
        <m:r>
          <w:rPr>
            <w:rFonts w:ascii="Cambria Math" w:hAnsi="Cambria Math"/>
            <w:lang w:val="de-DE"/>
          </w:rPr>
          <m:t xml:space="preserve">= </m:t>
        </m:r>
        <m:nary>
          <m:naryPr>
            <m:chr m:val="∑"/>
            <m:limLoc m:val="undOvr"/>
            <m:supHide m:val="1"/>
            <m:ctrlPr>
              <w:rPr>
                <w:rFonts w:ascii="Cambria Math" w:hAnsi="Cambria Math"/>
                <w:i/>
                <w:lang w:val="de-DE"/>
              </w:rPr>
            </m:ctrlPr>
          </m:naryPr>
          <m:sub>
            <m:r>
              <w:rPr>
                <w:rFonts w:ascii="Cambria Math" w:hAnsi="Cambria Math"/>
                <w:lang w:val="de-DE"/>
              </w:rPr>
              <m:t>j</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e>
        </m:nary>
      </m:oMath>
      <w:r w:rsidRPr="00872A29">
        <w:rPr>
          <w:rFonts w:ascii="Aptos" w:hAnsi="Aptos"/>
          <w:lang w:val="de-DE"/>
        </w:rPr>
        <w:t xml:space="preserve"> the total emissions from the product </w:t>
      </w:r>
      <m:oMath>
        <m:r>
          <w:rPr>
            <w:rFonts w:ascii="Cambria Math" w:hAnsi="Cambria Math"/>
            <w:lang w:val="de-DE"/>
          </w:rPr>
          <m:t>i</m:t>
        </m:r>
      </m:oMath>
      <w:r w:rsidRPr="00872A29">
        <w:rPr>
          <w:rFonts w:ascii="Aptos" w:hAnsi="Aptos"/>
          <w:lang w:val="de-DE"/>
        </w:rPr>
        <w:t xml:space="preserve">’s life cycle, assuming that no direct emissions from consumers are occurring, and </w:t>
      </w:r>
      <m:oMath>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*,j</m:t>
            </m:r>
          </m:sub>
        </m:sSub>
        <m:r>
          <w:rPr>
            <w:rFonts w:ascii="Cambria Math" w:hAnsi="Cambria Math"/>
            <w:lang w:val="de-DE"/>
          </w:rPr>
          <m:t xml:space="preserve">= </m:t>
        </m:r>
        <m:nary>
          <m:naryPr>
            <m:chr m:val="∑"/>
            <m:limLoc m:val="undOvr"/>
            <m:supHide m:val="1"/>
            <m:ctrlPr>
              <w:rPr>
                <w:rFonts w:ascii="Cambria Math" w:hAnsi="Cambria Math"/>
                <w:i/>
                <w:lang w:val="de-DE"/>
              </w:rPr>
            </m:ctrlPr>
          </m:naryPr>
          <m:sub>
            <m:r>
              <w:rPr>
                <w:rFonts w:ascii="Cambria Math" w:hAnsi="Cambria Math"/>
                <w:lang w:val="de-DE"/>
              </w:rPr>
              <m:t>i</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e>
        </m:nary>
      </m:oMath>
      <w:r w:rsidRPr="00872A29">
        <w:rPr>
          <w:rFonts w:ascii="Aptos" w:hAnsi="Aptos"/>
          <w:lang w:val="de-DE"/>
        </w:rPr>
        <w:t xml:space="preserve">the emissions of company </w:t>
      </w:r>
      <m:oMath>
        <m:r>
          <w:rPr>
            <w:rFonts w:ascii="Cambria Math" w:hAnsi="Cambria Math"/>
            <w:lang w:val="de-DE"/>
          </w:rPr>
          <m:t>j</m:t>
        </m:r>
      </m:oMath>
      <w:r w:rsidRPr="00872A29">
        <w:rPr>
          <w:rFonts w:ascii="Aptos" w:hAnsi="Aptos"/>
          <w:lang w:val="de-DE"/>
        </w:rPr>
        <w:t xml:space="preserve">. We also denote  </w:t>
      </w:r>
      <m:oMath>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m:t>
            </m:r>
          </m:sub>
        </m:sSub>
        <m:r>
          <w:rPr>
            <w:rFonts w:ascii="Cambria Math" w:hAnsi="Cambria Math"/>
            <w:lang w:val="de-DE"/>
          </w:rPr>
          <m:t>=</m:t>
        </m:r>
        <m:nary>
          <m:naryPr>
            <m:chr m:val="∑"/>
            <m:limLoc m:val="undOvr"/>
            <m:supHide m:val="1"/>
            <m:ctrlPr>
              <w:rPr>
                <w:rFonts w:ascii="Cambria Math" w:hAnsi="Cambria Math"/>
                <w:i/>
                <w:lang w:val="de-DE"/>
              </w:rPr>
            </m:ctrlPr>
          </m:naryPr>
          <m:sub>
            <m:r>
              <w:rPr>
                <w:rFonts w:ascii="Cambria Math" w:hAnsi="Cambria Math"/>
                <w:lang w:val="de-DE"/>
              </w:rPr>
              <m:t>i</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m:t>
                </m:r>
              </m:sub>
            </m:sSub>
          </m:e>
        </m:nary>
        <m:r>
          <w:rPr>
            <w:rFonts w:ascii="Cambria Math" w:hAnsi="Cambria Math"/>
            <w:lang w:val="de-DE"/>
          </w:rPr>
          <m:t>=</m:t>
        </m:r>
        <m:nary>
          <m:naryPr>
            <m:chr m:val="∑"/>
            <m:limLoc m:val="undOvr"/>
            <m:supHide m:val="1"/>
            <m:ctrlPr>
              <w:rPr>
                <w:rFonts w:ascii="Cambria Math" w:hAnsi="Cambria Math"/>
                <w:i/>
                <w:lang w:val="de-DE"/>
              </w:rPr>
            </m:ctrlPr>
          </m:naryPr>
          <m:sub>
            <m:r>
              <w:rPr>
                <w:rFonts w:ascii="Cambria Math" w:hAnsi="Cambria Math"/>
                <w:lang w:val="de-DE"/>
              </w:rPr>
              <m:t>j</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*,j</m:t>
                </m:r>
              </m:sub>
            </m:sSub>
          </m:e>
        </m:nary>
      </m:oMath>
    </w:p>
    <w:p w14:paraId="6AF13204" w14:textId="77777777" w:rsidR="0039611F" w:rsidRPr="00872A29" w:rsidRDefault="0039611F" w:rsidP="0039611F">
      <w:pPr>
        <w:rPr>
          <w:rFonts w:ascii="Aptos" w:hAnsi="Aptos"/>
          <w:lang w:val="de-DE"/>
        </w:rPr>
      </w:pPr>
      <w:r w:rsidRPr="00872A29">
        <w:rPr>
          <w:rFonts w:ascii="Aptos" w:hAnsi="Aptos"/>
          <w:lang w:val="de-DE"/>
        </w:rPr>
        <w:t xml:space="preserve">We denote </w:t>
      </w:r>
      <m:oMath>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i</m:t>
            </m:r>
          </m:sub>
        </m:sSub>
      </m:oMath>
      <w:r w:rsidRPr="00872A29">
        <w:rPr>
          <w:rFonts w:ascii="Aptos" w:hAnsi="Aptos"/>
          <w:lang w:val="de-DE"/>
        </w:rPr>
        <w:t xml:space="preserve"> the quantity of functional units fulfilled by product </w:t>
      </w:r>
      <m:oMath>
        <m:r>
          <w:rPr>
            <w:rFonts w:ascii="Cambria Math" w:hAnsi="Cambria Math"/>
            <w:lang w:val="de-DE"/>
          </w:rPr>
          <m:t>i</m:t>
        </m:r>
      </m:oMath>
      <w:r w:rsidRPr="00872A29">
        <w:rPr>
          <w:rFonts w:ascii="Aptos" w:hAnsi="Aptos"/>
          <w:lang w:val="de-DE"/>
        </w:rPr>
        <w:t xml:space="preserve">. We denote </w:t>
      </w:r>
      <m:oMath>
        <m:r>
          <w:rPr>
            <w:rFonts w:ascii="Cambria Math" w:hAnsi="Cambria Math"/>
            <w:lang w:val="de-DE"/>
          </w:rPr>
          <m:t xml:space="preserve">F= </m:t>
        </m:r>
        <m:nary>
          <m:naryPr>
            <m:chr m:val="∑"/>
            <m:limLoc m:val="undOvr"/>
            <m:supHide m:val="1"/>
            <m:ctrlPr>
              <w:rPr>
                <w:rFonts w:ascii="Cambria Math" w:hAnsi="Cambria Math"/>
                <w:i/>
                <w:lang w:val="de-DE"/>
              </w:rPr>
            </m:ctrlPr>
          </m:naryPr>
          <m:sub>
            <m:r>
              <w:rPr>
                <w:rFonts w:ascii="Cambria Math" w:hAnsi="Cambria Math"/>
                <w:lang w:val="de-DE"/>
              </w:rPr>
              <m:t>i</m:t>
            </m:r>
          </m:sub>
          <m:sup/>
          <m:e>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i</m:t>
                </m:r>
              </m:sub>
            </m:sSub>
          </m:e>
        </m:nary>
      </m:oMath>
      <w:r w:rsidRPr="00872A29">
        <w:rPr>
          <w:rFonts w:ascii="Aptos" w:hAnsi="Aptos"/>
          <w:lang w:val="de-DE"/>
        </w:rPr>
        <w:t xml:space="preserve">, the total quantity of functional units fulfilled by all products. We finally denote </w:t>
      </w:r>
      <m:oMath>
        <m:r>
          <w:rPr>
            <w:rFonts w:ascii="Cambria Math" w:hAnsi="Cambria Math"/>
            <w:lang w:val="de-DE"/>
          </w:rPr>
          <m:t>L</m:t>
        </m:r>
      </m:oMath>
      <w:r w:rsidRPr="00872A29">
        <w:rPr>
          <w:rFonts w:ascii="Aptos" w:hAnsi="Aptos"/>
          <w:lang w:val="de-DE"/>
        </w:rPr>
        <w:t xml:space="preserve"> the global emissions limit.</w:t>
      </w:r>
    </w:p>
    <w:p w14:paraId="4218B39F" w14:textId="77777777" w:rsidR="0039611F" w:rsidRPr="00872A29" w:rsidRDefault="0039611F" w:rsidP="0039611F">
      <w:pPr>
        <w:rPr>
          <w:rFonts w:ascii="Aptos" w:hAnsi="Aptos"/>
          <w:lang w:val="de-DE"/>
        </w:rPr>
      </w:pPr>
      <w:r w:rsidRPr="00872A29">
        <w:rPr>
          <w:rFonts w:ascii="Aptos" w:hAnsi="Aptos"/>
          <w:lang w:val="de-DE"/>
        </w:rPr>
        <w:t xml:space="preserve">The climate sustainability score of company </w:t>
      </w:r>
      <m:oMath>
        <m:r>
          <w:rPr>
            <w:rFonts w:ascii="Cambria Math" w:hAnsi="Cambria Math"/>
            <w:lang w:val="de-DE"/>
          </w:rPr>
          <m:t>j</m:t>
        </m:r>
      </m:oMath>
      <w:r w:rsidRPr="00872A29">
        <w:rPr>
          <w:rFonts w:ascii="Aptos" w:hAnsi="Aptos"/>
          <w:lang w:val="de-DE"/>
        </w:rPr>
        <w:t xml:space="preserve">, written </w:t>
      </w:r>
      <m:oMath>
        <m:r>
          <w:rPr>
            <w:rFonts w:ascii="Cambria Math" w:hAnsi="Cambria Math"/>
            <w:lang w:val="de-DE"/>
          </w:rPr>
          <m:t>CS</m:t>
        </m:r>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j</m:t>
            </m:r>
          </m:sub>
        </m:sSub>
      </m:oMath>
      <w:r w:rsidRPr="00872A29">
        <w:rPr>
          <w:rFonts w:ascii="Aptos" w:hAnsi="Aptos"/>
          <w:lang w:val="de-DE"/>
        </w:rPr>
        <w:t>, is defined as:</w:t>
      </w:r>
    </w:p>
    <w:p w14:paraId="48AFB174" w14:textId="77777777" w:rsidR="0039611F" w:rsidRPr="00872A29" w:rsidRDefault="00C5471C" w:rsidP="0039611F">
      <w:pPr>
        <w:rPr>
          <w:rFonts w:ascii="Aptos" w:hAnsi="Aptos"/>
          <w:lang w:val="de-DE"/>
        </w:rPr>
      </w:pPr>
      <m:oMathPara>
        <m:oMath>
          <m:d>
            <m:dPr>
              <m:begChr m:val="{"/>
              <m:endChr m:val=""/>
              <m:ctrlPr>
                <w:rPr>
                  <w:rFonts w:ascii="Cambria Math" w:hAnsi="Cambria Math"/>
                  <w:i/>
                  <w:lang w:val="de-DE"/>
                </w:rPr>
              </m:ctrlPr>
            </m:dPr>
            <m:e>
              <m:eqArr>
                <m:eqArrPr>
                  <m:ctrlPr>
                    <w:rPr>
                      <w:rFonts w:ascii="Cambria Math" w:hAnsi="Cambria Math"/>
                      <w:i/>
                      <w:lang w:val="de-DE"/>
                    </w:rPr>
                  </m:ctrlPr>
                </m:eqArrPr>
                <m:e>
                  <m:sSub>
                    <m:sSubPr>
                      <m:ctrlPr>
                        <w:rPr>
                          <w:rFonts w:ascii="Cambria Math" w:hAnsi="Cambria Math"/>
                          <w:iCs/>
                          <w:lang w:val="de-DE"/>
                        </w:rPr>
                      </m:ctrlPr>
                    </m:sSubPr>
                    <m:e>
                      <m:r>
                        <m:rPr>
                          <m:sty m:val="p"/>
                        </m:rPr>
                        <w:rPr>
                          <w:rFonts w:ascii="Cambria Math" w:hAnsi="Cambria Math"/>
                          <w:lang w:val="de-DE"/>
                        </w:rPr>
                        <m:t>CSS</m:t>
                      </m:r>
                    </m:e>
                    <m:sub>
                      <m:r>
                        <m:rPr>
                          <m:sty m:val="p"/>
                        </m:rPr>
                        <w:rPr>
                          <w:rFonts w:ascii="Cambria Math" w:hAnsi="Cambria Math"/>
                          <w:lang w:val="de-DE"/>
                        </w:rPr>
                        <m:t>j</m:t>
                      </m:r>
                    </m:sub>
                  </m:sSub>
                  <m:r>
                    <w:rPr>
                      <w:rFonts w:ascii="Cambria Math" w:hAnsi="Cambria Math"/>
                      <w:lang w:val="de-DE"/>
                    </w:rPr>
                    <m:t>=</m:t>
                  </m:r>
                  <m:nary>
                    <m:naryPr>
                      <m:chr m:val="∑"/>
                      <m:limLoc m:val="subSup"/>
                      <m:supHide m:val="1"/>
                      <m:ctrlPr>
                        <w:rPr>
                          <w:rFonts w:ascii="Cambria Math" w:hAnsi="Cambria Math"/>
                          <w:i/>
                          <w:lang w:val="de-DE"/>
                        </w:rPr>
                      </m:ctrlPr>
                    </m:naryPr>
                    <m:sub>
                      <m:r>
                        <w:rPr>
                          <w:rFonts w:ascii="Cambria Math" w:hAnsi="Cambria Math"/>
                          <w:lang w:val="de-DE"/>
                        </w:rPr>
                        <m:t>i</m:t>
                      </m:r>
                    </m:sub>
                    <m:sup/>
                    <m:e>
                      <m:sSub>
                        <m:sSubPr>
                          <m:ctrlPr>
                            <w:rPr>
                              <w:rFonts w:ascii="Cambria Math" w:hAnsi="Cambria Math"/>
                              <w:i/>
                              <w:lang w:val="de-DE"/>
                            </w:rPr>
                          </m:ctrlPr>
                        </m:sSubPr>
                        <m:e>
                          <m:r>
                            <w:rPr>
                              <w:rFonts w:ascii="Cambria Math" w:hAnsi="Cambria Math"/>
                              <w:lang w:val="de-DE"/>
                            </w:rPr>
                            <m:t>α</m:t>
                          </m:r>
                        </m:e>
                        <m:sub>
                          <m:r>
                            <w:rPr>
                              <w:rFonts w:ascii="Cambria Math" w:hAnsi="Cambria Math"/>
                              <w:lang w:val="de-DE"/>
                            </w:rPr>
                            <m:t>i,j</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nary>
                </m:e>
                <m:e>
                  <m:sSub>
                    <m:sSubPr>
                      <m:ctrlPr>
                        <w:rPr>
                          <w:rFonts w:ascii="Cambria Math" w:hAnsi="Cambria Math"/>
                          <w:i/>
                          <w:lang w:val="de-DE"/>
                        </w:rPr>
                      </m:ctrlPr>
                    </m:sSubPr>
                    <m:e>
                      <m:r>
                        <w:rPr>
                          <w:rFonts w:ascii="Cambria Math" w:hAnsi="Cambria Math"/>
                          <w:lang w:val="de-DE"/>
                        </w:rPr>
                        <m:t>α</m:t>
                      </m:r>
                    </m:e>
                    <m:sub>
                      <m:r>
                        <w:rPr>
                          <w:rFonts w:ascii="Cambria Math" w:hAnsi="Cambria Math"/>
                          <w:lang w:val="de-DE"/>
                        </w:rPr>
                        <m:t>i,j</m:t>
                      </m:r>
                    </m:sub>
                  </m:sSub>
                  <m:r>
                    <w:rPr>
                      <w:rFonts w:ascii="Cambria Math" w:hAnsi="Cambria Math"/>
                      <w:lang w:val="de-DE"/>
                    </w:rPr>
                    <m:t xml:space="preserve">= </m:t>
                  </m:r>
                  <m:f>
                    <m:fPr>
                      <m:ctrlPr>
                        <w:rPr>
                          <w:rFonts w:ascii="Cambria Math" w:hAnsi="Cambria Math"/>
                          <w:i/>
                          <w:lang w:val="de-DE"/>
                        </w:rPr>
                      </m:ctrlPr>
                    </m:fPr>
                    <m:num>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num>
                    <m:den>
                      <m:nary>
                        <m:naryPr>
                          <m:chr m:val="∑"/>
                          <m:limLoc m:val="undOvr"/>
                          <m:supHide m:val="1"/>
                          <m:ctrlPr>
                            <w:rPr>
                              <w:rFonts w:ascii="Cambria Math" w:hAnsi="Cambria Math"/>
                              <w:i/>
                              <w:lang w:val="de-DE"/>
                            </w:rPr>
                          </m:ctrlPr>
                        </m:naryPr>
                        <m:sub>
                          <m:r>
                            <w:rPr>
                              <w:rFonts w:ascii="Cambria Math" w:hAnsi="Cambria Math"/>
                              <w:lang w:val="de-DE"/>
                            </w:rPr>
                            <m:t>k</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k,j</m:t>
                              </m:r>
                            </m:sub>
                          </m:sSub>
                        </m:e>
                      </m:nary>
                    </m:den>
                  </m:f>
                </m:e>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⋅F</m:t>
                      </m:r>
                    </m:num>
                    <m:den>
                      <m:r>
                        <w:rPr>
                          <w:rFonts w:ascii="Cambria Math" w:hAnsi="Cambria Math"/>
                        </w:rPr>
                        <m:t>L⋅</m:t>
                      </m:r>
                      <m:sSub>
                        <m:sSubPr>
                          <m:ctrlPr>
                            <w:rPr>
                              <w:rFonts w:ascii="Cambria Math" w:hAnsi="Cambria Math"/>
                              <w:i/>
                            </w:rPr>
                          </m:ctrlPr>
                        </m:sSubPr>
                        <m:e>
                          <m:r>
                            <w:rPr>
                              <w:rFonts w:ascii="Cambria Math" w:hAnsi="Cambria Math"/>
                            </w:rPr>
                            <m:t>f</m:t>
                          </m:r>
                        </m:e>
                        <m:sub>
                          <m:r>
                            <w:rPr>
                              <w:rFonts w:ascii="Cambria Math" w:hAnsi="Cambria Math"/>
                            </w:rPr>
                            <m:t>i</m:t>
                          </m:r>
                        </m:sub>
                      </m:sSub>
                    </m:den>
                  </m:f>
                </m:e>
              </m:eqArr>
            </m:e>
          </m:d>
        </m:oMath>
      </m:oMathPara>
    </w:p>
    <w:p w14:paraId="17378F0D" w14:textId="77777777" w:rsidR="0039611F" w:rsidRPr="00872A29" w:rsidRDefault="0039611F" w:rsidP="0039611F">
      <w:pPr>
        <w:rPr>
          <w:rFonts w:ascii="Aptos" w:hAnsi="Aptos"/>
          <w:lang w:val="de-DE"/>
        </w:rPr>
      </w:pPr>
      <w:r w:rsidRPr="00872A29">
        <w:rPr>
          <w:rFonts w:ascii="Aptos" w:hAnsi="Aptos"/>
          <w:lang w:val="de-DE"/>
        </w:rPr>
        <w:t>The condition that ensures that companies being sustainable in absolute terms implies that the world’s emissions are below the global limit is:</w:t>
      </w:r>
    </w:p>
    <w:p w14:paraId="4977AC61" w14:textId="77777777" w:rsidR="0039611F" w:rsidRPr="00872A29" w:rsidRDefault="0039611F" w:rsidP="0039611F">
      <w:pPr>
        <w:jc w:val="center"/>
        <w:rPr>
          <w:rFonts w:ascii="Aptos" w:hAnsi="Aptos"/>
          <w:lang w:val="de-DE"/>
        </w:rPr>
      </w:pPr>
      <m:oMathPara>
        <m:oMath>
          <m:r>
            <w:rPr>
              <w:rFonts w:ascii="Cambria Math" w:hAnsi="Cambria Math"/>
            </w:rPr>
            <m:t xml:space="preserve">∀j, </m:t>
          </m:r>
          <m:sSub>
            <m:sSubPr>
              <m:ctrlPr>
                <w:rPr>
                  <w:rFonts w:ascii="Cambria Math" w:hAnsi="Cambria Math"/>
                  <w:iCs/>
                  <w:lang w:val="de-DE"/>
                </w:rPr>
              </m:ctrlPr>
            </m:sSubPr>
            <m:e>
              <m:r>
                <m:rPr>
                  <m:sty m:val="p"/>
                </m:rPr>
                <w:rPr>
                  <w:rFonts w:ascii="Cambria Math" w:hAnsi="Cambria Math"/>
                  <w:lang w:val="de-DE"/>
                </w:rPr>
                <m:t>CSS</m:t>
              </m:r>
            </m:e>
            <m:sub>
              <m:r>
                <m:rPr>
                  <m:sty m:val="p"/>
                </m:rPr>
                <w:rPr>
                  <w:rFonts w:ascii="Cambria Math" w:hAnsi="Cambria Math"/>
                  <w:lang w:val="de-DE"/>
                </w:rPr>
                <m:t>j</m:t>
              </m:r>
            </m:sub>
          </m:sSub>
          <m:r>
            <w:rPr>
              <w:rFonts w:ascii="Cambria Math" w:hAnsi="Cambria Math"/>
              <w:lang w:val="de-DE"/>
            </w:rPr>
            <m:t>≤1 ⟹</m:t>
          </m:r>
          <m:sSub>
            <m:sSubPr>
              <m:ctrlPr>
                <w:rPr>
                  <w:rFonts w:ascii="Cambria Math" w:hAnsi="Cambria Math"/>
                  <w:i/>
                  <w:iCs/>
                  <w:lang w:val="de-DE"/>
                </w:rPr>
              </m:ctrlPr>
            </m:sSubPr>
            <m:e>
              <m:r>
                <w:rPr>
                  <w:rFonts w:ascii="Cambria Math" w:hAnsi="Cambria Math"/>
                  <w:lang w:val="de-DE"/>
                </w:rPr>
                <m:t>S</m:t>
              </m:r>
            </m:e>
            <m:sub>
              <m:r>
                <w:rPr>
                  <w:rFonts w:ascii="Cambria Math" w:hAnsi="Cambria Math"/>
                  <w:lang w:val="de-DE"/>
                </w:rPr>
                <m:t>*</m:t>
              </m:r>
            </m:sub>
          </m:sSub>
          <m:r>
            <w:rPr>
              <w:rFonts w:ascii="Cambria Math" w:hAnsi="Cambria Math"/>
              <w:lang w:val="de-DE"/>
            </w:rPr>
            <m:t>≤L</m:t>
          </m:r>
        </m:oMath>
      </m:oMathPara>
    </w:p>
    <w:p w14:paraId="0F1CEA18" w14:textId="77777777" w:rsidR="0039611F" w:rsidRPr="00872A29" w:rsidRDefault="0039611F" w:rsidP="0039611F">
      <w:pPr>
        <w:rPr>
          <w:rFonts w:ascii="Aptos" w:hAnsi="Aptos"/>
        </w:rPr>
      </w:pPr>
      <w:r w:rsidRPr="00872A29">
        <w:rPr>
          <w:rFonts w:ascii="Aptos" w:hAnsi="Aptos"/>
        </w:rPr>
        <w:t>Let’s assume:</w:t>
      </w:r>
    </w:p>
    <w:p w14:paraId="634D60ED" w14:textId="77777777" w:rsidR="0039611F" w:rsidRPr="00872A29" w:rsidRDefault="0039611F" w:rsidP="0039611F">
      <w:pPr>
        <w:rPr>
          <w:rFonts w:ascii="Aptos" w:hAnsi="Aptos"/>
          <w:lang w:val="de-DE"/>
        </w:rPr>
      </w:pPr>
      <m:oMathPara>
        <m:oMath>
          <m:r>
            <w:rPr>
              <w:rFonts w:ascii="Cambria Math" w:hAnsi="Cambria Math"/>
            </w:rPr>
            <m:t xml:space="preserve">∀j, </m:t>
          </m:r>
          <m:sSub>
            <m:sSubPr>
              <m:ctrlPr>
                <w:rPr>
                  <w:rFonts w:ascii="Cambria Math" w:hAnsi="Cambria Math"/>
                  <w:iCs/>
                  <w:lang w:val="de-DE"/>
                </w:rPr>
              </m:ctrlPr>
            </m:sSubPr>
            <m:e>
              <m:r>
                <m:rPr>
                  <m:sty m:val="p"/>
                </m:rPr>
                <w:rPr>
                  <w:rFonts w:ascii="Cambria Math" w:hAnsi="Cambria Math"/>
                  <w:lang w:val="de-DE"/>
                </w:rPr>
                <m:t>CSS</m:t>
              </m:r>
            </m:e>
            <m:sub>
              <m:r>
                <m:rPr>
                  <m:sty m:val="p"/>
                </m:rPr>
                <w:rPr>
                  <w:rFonts w:ascii="Cambria Math" w:hAnsi="Cambria Math"/>
                  <w:lang w:val="de-DE"/>
                </w:rPr>
                <m:t>j</m:t>
              </m:r>
            </m:sub>
          </m:sSub>
          <m:r>
            <w:rPr>
              <w:rFonts w:ascii="Cambria Math" w:hAnsi="Cambria Math"/>
              <w:lang w:val="de-DE"/>
            </w:rPr>
            <m:t>≤1</m:t>
          </m:r>
        </m:oMath>
      </m:oMathPara>
    </w:p>
    <w:p w14:paraId="2A8C4582" w14:textId="77777777" w:rsidR="0039611F" w:rsidRPr="00872A29" w:rsidRDefault="0039611F" w:rsidP="0039611F">
      <w:pPr>
        <w:rPr>
          <w:rFonts w:ascii="Aptos" w:hAnsi="Aptos"/>
          <w:iCs/>
          <w:lang w:val="de-DE"/>
        </w:rPr>
      </w:pPr>
      <w:r w:rsidRPr="00872A29">
        <w:rPr>
          <w:rFonts w:ascii="Aptos" w:hAnsi="Aptos"/>
          <w:lang w:val="de-DE"/>
        </w:rPr>
        <w:t>Then:</w:t>
      </w:r>
      <w:r w:rsidRPr="00872A29">
        <w:rPr>
          <w:rFonts w:ascii="Aptos" w:hAnsi="Aptos"/>
          <w:lang w:val="de-DE"/>
        </w:rPr>
        <w:br/>
      </w:r>
      <m:oMathPara>
        <m:oMath>
          <m:nary>
            <m:naryPr>
              <m:chr m:val="∑"/>
              <m:limLoc m:val="undOvr"/>
              <m:supHide m:val="1"/>
              <m:ctrlPr>
                <w:rPr>
                  <w:rFonts w:ascii="Cambria Math" w:hAnsi="Cambria Math"/>
                  <w:i/>
                  <w:lang w:val="de-DE"/>
                </w:rPr>
              </m:ctrlPr>
            </m:naryPr>
            <m:sub>
              <m:r>
                <w:rPr>
                  <w:rFonts w:ascii="Cambria Math" w:hAnsi="Cambria Math"/>
                  <w:lang w:val="de-DE"/>
                </w:rPr>
                <m:t>i</m:t>
              </m:r>
            </m:sub>
            <m:sup/>
            <m:e>
              <m:f>
                <m:fPr>
                  <m:ctrlPr>
                    <w:rPr>
                      <w:rFonts w:ascii="Cambria Math" w:hAnsi="Cambria Math"/>
                      <w:i/>
                      <w:lang w:val="de-DE"/>
                    </w:rPr>
                  </m:ctrlPr>
                </m:fPr>
                <m:num>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num>
                <m:den>
                  <m:nary>
                    <m:naryPr>
                      <m:chr m:val="∑"/>
                      <m:limLoc m:val="undOvr"/>
                      <m:supHide m:val="1"/>
                      <m:ctrlPr>
                        <w:rPr>
                          <w:rFonts w:ascii="Cambria Math" w:hAnsi="Cambria Math"/>
                          <w:i/>
                          <w:lang w:val="de-DE"/>
                        </w:rPr>
                      </m:ctrlPr>
                    </m:naryPr>
                    <m:sub>
                      <m:r>
                        <w:rPr>
                          <w:rFonts w:ascii="Cambria Math" w:hAnsi="Cambria Math"/>
                          <w:lang w:val="de-DE"/>
                        </w:rPr>
                        <m:t>k</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k,j</m:t>
                          </m:r>
                        </m:sub>
                      </m:sSub>
                    </m:e>
                  </m:nary>
                </m:den>
              </m:f>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nary>
          <m:r>
            <w:rPr>
              <w:rFonts w:ascii="Cambria Math" w:hAnsi="Cambria Math"/>
              <w:lang w:val="de-DE"/>
            </w:rPr>
            <m:t>≤1</m:t>
          </m:r>
        </m:oMath>
      </m:oMathPara>
    </w:p>
    <w:p w14:paraId="625344CC" w14:textId="77777777" w:rsidR="0039611F" w:rsidRPr="00872A29" w:rsidRDefault="0039611F" w:rsidP="0039611F">
      <w:pPr>
        <w:jc w:val="center"/>
        <w:rPr>
          <w:rFonts w:ascii="Aptos" w:hAnsi="Aptos"/>
          <w:lang w:val="de-DE"/>
        </w:rPr>
      </w:pPr>
      <m:oMathPara>
        <m:oMath>
          <m:r>
            <w:rPr>
              <w:rFonts w:ascii="Cambria Math" w:hAnsi="Cambria Math"/>
              <w:lang w:val="de-DE"/>
            </w:rPr>
            <m:t xml:space="preserve">⟹ </m:t>
          </m:r>
          <m:nary>
            <m:naryPr>
              <m:chr m:val="∑"/>
              <m:limLoc m:val="subSup"/>
              <m:supHide m:val="1"/>
              <m:ctrlPr>
                <w:rPr>
                  <w:rFonts w:ascii="Cambria Math" w:hAnsi="Cambria Math"/>
                  <w:i/>
                  <w:iCs/>
                  <w:lang w:val="de-DE"/>
                </w:rPr>
              </m:ctrlPr>
            </m:naryPr>
            <m:sub>
              <m:r>
                <w:rPr>
                  <w:rFonts w:ascii="Cambria Math" w:hAnsi="Cambria Math"/>
                  <w:lang w:val="de-DE"/>
                </w:rPr>
                <m:t>i</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nary>
          <m:r>
            <w:rPr>
              <w:rFonts w:ascii="Cambria Math" w:hAnsi="Cambria Math"/>
              <w:lang w:val="de-DE"/>
            </w:rPr>
            <m:t>≤</m:t>
          </m:r>
          <m:nary>
            <m:naryPr>
              <m:chr m:val="∑"/>
              <m:limLoc m:val="subSup"/>
              <m:supHide m:val="1"/>
              <m:ctrlPr>
                <w:rPr>
                  <w:rFonts w:ascii="Cambria Math" w:hAnsi="Cambria Math"/>
                  <w:i/>
                  <w:iCs/>
                  <w:lang w:val="de-DE"/>
                </w:rPr>
              </m:ctrlPr>
            </m:naryPr>
            <m:sub>
              <m:r>
                <w:rPr>
                  <w:rFonts w:ascii="Cambria Math" w:hAnsi="Cambria Math"/>
                  <w:lang w:val="de-DE"/>
                </w:rPr>
                <m:t>i</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e>
          </m:nary>
        </m:oMath>
      </m:oMathPara>
    </w:p>
    <w:p w14:paraId="2F832545" w14:textId="77777777" w:rsidR="0039611F" w:rsidRPr="00872A29" w:rsidRDefault="0039611F" w:rsidP="0039611F">
      <w:pPr>
        <w:jc w:val="center"/>
        <w:rPr>
          <w:rFonts w:ascii="Aptos" w:hAnsi="Aptos"/>
          <w:iCs/>
          <w:lang w:val="de-DE"/>
        </w:rPr>
      </w:pPr>
      <m:oMathPara>
        <m:oMath>
          <m:r>
            <w:rPr>
              <w:rFonts w:ascii="Cambria Math" w:hAnsi="Cambria Math"/>
              <w:lang w:val="de-DE"/>
            </w:rPr>
            <m:t xml:space="preserve">⟹ </m:t>
          </m:r>
          <m:nary>
            <m:naryPr>
              <m:chr m:val="∑"/>
              <m:limLoc m:val="subSup"/>
              <m:supHide m:val="1"/>
              <m:ctrlPr>
                <w:rPr>
                  <w:rFonts w:ascii="Cambria Math" w:hAnsi="Cambria Math"/>
                  <w:i/>
                  <w:iCs/>
                  <w:lang w:val="de-DE"/>
                </w:rPr>
              </m:ctrlPr>
            </m:naryPr>
            <m:sub>
              <m:r>
                <w:rPr>
                  <w:rFonts w:ascii="Cambria Math" w:hAnsi="Cambria Math"/>
                  <w:lang w:val="de-DE"/>
                </w:rPr>
                <m:t>j</m:t>
              </m:r>
            </m:sub>
            <m:sup/>
            <m:e>
              <m:nary>
                <m:naryPr>
                  <m:chr m:val="∑"/>
                  <m:limLoc m:val="subSup"/>
                  <m:supHide m:val="1"/>
                  <m:ctrlPr>
                    <w:rPr>
                      <w:rFonts w:ascii="Cambria Math" w:hAnsi="Cambria Math"/>
                      <w:i/>
                      <w:iCs/>
                      <w:lang w:val="de-DE"/>
                    </w:rPr>
                  </m:ctrlPr>
                </m:naryPr>
                <m:sub>
                  <m:r>
                    <w:rPr>
                      <w:rFonts w:ascii="Cambria Math" w:hAnsi="Cambria Math"/>
                      <w:lang w:val="de-DE"/>
                    </w:rPr>
                    <m:t>i</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nary>
            </m:e>
          </m:nary>
          <m:r>
            <w:rPr>
              <w:rFonts w:ascii="Cambria Math" w:hAnsi="Cambria Math"/>
              <w:lang w:val="de-DE"/>
            </w:rPr>
            <m:t>≤</m:t>
          </m:r>
          <m:nary>
            <m:naryPr>
              <m:chr m:val="∑"/>
              <m:limLoc m:val="subSup"/>
              <m:supHide m:val="1"/>
              <m:ctrlPr>
                <w:rPr>
                  <w:rFonts w:ascii="Cambria Math" w:hAnsi="Cambria Math"/>
                  <w:i/>
                  <w:iCs/>
                  <w:lang w:val="de-DE"/>
                </w:rPr>
              </m:ctrlPr>
            </m:naryPr>
            <m:sub>
              <m:r>
                <w:rPr>
                  <w:rFonts w:ascii="Cambria Math" w:hAnsi="Cambria Math"/>
                  <w:lang w:val="de-DE"/>
                </w:rPr>
                <m:t>j</m:t>
              </m:r>
            </m:sub>
            <m:sup/>
            <m:e>
              <m:nary>
                <m:naryPr>
                  <m:chr m:val="∑"/>
                  <m:limLoc m:val="subSup"/>
                  <m:supHide m:val="1"/>
                  <m:ctrlPr>
                    <w:rPr>
                      <w:rFonts w:ascii="Cambria Math" w:hAnsi="Cambria Math"/>
                      <w:i/>
                      <w:iCs/>
                      <w:lang w:val="de-DE"/>
                    </w:rPr>
                  </m:ctrlPr>
                </m:naryPr>
                <m:sub>
                  <m:r>
                    <w:rPr>
                      <w:rFonts w:ascii="Cambria Math" w:hAnsi="Cambria Math"/>
                      <w:lang w:val="de-DE"/>
                    </w:rPr>
                    <m:t>i</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e>
              </m:nary>
            </m:e>
          </m:nary>
        </m:oMath>
      </m:oMathPara>
    </w:p>
    <w:p w14:paraId="553995C4" w14:textId="77777777" w:rsidR="0039611F" w:rsidRPr="00872A29" w:rsidRDefault="0039611F" w:rsidP="0039611F">
      <w:pPr>
        <w:jc w:val="center"/>
        <w:rPr>
          <w:rFonts w:ascii="Aptos" w:hAnsi="Aptos"/>
          <w:iCs/>
          <w:lang w:val="de-DE"/>
        </w:rPr>
      </w:pPr>
      <m:oMathPara>
        <m:oMath>
          <m:r>
            <w:rPr>
              <w:rFonts w:ascii="Cambria Math" w:hAnsi="Cambria Math"/>
              <w:lang w:val="de-DE"/>
            </w:rPr>
            <m:t xml:space="preserve">⟹ </m:t>
          </m:r>
          <m:nary>
            <m:naryPr>
              <m:chr m:val="∑"/>
              <m:limLoc m:val="subSup"/>
              <m:supHide m:val="1"/>
              <m:ctrlPr>
                <w:rPr>
                  <w:rFonts w:ascii="Cambria Math" w:hAnsi="Cambria Math"/>
                  <w:i/>
                  <w:iCs/>
                  <w:lang w:val="de-DE"/>
                </w:rPr>
              </m:ctrlPr>
            </m:naryPr>
            <m:sub>
              <m:r>
                <w:rPr>
                  <w:rFonts w:ascii="Cambria Math" w:hAnsi="Cambria Math"/>
                  <w:lang w:val="de-DE"/>
                </w:rPr>
                <m:t>i</m:t>
              </m:r>
            </m:sub>
            <m:sup/>
            <m:e>
              <m:nary>
                <m:naryPr>
                  <m:chr m:val="∑"/>
                  <m:limLoc m:val="subSup"/>
                  <m:supHide m:val="1"/>
                  <m:ctrlPr>
                    <w:rPr>
                      <w:rFonts w:ascii="Cambria Math" w:hAnsi="Cambria Math"/>
                      <w:i/>
                      <w:iCs/>
                      <w:lang w:val="de-DE"/>
                    </w:rPr>
                  </m:ctrlPr>
                </m:naryPr>
                <m:sub>
                  <m:r>
                    <w:rPr>
                      <w:rFonts w:ascii="Cambria Math" w:hAnsi="Cambria Math"/>
                      <w:lang w:val="de-DE"/>
                    </w:rPr>
                    <m:t>j</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nary>
            </m:e>
          </m:nary>
          <m:r>
            <w:rPr>
              <w:rFonts w:ascii="Cambria Math" w:hAnsi="Cambria Math"/>
              <w:lang w:val="de-DE"/>
            </w:rPr>
            <m:t>≤</m:t>
          </m:r>
          <m:nary>
            <m:naryPr>
              <m:chr m:val="∑"/>
              <m:limLoc m:val="subSup"/>
              <m:supHide m:val="1"/>
              <m:ctrlPr>
                <w:rPr>
                  <w:rFonts w:ascii="Cambria Math" w:hAnsi="Cambria Math"/>
                  <w:i/>
                  <w:iCs/>
                  <w:lang w:val="de-DE"/>
                </w:rPr>
              </m:ctrlPr>
            </m:naryPr>
            <m:sub>
              <m:r>
                <w:rPr>
                  <w:rFonts w:ascii="Cambria Math" w:hAnsi="Cambria Math"/>
                  <w:lang w:val="de-DE"/>
                </w:rPr>
                <m:t>i</m:t>
              </m:r>
            </m:sub>
            <m:sup/>
            <m:e>
              <m:nary>
                <m:naryPr>
                  <m:chr m:val="∑"/>
                  <m:limLoc m:val="subSup"/>
                  <m:supHide m:val="1"/>
                  <m:ctrlPr>
                    <w:rPr>
                      <w:rFonts w:ascii="Cambria Math" w:hAnsi="Cambria Math"/>
                      <w:i/>
                      <w:iCs/>
                      <w:lang w:val="de-DE"/>
                    </w:rPr>
                  </m:ctrlPr>
                </m:naryPr>
                <m:sub>
                  <m:r>
                    <w:rPr>
                      <w:rFonts w:ascii="Cambria Math" w:hAnsi="Cambria Math"/>
                      <w:lang w:val="de-DE"/>
                    </w:rPr>
                    <m:t>j</m:t>
                  </m:r>
                </m:sub>
                <m:sup/>
                <m:e>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i,j</m:t>
                      </m:r>
                    </m:sub>
                  </m:sSub>
                </m:e>
              </m:nary>
            </m:e>
          </m:nary>
        </m:oMath>
      </m:oMathPara>
    </w:p>
    <w:p w14:paraId="1D3367E8" w14:textId="77777777" w:rsidR="0039611F" w:rsidRPr="00872A29" w:rsidRDefault="0039611F" w:rsidP="0039611F">
      <w:pPr>
        <w:jc w:val="center"/>
        <w:rPr>
          <w:rFonts w:ascii="Aptos" w:hAnsi="Aptos"/>
          <w:iCs/>
          <w:lang w:val="de-DE"/>
        </w:rPr>
      </w:pPr>
      <m:oMathPara>
        <m:oMath>
          <m:r>
            <w:rPr>
              <w:rFonts w:ascii="Cambria Math" w:hAnsi="Cambria Math"/>
              <w:lang w:val="de-DE"/>
            </w:rPr>
            <m:t xml:space="preserve">⟹ </m:t>
          </m:r>
          <m:nary>
            <m:naryPr>
              <m:chr m:val="∑"/>
              <m:limLoc m:val="subSup"/>
              <m:supHide m:val="1"/>
              <m:ctrlPr>
                <w:rPr>
                  <w:rFonts w:ascii="Cambria Math" w:hAnsi="Cambria Math"/>
                  <w:i/>
                  <w:iCs/>
                  <w:lang w:val="de-DE"/>
                </w:rPr>
              </m:ctrlPr>
            </m:naryPr>
            <m:sub>
              <m:r>
                <w:rPr>
                  <w:rFonts w:ascii="Cambria Math" w:hAnsi="Cambria Math"/>
                  <w:lang w:val="de-DE"/>
                </w:rPr>
                <m:t>i</m:t>
              </m:r>
            </m:sub>
            <m:sup/>
            <m:e>
              <m:sSub>
                <m:sSubPr>
                  <m:ctrlPr>
                    <w:rPr>
                      <w:rFonts w:ascii="Cambria Math" w:hAnsi="Cambria Math"/>
                      <w:i/>
                      <w:iCs/>
                      <w:lang w:val="de-DE"/>
                    </w:rPr>
                  </m:ctrlPr>
                </m:sSubPr>
                <m:e>
                  <m:r>
                    <w:rPr>
                      <w:rFonts w:ascii="Cambria Math" w:hAnsi="Cambria Math"/>
                      <w:lang w:val="de-DE"/>
                    </w:rPr>
                    <m:t>x</m:t>
                  </m:r>
                </m:e>
                <m:sub>
                  <m:r>
                    <w:rPr>
                      <w:rFonts w:ascii="Cambria Math" w:hAnsi="Cambria Math"/>
                      <w:lang w:val="de-DE"/>
                    </w:rPr>
                    <m:t>i</m:t>
                  </m:r>
                </m:sub>
              </m:sSub>
              <m:sSub>
                <m:sSubPr>
                  <m:ctrlPr>
                    <w:rPr>
                      <w:rFonts w:ascii="Cambria Math" w:hAnsi="Cambria Math"/>
                      <w:i/>
                      <w:iCs/>
                      <w:lang w:val="de-DE"/>
                    </w:rPr>
                  </m:ctrlPr>
                </m:sSubPr>
                <m:e>
                  <m:r>
                    <w:rPr>
                      <w:rFonts w:ascii="Cambria Math" w:hAnsi="Cambria Math"/>
                      <w:lang w:val="de-DE"/>
                    </w:rPr>
                    <m:t>⋅S</m:t>
                  </m:r>
                </m:e>
                <m:sub>
                  <m:r>
                    <w:rPr>
                      <w:rFonts w:ascii="Cambria Math" w:hAnsi="Cambria Math"/>
                      <w:lang w:val="de-DE"/>
                    </w:rPr>
                    <m:t>i,*</m:t>
                  </m:r>
                </m:sub>
              </m:sSub>
            </m:e>
          </m:nary>
          <m:r>
            <w:rPr>
              <w:rFonts w:ascii="Cambria Math" w:hAnsi="Cambria Math"/>
              <w:lang w:val="de-DE"/>
            </w:rPr>
            <m:t>≤</m:t>
          </m:r>
          <m:sSub>
            <m:sSubPr>
              <m:ctrlPr>
                <w:rPr>
                  <w:rFonts w:ascii="Cambria Math" w:hAnsi="Cambria Math"/>
                  <w:i/>
                  <w:iCs/>
                  <w:lang w:val="de-DE"/>
                </w:rPr>
              </m:ctrlPr>
            </m:sSubPr>
            <m:e>
              <m:r>
                <w:rPr>
                  <w:rFonts w:ascii="Cambria Math" w:hAnsi="Cambria Math"/>
                  <w:lang w:val="de-DE"/>
                </w:rPr>
                <m:t>S</m:t>
              </m:r>
            </m:e>
            <m:sub>
              <m:r>
                <w:rPr>
                  <w:rFonts w:ascii="Cambria Math" w:hAnsi="Cambria Math"/>
                  <w:lang w:val="de-DE"/>
                </w:rPr>
                <m:t>*</m:t>
              </m:r>
            </m:sub>
          </m:sSub>
        </m:oMath>
      </m:oMathPara>
    </w:p>
    <w:p w14:paraId="5825F1BE" w14:textId="77777777" w:rsidR="0039611F" w:rsidRPr="00872A29" w:rsidRDefault="0039611F" w:rsidP="0039611F">
      <w:pPr>
        <w:jc w:val="center"/>
        <w:rPr>
          <w:rFonts w:ascii="Aptos" w:hAnsi="Aptos"/>
          <w:iCs/>
          <w:lang w:val="de-DE"/>
        </w:rPr>
      </w:pPr>
      <m:oMathPara>
        <m:oMath>
          <m:r>
            <w:rPr>
              <w:rFonts w:ascii="Cambria Math" w:hAnsi="Cambria Math"/>
              <w:lang w:val="de-DE"/>
            </w:rPr>
            <m:t xml:space="preserve">⟹ </m:t>
          </m:r>
          <m:nary>
            <m:naryPr>
              <m:chr m:val="∑"/>
              <m:limLoc m:val="subSup"/>
              <m:supHide m:val="1"/>
              <m:ctrlPr>
                <w:rPr>
                  <w:rFonts w:ascii="Cambria Math" w:hAnsi="Cambria Math"/>
                  <w:i/>
                  <w:iCs/>
                  <w:lang w:val="de-DE"/>
                </w:rPr>
              </m:ctrlPr>
            </m:naryPr>
            <m:sub>
              <m:r>
                <w:rPr>
                  <w:rFonts w:ascii="Cambria Math" w:hAnsi="Cambria Math"/>
                  <w:lang w:val="de-DE"/>
                </w:rPr>
                <m:t>i</m:t>
              </m:r>
            </m:sub>
            <m:sup/>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i,*</m:t>
                          </m:r>
                        </m:sub>
                      </m:sSub>
                    </m:e>
                    <m:sup>
                      <m:r>
                        <w:rPr>
                          <w:rFonts w:ascii="Cambria Math" w:hAnsi="Cambria Math"/>
                        </w:rPr>
                        <m:t>2</m:t>
                      </m:r>
                    </m:sup>
                  </m:sSup>
                  <m:r>
                    <w:rPr>
                      <w:rFonts w:ascii="Cambria Math" w:hAnsi="Cambria Math"/>
                    </w:rPr>
                    <m:t>⋅F</m:t>
                  </m:r>
                </m:num>
                <m:den>
                  <m:r>
                    <w:rPr>
                      <w:rFonts w:ascii="Cambria Math" w:hAnsi="Cambria Math"/>
                    </w:rPr>
                    <m:t>L⋅</m:t>
                  </m:r>
                  <m:sSub>
                    <m:sSubPr>
                      <m:ctrlPr>
                        <w:rPr>
                          <w:rFonts w:ascii="Cambria Math" w:hAnsi="Cambria Math"/>
                          <w:i/>
                        </w:rPr>
                      </m:ctrlPr>
                    </m:sSubPr>
                    <m:e>
                      <m:r>
                        <w:rPr>
                          <w:rFonts w:ascii="Cambria Math" w:hAnsi="Cambria Math"/>
                        </w:rPr>
                        <m:t>f</m:t>
                      </m:r>
                    </m:e>
                    <m:sub>
                      <m:r>
                        <w:rPr>
                          <w:rFonts w:ascii="Cambria Math" w:hAnsi="Cambria Math"/>
                        </w:rPr>
                        <m:t>i</m:t>
                      </m:r>
                    </m:sub>
                  </m:sSub>
                </m:den>
              </m:f>
            </m:e>
          </m:nary>
          <m:r>
            <w:rPr>
              <w:rFonts w:ascii="Cambria Math" w:hAnsi="Cambria Math"/>
              <w:lang w:val="de-DE"/>
            </w:rPr>
            <m:t>≤</m:t>
          </m:r>
          <m:sSub>
            <m:sSubPr>
              <m:ctrlPr>
                <w:rPr>
                  <w:rFonts w:ascii="Cambria Math" w:hAnsi="Cambria Math"/>
                  <w:i/>
                  <w:iCs/>
                  <w:lang w:val="de-DE"/>
                </w:rPr>
              </m:ctrlPr>
            </m:sSubPr>
            <m:e>
              <m:r>
                <w:rPr>
                  <w:rFonts w:ascii="Cambria Math" w:hAnsi="Cambria Math"/>
                  <w:lang w:val="de-DE"/>
                </w:rPr>
                <m:t>S</m:t>
              </m:r>
            </m:e>
            <m:sub>
              <m:r>
                <w:rPr>
                  <w:rFonts w:ascii="Cambria Math" w:hAnsi="Cambria Math"/>
                  <w:lang w:val="de-DE"/>
                </w:rPr>
                <m:t>*</m:t>
              </m:r>
            </m:sub>
          </m:sSub>
        </m:oMath>
      </m:oMathPara>
    </w:p>
    <w:p w14:paraId="42B7E449" w14:textId="77777777" w:rsidR="0039611F" w:rsidRPr="00872A29" w:rsidRDefault="0039611F" w:rsidP="0039611F">
      <w:pPr>
        <w:jc w:val="center"/>
        <w:rPr>
          <w:rFonts w:ascii="Aptos" w:hAnsi="Aptos"/>
          <w:iCs/>
          <w:lang w:val="de-DE"/>
        </w:rPr>
      </w:pPr>
      <m:oMathPara>
        <m:oMath>
          <m:r>
            <w:rPr>
              <w:rFonts w:ascii="Cambria Math" w:hAnsi="Cambria Math"/>
              <w:lang w:val="de-DE"/>
            </w:rPr>
            <m:t xml:space="preserve">⟹ </m:t>
          </m:r>
          <m:nary>
            <m:naryPr>
              <m:chr m:val="∑"/>
              <m:limLoc m:val="subSup"/>
              <m:supHide m:val="1"/>
              <m:ctrlPr>
                <w:rPr>
                  <w:rFonts w:ascii="Cambria Math" w:hAnsi="Cambria Math"/>
                  <w:i/>
                  <w:iCs/>
                  <w:lang w:val="de-DE"/>
                </w:rPr>
              </m:ctrlPr>
            </m:naryPr>
            <m:sub>
              <m:r>
                <w:rPr>
                  <w:rFonts w:ascii="Cambria Math" w:hAnsi="Cambria Math"/>
                  <w:lang w:val="de-DE"/>
                </w:rPr>
                <m:t>i</m:t>
              </m:r>
            </m:sub>
            <m:sup/>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i,*</m:t>
                          </m:r>
                        </m:sub>
                      </m:sSub>
                    </m:e>
                    <m:sup>
                      <m:r>
                        <w:rPr>
                          <w:rFonts w:ascii="Cambria Math" w:hAnsi="Cambria Math"/>
                        </w:rPr>
                        <m:t>2</m:t>
                      </m:r>
                    </m:sup>
                  </m:sSup>
                </m:num>
                <m:den>
                  <m:sSub>
                    <m:sSubPr>
                      <m:ctrlPr>
                        <w:rPr>
                          <w:rFonts w:ascii="Cambria Math" w:hAnsi="Cambria Math"/>
                          <w:i/>
                        </w:rPr>
                      </m:ctrlPr>
                    </m:sSubPr>
                    <m:e>
                      <m:r>
                        <w:rPr>
                          <w:rFonts w:ascii="Cambria Math" w:hAnsi="Cambria Math"/>
                        </w:rPr>
                        <m:t>f</m:t>
                      </m:r>
                    </m:e>
                    <m:sub>
                      <m:r>
                        <w:rPr>
                          <w:rFonts w:ascii="Cambria Math" w:hAnsi="Cambria Math"/>
                        </w:rPr>
                        <m:t>i</m:t>
                      </m:r>
                    </m:sub>
                  </m:sSub>
                </m:den>
              </m:f>
            </m:e>
          </m:nary>
          <m:r>
            <w:rPr>
              <w:rFonts w:ascii="Cambria Math" w:hAnsi="Cambria Math"/>
              <w:lang w:val="de-DE"/>
            </w:rPr>
            <m:t>≤</m:t>
          </m:r>
          <m:f>
            <m:fPr>
              <m:ctrlPr>
                <w:rPr>
                  <w:rFonts w:ascii="Cambria Math" w:hAnsi="Cambria Math"/>
                  <w:i/>
                  <w:iCs/>
                  <w:lang w:val="de-DE"/>
                </w:rPr>
              </m:ctrlPr>
            </m:fPr>
            <m:num>
              <m:r>
                <w:rPr>
                  <w:rFonts w:ascii="Cambria Math" w:hAnsi="Cambria Math"/>
                  <w:lang w:val="de-DE"/>
                </w:rPr>
                <m:t>L⋅</m:t>
              </m:r>
              <m:sSub>
                <m:sSubPr>
                  <m:ctrlPr>
                    <w:rPr>
                      <w:rFonts w:ascii="Cambria Math" w:hAnsi="Cambria Math"/>
                      <w:i/>
                      <w:iCs/>
                      <w:lang w:val="de-DE"/>
                    </w:rPr>
                  </m:ctrlPr>
                </m:sSubPr>
                <m:e>
                  <m:r>
                    <w:rPr>
                      <w:rFonts w:ascii="Cambria Math" w:hAnsi="Cambria Math"/>
                      <w:lang w:val="de-DE"/>
                    </w:rPr>
                    <m:t>S</m:t>
                  </m:r>
                </m:e>
                <m:sub>
                  <m:r>
                    <w:rPr>
                      <w:rFonts w:ascii="Cambria Math" w:hAnsi="Cambria Math"/>
                      <w:lang w:val="de-DE"/>
                    </w:rPr>
                    <m:t>*</m:t>
                  </m:r>
                </m:sub>
              </m:sSub>
            </m:num>
            <m:den>
              <m:r>
                <w:rPr>
                  <w:rFonts w:ascii="Cambria Math" w:hAnsi="Cambria Math"/>
                  <w:lang w:val="de-DE"/>
                </w:rPr>
                <m:t>F</m:t>
              </m:r>
            </m:den>
          </m:f>
        </m:oMath>
      </m:oMathPara>
    </w:p>
    <w:p w14:paraId="23BD8B54" w14:textId="77777777" w:rsidR="0039611F" w:rsidRPr="00872A29" w:rsidRDefault="0039611F" w:rsidP="0039611F">
      <w:pPr>
        <w:rPr>
          <w:rFonts w:ascii="Aptos" w:hAnsi="Aptos"/>
          <w:iCs/>
          <w:lang w:val="de-DE"/>
        </w:rPr>
      </w:pPr>
      <w:r w:rsidRPr="00872A29">
        <w:rPr>
          <w:rFonts w:ascii="Aptos" w:hAnsi="Aptos"/>
          <w:iCs/>
          <w:lang w:val="de-DE"/>
        </w:rPr>
        <w:t>Using Cauchy-Schwarz inequality:</w:t>
      </w:r>
    </w:p>
    <w:p w14:paraId="3996E1F1" w14:textId="77777777" w:rsidR="0039611F" w:rsidRPr="00872A29" w:rsidRDefault="0039611F" w:rsidP="0039611F">
      <w:pPr>
        <w:jc w:val="center"/>
        <w:rPr>
          <w:rFonts w:ascii="Aptos" w:hAnsi="Aptos"/>
          <w:iCs/>
          <w:lang w:val="de-DE"/>
        </w:rPr>
      </w:pPr>
      <m:oMathPara>
        <m:oMath>
          <m:r>
            <w:rPr>
              <w:rFonts w:ascii="Cambria Math" w:hAnsi="Cambria Math"/>
              <w:lang w:val="de-DE"/>
            </w:rPr>
            <m:t xml:space="preserve">⟹ </m:t>
          </m:r>
          <m:f>
            <m:fPr>
              <m:ctrlPr>
                <w:rPr>
                  <w:rFonts w:ascii="Cambria Math" w:hAnsi="Cambria Math"/>
                  <w:i/>
                  <w:iCs/>
                  <w:lang w:val="de-DE"/>
                </w:rPr>
              </m:ctrlPr>
            </m:fPr>
            <m:num>
              <m:sSup>
                <m:sSupPr>
                  <m:ctrlPr>
                    <w:rPr>
                      <w:rFonts w:ascii="Cambria Math" w:hAnsi="Cambria Math"/>
                      <w:i/>
                      <w:iCs/>
                      <w:lang w:val="de-DE"/>
                    </w:rPr>
                  </m:ctrlPr>
                </m:sSupPr>
                <m:e>
                  <m:r>
                    <w:rPr>
                      <w:rFonts w:ascii="Cambria Math" w:hAnsi="Cambria Math"/>
                      <w:lang w:val="de-DE"/>
                    </w:rPr>
                    <m:t>(</m:t>
                  </m:r>
                  <m:nary>
                    <m:naryPr>
                      <m:chr m:val="∑"/>
                      <m:limLoc m:val="subSup"/>
                      <m:supHide m:val="1"/>
                      <m:ctrlPr>
                        <w:rPr>
                          <w:rFonts w:ascii="Cambria Math" w:hAnsi="Cambria Math"/>
                          <w:i/>
                          <w:iCs/>
                          <w:lang w:val="de-DE"/>
                        </w:rPr>
                      </m:ctrlPr>
                    </m:naryPr>
                    <m:sub>
                      <m:r>
                        <w:rPr>
                          <w:rFonts w:ascii="Cambria Math" w:hAnsi="Cambria Math"/>
                          <w:lang w:val="de-DE"/>
                        </w:rPr>
                        <m:t>i</m:t>
                      </m:r>
                    </m:sub>
                    <m:sup/>
                    <m:e>
                      <m:sSub>
                        <m:sSubPr>
                          <m:ctrlPr>
                            <w:rPr>
                              <w:rFonts w:ascii="Cambria Math" w:hAnsi="Cambria Math"/>
                              <w:i/>
                              <w:iCs/>
                              <w:lang w:val="de-DE"/>
                            </w:rPr>
                          </m:ctrlPr>
                        </m:sSubPr>
                        <m:e>
                          <m:r>
                            <w:rPr>
                              <w:rFonts w:ascii="Cambria Math" w:hAnsi="Cambria Math"/>
                              <w:lang w:val="de-DE"/>
                            </w:rPr>
                            <m:t>S</m:t>
                          </m:r>
                        </m:e>
                        <m:sub>
                          <m:r>
                            <w:rPr>
                              <w:rFonts w:ascii="Cambria Math" w:hAnsi="Cambria Math"/>
                              <w:lang w:val="de-DE"/>
                            </w:rPr>
                            <m:t>i,*</m:t>
                          </m:r>
                        </m:sub>
                      </m:sSub>
                      <m:r>
                        <w:rPr>
                          <w:rFonts w:ascii="Cambria Math" w:hAnsi="Cambria Math"/>
                          <w:lang w:val="de-DE"/>
                        </w:rPr>
                        <m:t>)</m:t>
                      </m:r>
                    </m:e>
                  </m:nary>
                </m:e>
                <m:sup>
                  <m:r>
                    <w:rPr>
                      <w:rFonts w:ascii="Cambria Math" w:hAnsi="Cambria Math"/>
                      <w:lang w:val="de-DE"/>
                    </w:rPr>
                    <m:t>2</m:t>
                  </m:r>
                </m:sup>
              </m:sSup>
            </m:num>
            <m:den>
              <m:nary>
                <m:naryPr>
                  <m:chr m:val="∑"/>
                  <m:limLoc m:val="undOvr"/>
                  <m:supHide m:val="1"/>
                  <m:ctrlPr>
                    <w:rPr>
                      <w:rFonts w:ascii="Cambria Math" w:hAnsi="Cambria Math"/>
                      <w:i/>
                      <w:lang w:val="de-DE"/>
                    </w:rPr>
                  </m:ctrlPr>
                </m:naryPr>
                <m:sub>
                  <m:r>
                    <w:rPr>
                      <w:rFonts w:ascii="Cambria Math" w:hAnsi="Cambria Math"/>
                      <w:lang w:val="de-DE"/>
                    </w:rPr>
                    <m:t>i</m:t>
                  </m:r>
                </m:sub>
                <m:sup/>
                <m:e>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i</m:t>
                      </m:r>
                    </m:sub>
                  </m:sSub>
                </m:e>
              </m:nary>
            </m:den>
          </m:f>
          <m:r>
            <w:rPr>
              <w:rFonts w:ascii="Cambria Math" w:hAnsi="Cambria Math"/>
              <w:lang w:val="de-DE"/>
            </w:rPr>
            <m:t>≤</m:t>
          </m:r>
          <m:nary>
            <m:naryPr>
              <m:chr m:val="∑"/>
              <m:limLoc m:val="subSup"/>
              <m:supHide m:val="1"/>
              <m:ctrlPr>
                <w:rPr>
                  <w:rFonts w:ascii="Cambria Math" w:hAnsi="Cambria Math"/>
                  <w:i/>
                  <w:iCs/>
                  <w:lang w:val="de-DE"/>
                </w:rPr>
              </m:ctrlPr>
            </m:naryPr>
            <m:sub>
              <m:r>
                <w:rPr>
                  <w:rFonts w:ascii="Cambria Math" w:hAnsi="Cambria Math"/>
                  <w:lang w:val="de-DE"/>
                </w:rPr>
                <m:t>i</m:t>
              </m:r>
            </m:sub>
            <m:sup/>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i</m:t>
                          </m:r>
                          <m:r>
                            <w:rPr>
                              <w:rFonts w:ascii="Cambria Math" w:hAnsi="Cambria Math"/>
                              <w:lang w:val="de-DE"/>
                            </w:rPr>
                            <m:t>,*</m:t>
                          </m:r>
                        </m:sub>
                      </m:sSub>
                    </m:e>
                    <m:sup>
                      <m:r>
                        <w:rPr>
                          <w:rFonts w:ascii="Cambria Math" w:hAnsi="Cambria Math"/>
                          <w:lang w:val="de-DE"/>
                        </w:rPr>
                        <m:t>2</m:t>
                      </m:r>
                    </m:sup>
                  </m:sSup>
                </m:num>
                <m:den>
                  <m:sSub>
                    <m:sSubPr>
                      <m:ctrlPr>
                        <w:rPr>
                          <w:rFonts w:ascii="Cambria Math" w:hAnsi="Cambria Math"/>
                          <w:i/>
                        </w:rPr>
                      </m:ctrlPr>
                    </m:sSubPr>
                    <m:e>
                      <m:r>
                        <w:rPr>
                          <w:rFonts w:ascii="Cambria Math" w:hAnsi="Cambria Math"/>
                        </w:rPr>
                        <m:t>f</m:t>
                      </m:r>
                    </m:e>
                    <m:sub>
                      <m:r>
                        <w:rPr>
                          <w:rFonts w:ascii="Cambria Math" w:hAnsi="Cambria Math"/>
                        </w:rPr>
                        <m:t>i</m:t>
                      </m:r>
                    </m:sub>
                  </m:sSub>
                </m:den>
              </m:f>
            </m:e>
          </m:nary>
          <m:r>
            <w:rPr>
              <w:rFonts w:ascii="Cambria Math" w:hAnsi="Cambria Math"/>
              <w:lang w:val="de-DE"/>
            </w:rPr>
            <m:t>≤</m:t>
          </m:r>
          <m:f>
            <m:fPr>
              <m:ctrlPr>
                <w:rPr>
                  <w:rFonts w:ascii="Cambria Math" w:hAnsi="Cambria Math"/>
                  <w:i/>
                  <w:iCs/>
                  <w:lang w:val="de-DE"/>
                </w:rPr>
              </m:ctrlPr>
            </m:fPr>
            <m:num>
              <m:r>
                <w:rPr>
                  <w:rFonts w:ascii="Cambria Math" w:hAnsi="Cambria Math"/>
                  <w:lang w:val="de-DE"/>
                </w:rPr>
                <m:t>L⋅</m:t>
              </m:r>
              <m:sSub>
                <m:sSubPr>
                  <m:ctrlPr>
                    <w:rPr>
                      <w:rFonts w:ascii="Cambria Math" w:hAnsi="Cambria Math"/>
                      <w:i/>
                      <w:iCs/>
                      <w:lang w:val="de-DE"/>
                    </w:rPr>
                  </m:ctrlPr>
                </m:sSubPr>
                <m:e>
                  <m:r>
                    <w:rPr>
                      <w:rFonts w:ascii="Cambria Math" w:hAnsi="Cambria Math"/>
                      <w:lang w:val="de-DE"/>
                    </w:rPr>
                    <m:t>S</m:t>
                  </m:r>
                </m:e>
                <m:sub>
                  <m:r>
                    <w:rPr>
                      <w:rFonts w:ascii="Cambria Math" w:hAnsi="Cambria Math"/>
                      <w:lang w:val="de-DE"/>
                    </w:rPr>
                    <m:t>*</m:t>
                  </m:r>
                </m:sub>
              </m:sSub>
            </m:num>
            <m:den>
              <m:r>
                <w:rPr>
                  <w:rFonts w:ascii="Cambria Math" w:hAnsi="Cambria Math"/>
                  <w:lang w:val="de-DE"/>
                </w:rPr>
                <m:t>F</m:t>
              </m:r>
            </m:den>
          </m:f>
        </m:oMath>
      </m:oMathPara>
    </w:p>
    <w:p w14:paraId="6C66BEE1" w14:textId="77777777" w:rsidR="0039611F" w:rsidRPr="00872A29" w:rsidRDefault="0039611F" w:rsidP="0039611F">
      <w:pPr>
        <w:jc w:val="center"/>
        <w:rPr>
          <w:rFonts w:ascii="Aptos" w:hAnsi="Aptos"/>
          <w:iCs/>
          <w:lang w:val="de-DE"/>
        </w:rPr>
      </w:pPr>
      <m:oMathPara>
        <m:oMath>
          <m:r>
            <w:rPr>
              <w:rFonts w:ascii="Cambria Math" w:hAnsi="Cambria Math"/>
              <w:lang w:val="de-DE"/>
            </w:rPr>
            <m:t xml:space="preserve">⟹ </m:t>
          </m:r>
          <m:f>
            <m:fPr>
              <m:ctrlPr>
                <w:rPr>
                  <w:rFonts w:ascii="Cambria Math" w:hAnsi="Cambria Math"/>
                  <w:i/>
                  <w:iCs/>
                  <w:lang w:val="de-DE"/>
                </w:rPr>
              </m:ctrlPr>
            </m:fPr>
            <m:num>
              <m:sSup>
                <m:sSupPr>
                  <m:ctrlPr>
                    <w:rPr>
                      <w:rFonts w:ascii="Cambria Math" w:hAnsi="Cambria Math"/>
                      <w:i/>
                      <w:iCs/>
                      <w:lang w:val="de-DE"/>
                    </w:rPr>
                  </m:ctrlPr>
                </m:sSupPr>
                <m:e>
                  <m:sSub>
                    <m:sSubPr>
                      <m:ctrlPr>
                        <w:rPr>
                          <w:rFonts w:ascii="Cambria Math" w:hAnsi="Cambria Math"/>
                          <w:i/>
                          <w:iCs/>
                          <w:lang w:val="de-DE"/>
                        </w:rPr>
                      </m:ctrlPr>
                    </m:sSubPr>
                    <m:e>
                      <m:r>
                        <w:rPr>
                          <w:rFonts w:ascii="Cambria Math" w:hAnsi="Cambria Math"/>
                          <w:lang w:val="de-DE"/>
                        </w:rPr>
                        <m:t>S</m:t>
                      </m:r>
                    </m:e>
                    <m:sub>
                      <m:r>
                        <w:rPr>
                          <w:rFonts w:ascii="Cambria Math" w:hAnsi="Cambria Math"/>
                          <w:lang w:val="de-DE"/>
                        </w:rPr>
                        <m:t>*</m:t>
                      </m:r>
                    </m:sub>
                  </m:sSub>
                </m:e>
                <m:sup>
                  <m:r>
                    <w:rPr>
                      <w:rFonts w:ascii="Cambria Math" w:hAnsi="Cambria Math"/>
                      <w:lang w:val="de-DE"/>
                    </w:rPr>
                    <m:t>2</m:t>
                  </m:r>
                </m:sup>
              </m:sSup>
            </m:num>
            <m:den>
              <m:r>
                <w:rPr>
                  <w:rFonts w:ascii="Cambria Math" w:hAnsi="Cambria Math"/>
                  <w:lang w:val="de-DE"/>
                </w:rPr>
                <m:t>F</m:t>
              </m:r>
            </m:den>
          </m:f>
          <m:r>
            <w:rPr>
              <w:rFonts w:ascii="Cambria Math" w:hAnsi="Cambria Math"/>
              <w:lang w:val="de-DE"/>
            </w:rPr>
            <m:t>≤</m:t>
          </m:r>
          <m:f>
            <m:fPr>
              <m:ctrlPr>
                <w:rPr>
                  <w:rFonts w:ascii="Cambria Math" w:hAnsi="Cambria Math"/>
                  <w:i/>
                  <w:iCs/>
                  <w:lang w:val="de-DE"/>
                </w:rPr>
              </m:ctrlPr>
            </m:fPr>
            <m:num>
              <m:r>
                <w:rPr>
                  <w:rFonts w:ascii="Cambria Math" w:hAnsi="Cambria Math"/>
                  <w:lang w:val="de-DE"/>
                </w:rPr>
                <m:t>L⋅</m:t>
              </m:r>
              <m:sSub>
                <m:sSubPr>
                  <m:ctrlPr>
                    <w:rPr>
                      <w:rFonts w:ascii="Cambria Math" w:hAnsi="Cambria Math"/>
                      <w:i/>
                      <w:iCs/>
                      <w:lang w:val="de-DE"/>
                    </w:rPr>
                  </m:ctrlPr>
                </m:sSubPr>
                <m:e>
                  <m:r>
                    <w:rPr>
                      <w:rFonts w:ascii="Cambria Math" w:hAnsi="Cambria Math"/>
                      <w:lang w:val="de-DE"/>
                    </w:rPr>
                    <m:t>S</m:t>
                  </m:r>
                </m:e>
                <m:sub>
                  <m:r>
                    <w:rPr>
                      <w:rFonts w:ascii="Cambria Math" w:hAnsi="Cambria Math"/>
                      <w:lang w:val="de-DE"/>
                    </w:rPr>
                    <m:t>*</m:t>
                  </m:r>
                </m:sub>
              </m:sSub>
            </m:num>
            <m:den>
              <m:r>
                <w:rPr>
                  <w:rFonts w:ascii="Cambria Math" w:hAnsi="Cambria Math"/>
                  <w:lang w:val="de-DE"/>
                </w:rPr>
                <m:t>F</m:t>
              </m:r>
            </m:den>
          </m:f>
        </m:oMath>
      </m:oMathPara>
    </w:p>
    <w:p w14:paraId="3CB59FE5" w14:textId="77777777" w:rsidR="0039611F" w:rsidRPr="00872A29" w:rsidRDefault="00C5471C" w:rsidP="0039611F">
      <w:pPr>
        <w:jc w:val="center"/>
        <w:rPr>
          <w:rFonts w:ascii="Aptos" w:hAnsi="Aptos"/>
          <w:iCs/>
          <w:lang w:val="de-DE"/>
        </w:rPr>
      </w:pPr>
      <m:oMathPara>
        <m:oMath>
          <m:sSub>
            <m:sSubPr>
              <m:ctrlPr>
                <w:rPr>
                  <w:rFonts w:ascii="Cambria Math" w:hAnsi="Cambria Math"/>
                  <w:i/>
                  <w:iCs/>
                  <w:lang w:val="de-DE"/>
                </w:rPr>
              </m:ctrlPr>
            </m:sSubPr>
            <m:e>
              <m:r>
                <w:rPr>
                  <w:rFonts w:ascii="Cambria Math" w:hAnsi="Cambria Math"/>
                  <w:lang w:val="de-DE"/>
                </w:rPr>
                <m:t>S</m:t>
              </m:r>
            </m:e>
            <m:sub>
              <m:r>
                <w:rPr>
                  <w:rFonts w:ascii="Cambria Math" w:hAnsi="Cambria Math"/>
                  <w:lang w:val="de-DE"/>
                </w:rPr>
                <m:t>*</m:t>
              </m:r>
            </m:sub>
          </m:sSub>
          <m:r>
            <w:rPr>
              <w:rFonts w:ascii="Cambria Math" w:hAnsi="Cambria Math"/>
              <w:lang w:val="de-DE"/>
            </w:rPr>
            <m:t>≤L</m:t>
          </m:r>
        </m:oMath>
      </m:oMathPara>
    </w:p>
    <w:p w14:paraId="1EC3EC3C" w14:textId="77777777" w:rsidR="0039611F" w:rsidRPr="00872A29" w:rsidRDefault="0039611F" w:rsidP="0039611F">
      <w:pPr>
        <w:jc w:val="center"/>
        <w:rPr>
          <w:rFonts w:ascii="Aptos" w:hAnsi="Aptos"/>
          <w:iCs/>
          <w:lang w:val="de-DE"/>
        </w:rPr>
      </w:pPr>
    </w:p>
    <w:p w14:paraId="5D4A7DAE" w14:textId="77777777" w:rsidR="0039611F" w:rsidRPr="00872A29" w:rsidRDefault="0039611F" w:rsidP="0039611F">
      <w:pPr>
        <w:rPr>
          <w:rFonts w:ascii="Aptos" w:hAnsi="Aptos"/>
          <w:iCs/>
          <w:lang w:val="de-DE"/>
        </w:rPr>
      </w:pPr>
      <w:r w:rsidRPr="00872A29">
        <w:rPr>
          <w:rFonts w:ascii="Aptos" w:hAnsi="Aptos"/>
          <w:iCs/>
          <w:lang w:val="de-DE"/>
        </w:rPr>
        <w:t xml:space="preserve">Mathematically, this inequality becomes an equality when all consumer products have the same life cyle emissions intensities, i.e.: </w:t>
      </w:r>
    </w:p>
    <w:p w14:paraId="0DC46BC8" w14:textId="77777777" w:rsidR="0039611F" w:rsidRPr="00872A29" w:rsidRDefault="0039611F" w:rsidP="0039611F">
      <w:pPr>
        <w:rPr>
          <w:rFonts w:ascii="Aptos" w:hAnsi="Aptos"/>
          <w:lang w:val="de-DE"/>
        </w:rPr>
      </w:pPr>
      <m:oMathPara>
        <m:oMath>
          <m:r>
            <w:rPr>
              <w:rFonts w:ascii="Cambria Math" w:hAnsi="Cambria Math"/>
            </w:rPr>
            <m:t>∃</m:t>
          </m:r>
          <m:r>
            <w:rPr>
              <w:rFonts w:ascii="Cambria Math" w:hAnsi="Cambria Math"/>
              <w:lang w:val="de-DE"/>
            </w:rPr>
            <m:t xml:space="preserve">λ, </m:t>
          </m:r>
          <m:r>
            <w:rPr>
              <w:rFonts w:ascii="Cambria Math" w:hAnsi="Cambria Math"/>
            </w:rPr>
            <m:t xml:space="preserve">∀i, </m:t>
          </m:r>
          <m:f>
            <m:fPr>
              <m:ctrlPr>
                <w:rPr>
                  <w:rFonts w:ascii="Cambria Math" w:hAnsi="Cambria Math"/>
                  <w:i/>
                  <w:lang w:val="de-DE"/>
                </w:rPr>
              </m:ctrlPr>
            </m:fPr>
            <m:num>
              <m:sSub>
                <m:sSubPr>
                  <m:ctrlPr>
                    <w:rPr>
                      <w:rFonts w:ascii="Cambria Math" w:hAnsi="Cambria Math"/>
                      <w:i/>
                      <w:lang w:val="de-DE"/>
                    </w:rPr>
                  </m:ctrlPr>
                </m:sSubPr>
                <m:e>
                  <m:r>
                    <w:rPr>
                      <w:rFonts w:ascii="Cambria Math" w:hAnsi="Cambria Math"/>
                      <w:lang w:val="de-DE"/>
                    </w:rPr>
                    <m:t>S</m:t>
                  </m:r>
                </m:e>
                <m:sub>
                  <m:r>
                    <w:rPr>
                      <w:rFonts w:ascii="Cambria Math" w:hAnsi="Cambria Math"/>
                      <w:lang w:val="de-DE"/>
                    </w:rPr>
                    <m:t>i,*</m:t>
                  </m:r>
                </m:sub>
              </m:sSub>
            </m:num>
            <m:den>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i</m:t>
                  </m:r>
                </m:sub>
              </m:sSub>
            </m:den>
          </m:f>
          <m:r>
            <w:rPr>
              <w:rFonts w:ascii="Cambria Math" w:hAnsi="Cambria Math"/>
              <w:lang w:val="de-DE"/>
            </w:rPr>
            <m:t>= λ</m:t>
          </m:r>
        </m:oMath>
      </m:oMathPara>
    </w:p>
    <w:p w14:paraId="716F43DF" w14:textId="15A739DD" w:rsidR="00351BC0" w:rsidRPr="00872A29" w:rsidRDefault="00351BC0" w:rsidP="00351BC0">
      <w:pPr>
        <w:rPr>
          <w:rFonts w:ascii="Aptos" w:hAnsi="Aptos"/>
          <w:sz w:val="16"/>
          <w:szCs w:val="16"/>
        </w:rPr>
      </w:pPr>
    </w:p>
    <w:sectPr w:rsidR="00351BC0" w:rsidRPr="00872A29" w:rsidSect="00C32749">
      <w:headerReference w:type="even" r:id="rId12"/>
      <w:headerReference w:type="default" r:id="rId13"/>
      <w:footerReference w:type="even" r:id="rId14"/>
      <w:footerReference w:type="default" r:id="rId15"/>
      <w:headerReference w:type="first" r:id="rId16"/>
      <w:footerReference w:type="first" r:id="rId17"/>
      <w:pgSz w:w="9639" w:h="13608" w:code="9"/>
      <w:pgMar w:top="1134" w:right="1134" w:bottom="170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35282" w14:textId="77777777" w:rsidR="00C5471C" w:rsidRDefault="00C5471C" w:rsidP="00F1362E">
      <w:r>
        <w:separator/>
      </w:r>
    </w:p>
  </w:endnote>
  <w:endnote w:type="continuationSeparator" w:id="0">
    <w:p w14:paraId="5149F3D7" w14:textId="77777777" w:rsidR="00C5471C" w:rsidRDefault="00C5471C" w:rsidP="00F13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arding Text Web Regular">
    <w:panose1 w:val="00000000000000000000"/>
    <w:charset w:val="00"/>
    <w:family w:val="auto"/>
    <w:pitch w:val="variable"/>
    <w:sig w:usb0="A00000AF" w:usb1="5800C47B" w:usb2="00000000" w:usb3="00000000" w:csb0="0000009B" w:csb1="00000000"/>
  </w:font>
  <w:font w:name="Harding Text Web Bold">
    <w:panose1 w:val="00000000000000000000"/>
    <w:charset w:val="00"/>
    <w:family w:val="auto"/>
    <w:pitch w:val="variable"/>
    <w:sig w:usb0="A00000AF" w:usb1="5800C47B" w:usb2="00000000" w:usb3="00000000" w:csb0="0000009B"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82BB" w14:textId="738818A0" w:rsidR="00B30E19" w:rsidRDefault="00B30E19" w:rsidP="00F659B0">
    <w:pPr>
      <w:pStyle w:val="Footer"/>
      <w:jc w:val="center"/>
    </w:pPr>
  </w:p>
  <w:p w14:paraId="3C058650" w14:textId="278D8F63" w:rsidR="00260543" w:rsidRPr="005E3D02" w:rsidRDefault="00260543" w:rsidP="00F1362E">
    <w:pPr>
      <w:pStyle w:val="Footer"/>
      <w:rPr>
        <w:rFonts w:ascii="Harding Text Web Bold" w:hAnsi="Harding Text Web Bold"/>
        <w:color w:val="222D3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7C64" w14:textId="77777777" w:rsidR="002B2429" w:rsidRDefault="002B24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9DE2" w14:textId="77777777" w:rsidR="002B2429" w:rsidRDefault="002B24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E2A53" w14:textId="77777777" w:rsidR="00C5471C" w:rsidRDefault="00C5471C" w:rsidP="00F1362E">
      <w:r>
        <w:separator/>
      </w:r>
    </w:p>
  </w:footnote>
  <w:footnote w:type="continuationSeparator" w:id="0">
    <w:p w14:paraId="476499F6" w14:textId="77777777" w:rsidR="00C5471C" w:rsidRDefault="00C5471C" w:rsidP="00F13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A3EE" w14:textId="1CF733D4" w:rsidR="00BB4439" w:rsidRPr="00B30E19" w:rsidRDefault="00BB4439" w:rsidP="00935130">
    <w:pPr>
      <w:pStyle w:val="Header"/>
      <w:jc w:val="right"/>
      <w:rPr>
        <w:color w:val="222D3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3529" w14:textId="77777777" w:rsidR="002B2429" w:rsidRDefault="002B24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EF49" w14:textId="77777777" w:rsidR="002B2429" w:rsidRDefault="002B24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40A0A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6CC0F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B5C3F7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C600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6F8E47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18EBB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812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34346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D4F2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12B8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74214CC"/>
    <w:multiLevelType w:val="multilevel"/>
    <w:tmpl w:val="B7E8C1B4"/>
    <w:lvl w:ilvl="0">
      <w:start w:val="1"/>
      <w:numFmt w:val="decimal"/>
      <w:pStyle w:val="Heading2"/>
      <w:lvlText w:val="%1 |"/>
      <w:lvlJc w:val="left"/>
      <w:pPr>
        <w:ind w:left="0" w:firstLine="0"/>
      </w:p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1" w15:restartNumberingAfterBreak="0">
    <w:nsid w:val="6D9423C6"/>
    <w:multiLevelType w:val="hybridMultilevel"/>
    <w:tmpl w:val="FF1EE5D2"/>
    <w:lvl w:ilvl="0" w:tplc="3E3AA4C4">
      <w:start w:val="1"/>
      <w:numFmt w:val="bullet"/>
      <w:pStyle w:val="ListParagraph"/>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E975DB5"/>
    <w:multiLevelType w:val="multilevel"/>
    <w:tmpl w:val="84C283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271398650">
    <w:abstractNumId w:val="12"/>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 w16cid:durableId="2017616125">
    <w:abstractNumId w:val="11"/>
  </w:num>
  <w:num w:numId="3" w16cid:durableId="19936324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199936">
    <w:abstractNumId w:val="0"/>
  </w:num>
  <w:num w:numId="5" w16cid:durableId="1497845683">
    <w:abstractNumId w:val="1"/>
  </w:num>
  <w:num w:numId="6" w16cid:durableId="613903430">
    <w:abstractNumId w:val="2"/>
  </w:num>
  <w:num w:numId="7" w16cid:durableId="2120756760">
    <w:abstractNumId w:val="3"/>
  </w:num>
  <w:num w:numId="8" w16cid:durableId="2071609119">
    <w:abstractNumId w:val="4"/>
  </w:num>
  <w:num w:numId="9" w16cid:durableId="1446775675">
    <w:abstractNumId w:val="5"/>
  </w:num>
  <w:num w:numId="10" w16cid:durableId="851459026">
    <w:abstractNumId w:val="6"/>
  </w:num>
  <w:num w:numId="11" w16cid:durableId="1384713429">
    <w:abstractNumId w:val="7"/>
  </w:num>
  <w:num w:numId="12" w16cid:durableId="303505559">
    <w:abstractNumId w:val="8"/>
  </w:num>
  <w:num w:numId="13" w16cid:durableId="189839018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SortMethod w:val="0000"/>
  <w:defaultTabStop w:val="720"/>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A3"/>
    <w:rsid w:val="00000770"/>
    <w:rsid w:val="00000A08"/>
    <w:rsid w:val="0000114E"/>
    <w:rsid w:val="0000184C"/>
    <w:rsid w:val="00001894"/>
    <w:rsid w:val="00002412"/>
    <w:rsid w:val="00002433"/>
    <w:rsid w:val="00002DF2"/>
    <w:rsid w:val="00003EA9"/>
    <w:rsid w:val="00004176"/>
    <w:rsid w:val="00004DEE"/>
    <w:rsid w:val="00005B09"/>
    <w:rsid w:val="0000602B"/>
    <w:rsid w:val="000062F6"/>
    <w:rsid w:val="00007A17"/>
    <w:rsid w:val="00012C7E"/>
    <w:rsid w:val="00012E13"/>
    <w:rsid w:val="00012EBB"/>
    <w:rsid w:val="00013EB3"/>
    <w:rsid w:val="00013FD7"/>
    <w:rsid w:val="000142E8"/>
    <w:rsid w:val="000143EB"/>
    <w:rsid w:val="0001499C"/>
    <w:rsid w:val="0001549D"/>
    <w:rsid w:val="0001550B"/>
    <w:rsid w:val="00015AEC"/>
    <w:rsid w:val="000162ED"/>
    <w:rsid w:val="00016368"/>
    <w:rsid w:val="00016379"/>
    <w:rsid w:val="000169C8"/>
    <w:rsid w:val="00017F91"/>
    <w:rsid w:val="00020F47"/>
    <w:rsid w:val="00021D60"/>
    <w:rsid w:val="00021E67"/>
    <w:rsid w:val="00022498"/>
    <w:rsid w:val="0002362E"/>
    <w:rsid w:val="00023D15"/>
    <w:rsid w:val="00024680"/>
    <w:rsid w:val="000259F0"/>
    <w:rsid w:val="00025E96"/>
    <w:rsid w:val="0002630F"/>
    <w:rsid w:val="00026A04"/>
    <w:rsid w:val="00026EEA"/>
    <w:rsid w:val="000276E5"/>
    <w:rsid w:val="00030A0F"/>
    <w:rsid w:val="00030C6C"/>
    <w:rsid w:val="00030D21"/>
    <w:rsid w:val="000311DD"/>
    <w:rsid w:val="00031F80"/>
    <w:rsid w:val="00032D60"/>
    <w:rsid w:val="00035017"/>
    <w:rsid w:val="000351A5"/>
    <w:rsid w:val="00035841"/>
    <w:rsid w:val="000358D8"/>
    <w:rsid w:val="00035949"/>
    <w:rsid w:val="00035D58"/>
    <w:rsid w:val="00036CDB"/>
    <w:rsid w:val="0003702A"/>
    <w:rsid w:val="00037666"/>
    <w:rsid w:val="000402A9"/>
    <w:rsid w:val="00040C43"/>
    <w:rsid w:val="0004191B"/>
    <w:rsid w:val="00042B36"/>
    <w:rsid w:val="000443D1"/>
    <w:rsid w:val="0004496D"/>
    <w:rsid w:val="0004613A"/>
    <w:rsid w:val="00046BE3"/>
    <w:rsid w:val="000515C5"/>
    <w:rsid w:val="000528DD"/>
    <w:rsid w:val="00052F27"/>
    <w:rsid w:val="000537F1"/>
    <w:rsid w:val="0005431F"/>
    <w:rsid w:val="00055DBE"/>
    <w:rsid w:val="00056BC1"/>
    <w:rsid w:val="00056EC1"/>
    <w:rsid w:val="000570C3"/>
    <w:rsid w:val="00057DB7"/>
    <w:rsid w:val="00060684"/>
    <w:rsid w:val="00060689"/>
    <w:rsid w:val="00061ED7"/>
    <w:rsid w:val="000620D8"/>
    <w:rsid w:val="00062181"/>
    <w:rsid w:val="000633EB"/>
    <w:rsid w:val="0006499C"/>
    <w:rsid w:val="00064E32"/>
    <w:rsid w:val="000664F5"/>
    <w:rsid w:val="000667B7"/>
    <w:rsid w:val="000674CA"/>
    <w:rsid w:val="00067838"/>
    <w:rsid w:val="00067E84"/>
    <w:rsid w:val="00070454"/>
    <w:rsid w:val="00070518"/>
    <w:rsid w:val="0007108A"/>
    <w:rsid w:val="00073800"/>
    <w:rsid w:val="00074114"/>
    <w:rsid w:val="00074759"/>
    <w:rsid w:val="00075182"/>
    <w:rsid w:val="00075BBC"/>
    <w:rsid w:val="00075F71"/>
    <w:rsid w:val="0007691B"/>
    <w:rsid w:val="00076FFB"/>
    <w:rsid w:val="000771BD"/>
    <w:rsid w:val="000813CB"/>
    <w:rsid w:val="00081668"/>
    <w:rsid w:val="00081D64"/>
    <w:rsid w:val="0008246F"/>
    <w:rsid w:val="00082C57"/>
    <w:rsid w:val="00082FC7"/>
    <w:rsid w:val="000832DF"/>
    <w:rsid w:val="00083DA1"/>
    <w:rsid w:val="00085B35"/>
    <w:rsid w:val="00085CD2"/>
    <w:rsid w:val="00087748"/>
    <w:rsid w:val="00087F3E"/>
    <w:rsid w:val="00090C5F"/>
    <w:rsid w:val="00090DF6"/>
    <w:rsid w:val="00091A43"/>
    <w:rsid w:val="00091D2B"/>
    <w:rsid w:val="00091D49"/>
    <w:rsid w:val="0009278C"/>
    <w:rsid w:val="000937E8"/>
    <w:rsid w:val="00093A35"/>
    <w:rsid w:val="00093F5F"/>
    <w:rsid w:val="0009452A"/>
    <w:rsid w:val="00095057"/>
    <w:rsid w:val="00095699"/>
    <w:rsid w:val="000956D2"/>
    <w:rsid w:val="000962B4"/>
    <w:rsid w:val="00096DC9"/>
    <w:rsid w:val="00096F42"/>
    <w:rsid w:val="000A066A"/>
    <w:rsid w:val="000A0821"/>
    <w:rsid w:val="000A12D7"/>
    <w:rsid w:val="000A1364"/>
    <w:rsid w:val="000A1839"/>
    <w:rsid w:val="000A1C32"/>
    <w:rsid w:val="000A207D"/>
    <w:rsid w:val="000A3D1F"/>
    <w:rsid w:val="000A484D"/>
    <w:rsid w:val="000A51E7"/>
    <w:rsid w:val="000A5B21"/>
    <w:rsid w:val="000A5CFB"/>
    <w:rsid w:val="000A5E1C"/>
    <w:rsid w:val="000A7AD6"/>
    <w:rsid w:val="000A7FE6"/>
    <w:rsid w:val="000B0AFD"/>
    <w:rsid w:val="000B2056"/>
    <w:rsid w:val="000B2C80"/>
    <w:rsid w:val="000B2EDE"/>
    <w:rsid w:val="000B35D8"/>
    <w:rsid w:val="000B41AF"/>
    <w:rsid w:val="000B42B0"/>
    <w:rsid w:val="000B43DB"/>
    <w:rsid w:val="000B4AC5"/>
    <w:rsid w:val="000B4B5F"/>
    <w:rsid w:val="000B632E"/>
    <w:rsid w:val="000B64B8"/>
    <w:rsid w:val="000B6617"/>
    <w:rsid w:val="000B6E12"/>
    <w:rsid w:val="000B7926"/>
    <w:rsid w:val="000C18FA"/>
    <w:rsid w:val="000C1B89"/>
    <w:rsid w:val="000C1D4F"/>
    <w:rsid w:val="000C1F3F"/>
    <w:rsid w:val="000C3527"/>
    <w:rsid w:val="000C3E33"/>
    <w:rsid w:val="000C3EAB"/>
    <w:rsid w:val="000C46EC"/>
    <w:rsid w:val="000C6A40"/>
    <w:rsid w:val="000D1265"/>
    <w:rsid w:val="000D18A2"/>
    <w:rsid w:val="000D2414"/>
    <w:rsid w:val="000D31CA"/>
    <w:rsid w:val="000D3F6A"/>
    <w:rsid w:val="000D4042"/>
    <w:rsid w:val="000D46E7"/>
    <w:rsid w:val="000D5C85"/>
    <w:rsid w:val="000D6025"/>
    <w:rsid w:val="000D60FD"/>
    <w:rsid w:val="000D6DEB"/>
    <w:rsid w:val="000D700E"/>
    <w:rsid w:val="000D7658"/>
    <w:rsid w:val="000E0AD2"/>
    <w:rsid w:val="000E13A1"/>
    <w:rsid w:val="000E183C"/>
    <w:rsid w:val="000E1D82"/>
    <w:rsid w:val="000E1E7D"/>
    <w:rsid w:val="000E2581"/>
    <w:rsid w:val="000E2E8A"/>
    <w:rsid w:val="000E2F69"/>
    <w:rsid w:val="000E402E"/>
    <w:rsid w:val="000E4735"/>
    <w:rsid w:val="000E485B"/>
    <w:rsid w:val="000E542F"/>
    <w:rsid w:val="000E5B13"/>
    <w:rsid w:val="000E5FDF"/>
    <w:rsid w:val="000E69D3"/>
    <w:rsid w:val="000E6F3E"/>
    <w:rsid w:val="000E73BD"/>
    <w:rsid w:val="000E75E8"/>
    <w:rsid w:val="000F0A63"/>
    <w:rsid w:val="000F12D5"/>
    <w:rsid w:val="000F1714"/>
    <w:rsid w:val="000F19CE"/>
    <w:rsid w:val="000F2C2E"/>
    <w:rsid w:val="000F3048"/>
    <w:rsid w:val="000F381E"/>
    <w:rsid w:val="000F470D"/>
    <w:rsid w:val="000F5096"/>
    <w:rsid w:val="000F5974"/>
    <w:rsid w:val="000F6014"/>
    <w:rsid w:val="000F660E"/>
    <w:rsid w:val="000F73A8"/>
    <w:rsid w:val="000F7A92"/>
    <w:rsid w:val="000F7B29"/>
    <w:rsid w:val="00100759"/>
    <w:rsid w:val="00101009"/>
    <w:rsid w:val="001010DA"/>
    <w:rsid w:val="00101FE1"/>
    <w:rsid w:val="0010257F"/>
    <w:rsid w:val="001028E8"/>
    <w:rsid w:val="0010382A"/>
    <w:rsid w:val="001041B5"/>
    <w:rsid w:val="0010444C"/>
    <w:rsid w:val="0010523C"/>
    <w:rsid w:val="00105DAA"/>
    <w:rsid w:val="001060E7"/>
    <w:rsid w:val="00106DE2"/>
    <w:rsid w:val="00107292"/>
    <w:rsid w:val="00107419"/>
    <w:rsid w:val="001074DE"/>
    <w:rsid w:val="001113BE"/>
    <w:rsid w:val="00111906"/>
    <w:rsid w:val="00111942"/>
    <w:rsid w:val="00111A43"/>
    <w:rsid w:val="001125BA"/>
    <w:rsid w:val="001126B4"/>
    <w:rsid w:val="00112C6F"/>
    <w:rsid w:val="001138E7"/>
    <w:rsid w:val="0011450B"/>
    <w:rsid w:val="001147EC"/>
    <w:rsid w:val="0011586A"/>
    <w:rsid w:val="00115D7E"/>
    <w:rsid w:val="0011610F"/>
    <w:rsid w:val="00116E80"/>
    <w:rsid w:val="00117420"/>
    <w:rsid w:val="00117694"/>
    <w:rsid w:val="00120397"/>
    <w:rsid w:val="00121DA9"/>
    <w:rsid w:val="001222F1"/>
    <w:rsid w:val="00122900"/>
    <w:rsid w:val="00122C98"/>
    <w:rsid w:val="00123642"/>
    <w:rsid w:val="00124207"/>
    <w:rsid w:val="001275F6"/>
    <w:rsid w:val="00127D9E"/>
    <w:rsid w:val="00131B1D"/>
    <w:rsid w:val="0013236F"/>
    <w:rsid w:val="00133E56"/>
    <w:rsid w:val="001341BF"/>
    <w:rsid w:val="00134C5A"/>
    <w:rsid w:val="0013639E"/>
    <w:rsid w:val="001369A9"/>
    <w:rsid w:val="00137496"/>
    <w:rsid w:val="00137933"/>
    <w:rsid w:val="00137C69"/>
    <w:rsid w:val="001418C2"/>
    <w:rsid w:val="00141D20"/>
    <w:rsid w:val="0014257C"/>
    <w:rsid w:val="00142872"/>
    <w:rsid w:val="001434A5"/>
    <w:rsid w:val="001449B8"/>
    <w:rsid w:val="001454BD"/>
    <w:rsid w:val="00145A9A"/>
    <w:rsid w:val="00146028"/>
    <w:rsid w:val="0014665A"/>
    <w:rsid w:val="001505FE"/>
    <w:rsid w:val="00150C3A"/>
    <w:rsid w:val="001516DA"/>
    <w:rsid w:val="00151B05"/>
    <w:rsid w:val="00151EB4"/>
    <w:rsid w:val="001525C9"/>
    <w:rsid w:val="0015269B"/>
    <w:rsid w:val="00152E1A"/>
    <w:rsid w:val="00153229"/>
    <w:rsid w:val="001542BC"/>
    <w:rsid w:val="00154374"/>
    <w:rsid w:val="00156B11"/>
    <w:rsid w:val="00157BA9"/>
    <w:rsid w:val="00160421"/>
    <w:rsid w:val="00160AAB"/>
    <w:rsid w:val="00160E9B"/>
    <w:rsid w:val="00161374"/>
    <w:rsid w:val="001613C5"/>
    <w:rsid w:val="001638F5"/>
    <w:rsid w:val="00163A5E"/>
    <w:rsid w:val="00163B45"/>
    <w:rsid w:val="00164166"/>
    <w:rsid w:val="00164CE7"/>
    <w:rsid w:val="00164DA7"/>
    <w:rsid w:val="00164F40"/>
    <w:rsid w:val="0016500B"/>
    <w:rsid w:val="001657D3"/>
    <w:rsid w:val="001658D3"/>
    <w:rsid w:val="001663F3"/>
    <w:rsid w:val="001665E7"/>
    <w:rsid w:val="001679DF"/>
    <w:rsid w:val="00170396"/>
    <w:rsid w:val="001705E4"/>
    <w:rsid w:val="001709E8"/>
    <w:rsid w:val="0017103C"/>
    <w:rsid w:val="00171530"/>
    <w:rsid w:val="00171D93"/>
    <w:rsid w:val="00171E0D"/>
    <w:rsid w:val="00172B03"/>
    <w:rsid w:val="001735C8"/>
    <w:rsid w:val="001735E7"/>
    <w:rsid w:val="001753EB"/>
    <w:rsid w:val="00175EF0"/>
    <w:rsid w:val="00177A6C"/>
    <w:rsid w:val="00177CB2"/>
    <w:rsid w:val="00177CDD"/>
    <w:rsid w:val="00177DAE"/>
    <w:rsid w:val="00177DCA"/>
    <w:rsid w:val="00177EE3"/>
    <w:rsid w:val="00180253"/>
    <w:rsid w:val="00182780"/>
    <w:rsid w:val="00182B82"/>
    <w:rsid w:val="001837C0"/>
    <w:rsid w:val="001840E6"/>
    <w:rsid w:val="00184804"/>
    <w:rsid w:val="001870FF"/>
    <w:rsid w:val="001902D0"/>
    <w:rsid w:val="0019075F"/>
    <w:rsid w:val="001911DA"/>
    <w:rsid w:val="00191250"/>
    <w:rsid w:val="0019189D"/>
    <w:rsid w:val="00191C9E"/>
    <w:rsid w:val="0019244D"/>
    <w:rsid w:val="00192D57"/>
    <w:rsid w:val="0019359E"/>
    <w:rsid w:val="00194001"/>
    <w:rsid w:val="001945F6"/>
    <w:rsid w:val="00195183"/>
    <w:rsid w:val="001967A3"/>
    <w:rsid w:val="001969F7"/>
    <w:rsid w:val="00196FE1"/>
    <w:rsid w:val="00197004"/>
    <w:rsid w:val="0019723B"/>
    <w:rsid w:val="0019763D"/>
    <w:rsid w:val="0019782D"/>
    <w:rsid w:val="001978EC"/>
    <w:rsid w:val="00197AF7"/>
    <w:rsid w:val="00197FEE"/>
    <w:rsid w:val="001A007E"/>
    <w:rsid w:val="001A0DE5"/>
    <w:rsid w:val="001A1606"/>
    <w:rsid w:val="001A16FB"/>
    <w:rsid w:val="001A1D26"/>
    <w:rsid w:val="001A2B38"/>
    <w:rsid w:val="001A3875"/>
    <w:rsid w:val="001A38C7"/>
    <w:rsid w:val="001A420B"/>
    <w:rsid w:val="001A6225"/>
    <w:rsid w:val="001A632C"/>
    <w:rsid w:val="001A64F9"/>
    <w:rsid w:val="001A70B9"/>
    <w:rsid w:val="001A70D2"/>
    <w:rsid w:val="001A753D"/>
    <w:rsid w:val="001A7B85"/>
    <w:rsid w:val="001B0DAC"/>
    <w:rsid w:val="001B0E76"/>
    <w:rsid w:val="001B0F95"/>
    <w:rsid w:val="001B22FE"/>
    <w:rsid w:val="001B2766"/>
    <w:rsid w:val="001B3601"/>
    <w:rsid w:val="001B3BD6"/>
    <w:rsid w:val="001B3F7F"/>
    <w:rsid w:val="001B4EA6"/>
    <w:rsid w:val="001B5CB7"/>
    <w:rsid w:val="001B60E8"/>
    <w:rsid w:val="001B78F0"/>
    <w:rsid w:val="001B7BFC"/>
    <w:rsid w:val="001C0273"/>
    <w:rsid w:val="001C03A6"/>
    <w:rsid w:val="001C0738"/>
    <w:rsid w:val="001C0CB9"/>
    <w:rsid w:val="001C1E2D"/>
    <w:rsid w:val="001C281F"/>
    <w:rsid w:val="001C28BB"/>
    <w:rsid w:val="001C40F5"/>
    <w:rsid w:val="001C5DDA"/>
    <w:rsid w:val="001C6D21"/>
    <w:rsid w:val="001C6EF1"/>
    <w:rsid w:val="001D0A1A"/>
    <w:rsid w:val="001D2E82"/>
    <w:rsid w:val="001D3991"/>
    <w:rsid w:val="001D3D1D"/>
    <w:rsid w:val="001D4E64"/>
    <w:rsid w:val="001D51FD"/>
    <w:rsid w:val="001D5480"/>
    <w:rsid w:val="001D54AE"/>
    <w:rsid w:val="001D56F4"/>
    <w:rsid w:val="001D5F70"/>
    <w:rsid w:val="001D6AB9"/>
    <w:rsid w:val="001D6E22"/>
    <w:rsid w:val="001D749B"/>
    <w:rsid w:val="001D7C16"/>
    <w:rsid w:val="001D7CD0"/>
    <w:rsid w:val="001D7CE2"/>
    <w:rsid w:val="001E00B5"/>
    <w:rsid w:val="001E04C1"/>
    <w:rsid w:val="001E1858"/>
    <w:rsid w:val="001E18C6"/>
    <w:rsid w:val="001E2037"/>
    <w:rsid w:val="001E2286"/>
    <w:rsid w:val="001E2430"/>
    <w:rsid w:val="001E3C62"/>
    <w:rsid w:val="001E433B"/>
    <w:rsid w:val="001E4F76"/>
    <w:rsid w:val="001E534B"/>
    <w:rsid w:val="001E59D6"/>
    <w:rsid w:val="001E66BD"/>
    <w:rsid w:val="001E75B3"/>
    <w:rsid w:val="001E7AE5"/>
    <w:rsid w:val="001F082B"/>
    <w:rsid w:val="001F247B"/>
    <w:rsid w:val="001F2616"/>
    <w:rsid w:val="001F26AE"/>
    <w:rsid w:val="001F2948"/>
    <w:rsid w:val="001F386E"/>
    <w:rsid w:val="001F44B5"/>
    <w:rsid w:val="001F62C4"/>
    <w:rsid w:val="001F75EC"/>
    <w:rsid w:val="00200999"/>
    <w:rsid w:val="002009D6"/>
    <w:rsid w:val="00200C0F"/>
    <w:rsid w:val="00200C80"/>
    <w:rsid w:val="00200D75"/>
    <w:rsid w:val="002016C3"/>
    <w:rsid w:val="00201866"/>
    <w:rsid w:val="00202262"/>
    <w:rsid w:val="00202A7F"/>
    <w:rsid w:val="00202D4D"/>
    <w:rsid w:val="002033FA"/>
    <w:rsid w:val="00204773"/>
    <w:rsid w:val="00206CD9"/>
    <w:rsid w:val="002076C9"/>
    <w:rsid w:val="00210010"/>
    <w:rsid w:val="00210021"/>
    <w:rsid w:val="00211F19"/>
    <w:rsid w:val="002123C3"/>
    <w:rsid w:val="00212DDD"/>
    <w:rsid w:val="002174D9"/>
    <w:rsid w:val="002213A9"/>
    <w:rsid w:val="0022189A"/>
    <w:rsid w:val="00221A56"/>
    <w:rsid w:val="002222D9"/>
    <w:rsid w:val="00222ABD"/>
    <w:rsid w:val="00222DAC"/>
    <w:rsid w:val="00223068"/>
    <w:rsid w:val="00225A71"/>
    <w:rsid w:val="00226017"/>
    <w:rsid w:val="002263EE"/>
    <w:rsid w:val="002271B8"/>
    <w:rsid w:val="00227490"/>
    <w:rsid w:val="0022756C"/>
    <w:rsid w:val="00227EFC"/>
    <w:rsid w:val="00227EFD"/>
    <w:rsid w:val="00231E81"/>
    <w:rsid w:val="002329B5"/>
    <w:rsid w:val="002329EB"/>
    <w:rsid w:val="002330F4"/>
    <w:rsid w:val="00233C5B"/>
    <w:rsid w:val="0023411D"/>
    <w:rsid w:val="0023431C"/>
    <w:rsid w:val="002349C0"/>
    <w:rsid w:val="00234FB3"/>
    <w:rsid w:val="0023542C"/>
    <w:rsid w:val="002359E3"/>
    <w:rsid w:val="002367E8"/>
    <w:rsid w:val="00236A06"/>
    <w:rsid w:val="00236AD2"/>
    <w:rsid w:val="00236F5B"/>
    <w:rsid w:val="00237D99"/>
    <w:rsid w:val="0024095B"/>
    <w:rsid w:val="00240F3C"/>
    <w:rsid w:val="0024134B"/>
    <w:rsid w:val="00241624"/>
    <w:rsid w:val="002416D6"/>
    <w:rsid w:val="002434DC"/>
    <w:rsid w:val="00243B48"/>
    <w:rsid w:val="0024401B"/>
    <w:rsid w:val="0024414F"/>
    <w:rsid w:val="00244A7D"/>
    <w:rsid w:val="00244DB2"/>
    <w:rsid w:val="00244E8C"/>
    <w:rsid w:val="002471AB"/>
    <w:rsid w:val="00250469"/>
    <w:rsid w:val="00250751"/>
    <w:rsid w:val="002514BA"/>
    <w:rsid w:val="002522D4"/>
    <w:rsid w:val="00252876"/>
    <w:rsid w:val="00252BFC"/>
    <w:rsid w:val="002530D6"/>
    <w:rsid w:val="00253352"/>
    <w:rsid w:val="00253B0D"/>
    <w:rsid w:val="00254ADA"/>
    <w:rsid w:val="00254F3F"/>
    <w:rsid w:val="002550C5"/>
    <w:rsid w:val="00255656"/>
    <w:rsid w:val="00255721"/>
    <w:rsid w:val="00255850"/>
    <w:rsid w:val="002559EC"/>
    <w:rsid w:val="00255DBE"/>
    <w:rsid w:val="002564FE"/>
    <w:rsid w:val="00257BC0"/>
    <w:rsid w:val="00260400"/>
    <w:rsid w:val="00260543"/>
    <w:rsid w:val="0026081E"/>
    <w:rsid w:val="00260C25"/>
    <w:rsid w:val="002614C7"/>
    <w:rsid w:val="002625B2"/>
    <w:rsid w:val="002643B6"/>
    <w:rsid w:val="0026447A"/>
    <w:rsid w:val="002646BF"/>
    <w:rsid w:val="002653EF"/>
    <w:rsid w:val="0026612F"/>
    <w:rsid w:val="00266B93"/>
    <w:rsid w:val="00267287"/>
    <w:rsid w:val="00270117"/>
    <w:rsid w:val="0027067E"/>
    <w:rsid w:val="00270E20"/>
    <w:rsid w:val="00271BCD"/>
    <w:rsid w:val="00271E26"/>
    <w:rsid w:val="002726D7"/>
    <w:rsid w:val="00272BA7"/>
    <w:rsid w:val="0027326B"/>
    <w:rsid w:val="002740D7"/>
    <w:rsid w:val="002759F6"/>
    <w:rsid w:val="00277329"/>
    <w:rsid w:val="00277438"/>
    <w:rsid w:val="00277974"/>
    <w:rsid w:val="00277A8B"/>
    <w:rsid w:val="00280951"/>
    <w:rsid w:val="00282540"/>
    <w:rsid w:val="00283CB3"/>
    <w:rsid w:val="002852B7"/>
    <w:rsid w:val="00285A93"/>
    <w:rsid w:val="00287645"/>
    <w:rsid w:val="0028776F"/>
    <w:rsid w:val="00287946"/>
    <w:rsid w:val="00287F16"/>
    <w:rsid w:val="00287FCE"/>
    <w:rsid w:val="00290337"/>
    <w:rsid w:val="00290812"/>
    <w:rsid w:val="00292052"/>
    <w:rsid w:val="00292DE2"/>
    <w:rsid w:val="002943C1"/>
    <w:rsid w:val="00294CDB"/>
    <w:rsid w:val="00295235"/>
    <w:rsid w:val="002952DE"/>
    <w:rsid w:val="002960BA"/>
    <w:rsid w:val="002972E2"/>
    <w:rsid w:val="002974D2"/>
    <w:rsid w:val="0029797A"/>
    <w:rsid w:val="002A001F"/>
    <w:rsid w:val="002A0203"/>
    <w:rsid w:val="002A08D5"/>
    <w:rsid w:val="002A1C39"/>
    <w:rsid w:val="002A2F33"/>
    <w:rsid w:val="002A2F91"/>
    <w:rsid w:val="002A610E"/>
    <w:rsid w:val="002A677B"/>
    <w:rsid w:val="002A73B2"/>
    <w:rsid w:val="002A7506"/>
    <w:rsid w:val="002A75A4"/>
    <w:rsid w:val="002B0CEC"/>
    <w:rsid w:val="002B13BD"/>
    <w:rsid w:val="002B1CED"/>
    <w:rsid w:val="002B2429"/>
    <w:rsid w:val="002B3D94"/>
    <w:rsid w:val="002B4013"/>
    <w:rsid w:val="002B5756"/>
    <w:rsid w:val="002B65F8"/>
    <w:rsid w:val="002B69EB"/>
    <w:rsid w:val="002B6D6E"/>
    <w:rsid w:val="002B7082"/>
    <w:rsid w:val="002B7AB5"/>
    <w:rsid w:val="002B7D92"/>
    <w:rsid w:val="002C0282"/>
    <w:rsid w:val="002C048C"/>
    <w:rsid w:val="002C1280"/>
    <w:rsid w:val="002C143B"/>
    <w:rsid w:val="002C16FB"/>
    <w:rsid w:val="002C2390"/>
    <w:rsid w:val="002C2429"/>
    <w:rsid w:val="002C24CF"/>
    <w:rsid w:val="002C2DEC"/>
    <w:rsid w:val="002C2ED4"/>
    <w:rsid w:val="002C332D"/>
    <w:rsid w:val="002C3C85"/>
    <w:rsid w:val="002C3DA5"/>
    <w:rsid w:val="002C4A60"/>
    <w:rsid w:val="002C5DC2"/>
    <w:rsid w:val="002C6C08"/>
    <w:rsid w:val="002C76B5"/>
    <w:rsid w:val="002D002C"/>
    <w:rsid w:val="002D166C"/>
    <w:rsid w:val="002D20ED"/>
    <w:rsid w:val="002D2822"/>
    <w:rsid w:val="002D2861"/>
    <w:rsid w:val="002D2A9D"/>
    <w:rsid w:val="002D2C91"/>
    <w:rsid w:val="002D2DE0"/>
    <w:rsid w:val="002D309B"/>
    <w:rsid w:val="002D51F5"/>
    <w:rsid w:val="002D555C"/>
    <w:rsid w:val="002D5F2F"/>
    <w:rsid w:val="002E03B0"/>
    <w:rsid w:val="002E0F1F"/>
    <w:rsid w:val="002E1072"/>
    <w:rsid w:val="002E1441"/>
    <w:rsid w:val="002E19E7"/>
    <w:rsid w:val="002E216F"/>
    <w:rsid w:val="002E3D96"/>
    <w:rsid w:val="002E44E1"/>
    <w:rsid w:val="002E545F"/>
    <w:rsid w:val="002E5E49"/>
    <w:rsid w:val="002E63BC"/>
    <w:rsid w:val="002E7344"/>
    <w:rsid w:val="002E7730"/>
    <w:rsid w:val="002F01E5"/>
    <w:rsid w:val="002F0415"/>
    <w:rsid w:val="002F09DA"/>
    <w:rsid w:val="002F0D1F"/>
    <w:rsid w:val="002F2751"/>
    <w:rsid w:val="002F2D68"/>
    <w:rsid w:val="002F2D6F"/>
    <w:rsid w:val="002F4632"/>
    <w:rsid w:val="002F5315"/>
    <w:rsid w:val="002F551A"/>
    <w:rsid w:val="002F660E"/>
    <w:rsid w:val="002F6E63"/>
    <w:rsid w:val="002F7C0E"/>
    <w:rsid w:val="003000B6"/>
    <w:rsid w:val="003013D6"/>
    <w:rsid w:val="00301A41"/>
    <w:rsid w:val="00301D9D"/>
    <w:rsid w:val="00301F5D"/>
    <w:rsid w:val="00304223"/>
    <w:rsid w:val="003042C9"/>
    <w:rsid w:val="00304513"/>
    <w:rsid w:val="00304836"/>
    <w:rsid w:val="00305B71"/>
    <w:rsid w:val="00307B3D"/>
    <w:rsid w:val="003108E5"/>
    <w:rsid w:val="003111FD"/>
    <w:rsid w:val="0031129C"/>
    <w:rsid w:val="003129DF"/>
    <w:rsid w:val="00313750"/>
    <w:rsid w:val="0031386C"/>
    <w:rsid w:val="00313F90"/>
    <w:rsid w:val="00314892"/>
    <w:rsid w:val="00315897"/>
    <w:rsid w:val="00316306"/>
    <w:rsid w:val="003163F1"/>
    <w:rsid w:val="003167B2"/>
    <w:rsid w:val="003169F3"/>
    <w:rsid w:val="00316AE3"/>
    <w:rsid w:val="003170C8"/>
    <w:rsid w:val="00317429"/>
    <w:rsid w:val="00317649"/>
    <w:rsid w:val="003201B1"/>
    <w:rsid w:val="00320527"/>
    <w:rsid w:val="00320C59"/>
    <w:rsid w:val="0032168E"/>
    <w:rsid w:val="00321AD6"/>
    <w:rsid w:val="0032225F"/>
    <w:rsid w:val="003225EE"/>
    <w:rsid w:val="00322629"/>
    <w:rsid w:val="00322914"/>
    <w:rsid w:val="003229BD"/>
    <w:rsid w:val="00322C5A"/>
    <w:rsid w:val="003234B0"/>
    <w:rsid w:val="00324F4F"/>
    <w:rsid w:val="0032513D"/>
    <w:rsid w:val="003259C2"/>
    <w:rsid w:val="003260F5"/>
    <w:rsid w:val="00326349"/>
    <w:rsid w:val="003263B7"/>
    <w:rsid w:val="003304C3"/>
    <w:rsid w:val="00330BD8"/>
    <w:rsid w:val="00331743"/>
    <w:rsid w:val="00331D6F"/>
    <w:rsid w:val="00331FD3"/>
    <w:rsid w:val="003333DB"/>
    <w:rsid w:val="00333930"/>
    <w:rsid w:val="0033493F"/>
    <w:rsid w:val="003356EC"/>
    <w:rsid w:val="00335B57"/>
    <w:rsid w:val="00336ACD"/>
    <w:rsid w:val="00337239"/>
    <w:rsid w:val="00337BC5"/>
    <w:rsid w:val="00342D0F"/>
    <w:rsid w:val="00343222"/>
    <w:rsid w:val="00343247"/>
    <w:rsid w:val="003434B6"/>
    <w:rsid w:val="0034386E"/>
    <w:rsid w:val="00344583"/>
    <w:rsid w:val="003446AB"/>
    <w:rsid w:val="00344763"/>
    <w:rsid w:val="00344AFB"/>
    <w:rsid w:val="00345B90"/>
    <w:rsid w:val="003467E6"/>
    <w:rsid w:val="003476BB"/>
    <w:rsid w:val="00347964"/>
    <w:rsid w:val="0035085F"/>
    <w:rsid w:val="00350CCF"/>
    <w:rsid w:val="00351BC0"/>
    <w:rsid w:val="00352935"/>
    <w:rsid w:val="00352D58"/>
    <w:rsid w:val="00352F14"/>
    <w:rsid w:val="0035391D"/>
    <w:rsid w:val="0035413C"/>
    <w:rsid w:val="003546C2"/>
    <w:rsid w:val="00355796"/>
    <w:rsid w:val="00355843"/>
    <w:rsid w:val="00356377"/>
    <w:rsid w:val="0035671C"/>
    <w:rsid w:val="003569F1"/>
    <w:rsid w:val="0036078D"/>
    <w:rsid w:val="003608E7"/>
    <w:rsid w:val="0036137A"/>
    <w:rsid w:val="00361ECA"/>
    <w:rsid w:val="003620EB"/>
    <w:rsid w:val="00362955"/>
    <w:rsid w:val="003631F6"/>
    <w:rsid w:val="00363627"/>
    <w:rsid w:val="003636A2"/>
    <w:rsid w:val="0036400B"/>
    <w:rsid w:val="00364B8C"/>
    <w:rsid w:val="00364F00"/>
    <w:rsid w:val="00366409"/>
    <w:rsid w:val="00366967"/>
    <w:rsid w:val="00367100"/>
    <w:rsid w:val="00367A9A"/>
    <w:rsid w:val="00367C39"/>
    <w:rsid w:val="00370F10"/>
    <w:rsid w:val="00370F92"/>
    <w:rsid w:val="00370F9A"/>
    <w:rsid w:val="003714CB"/>
    <w:rsid w:val="00371E15"/>
    <w:rsid w:val="00371F72"/>
    <w:rsid w:val="0037234E"/>
    <w:rsid w:val="00372926"/>
    <w:rsid w:val="0037329A"/>
    <w:rsid w:val="00374739"/>
    <w:rsid w:val="00375C4C"/>
    <w:rsid w:val="00375FB1"/>
    <w:rsid w:val="00377145"/>
    <w:rsid w:val="003771E3"/>
    <w:rsid w:val="0037795F"/>
    <w:rsid w:val="00377B6F"/>
    <w:rsid w:val="00377E05"/>
    <w:rsid w:val="00377EB1"/>
    <w:rsid w:val="003801D1"/>
    <w:rsid w:val="003810A9"/>
    <w:rsid w:val="00382279"/>
    <w:rsid w:val="0038268A"/>
    <w:rsid w:val="00382DB5"/>
    <w:rsid w:val="00383564"/>
    <w:rsid w:val="00384F1D"/>
    <w:rsid w:val="003850CC"/>
    <w:rsid w:val="00385757"/>
    <w:rsid w:val="00386EF5"/>
    <w:rsid w:val="003878C5"/>
    <w:rsid w:val="00390576"/>
    <w:rsid w:val="003908C2"/>
    <w:rsid w:val="00390913"/>
    <w:rsid w:val="00390AED"/>
    <w:rsid w:val="003913DF"/>
    <w:rsid w:val="00392478"/>
    <w:rsid w:val="00392652"/>
    <w:rsid w:val="003926F2"/>
    <w:rsid w:val="003929F8"/>
    <w:rsid w:val="00392E6B"/>
    <w:rsid w:val="00392EC1"/>
    <w:rsid w:val="00392F9A"/>
    <w:rsid w:val="00393122"/>
    <w:rsid w:val="00393125"/>
    <w:rsid w:val="00393BB9"/>
    <w:rsid w:val="00394103"/>
    <w:rsid w:val="003948B5"/>
    <w:rsid w:val="00395C79"/>
    <w:rsid w:val="00395E4A"/>
    <w:rsid w:val="0039611F"/>
    <w:rsid w:val="00396926"/>
    <w:rsid w:val="0039699B"/>
    <w:rsid w:val="00396F2A"/>
    <w:rsid w:val="00397924"/>
    <w:rsid w:val="00397CD2"/>
    <w:rsid w:val="003A0517"/>
    <w:rsid w:val="003A1209"/>
    <w:rsid w:val="003A1439"/>
    <w:rsid w:val="003A14AE"/>
    <w:rsid w:val="003A1769"/>
    <w:rsid w:val="003A2668"/>
    <w:rsid w:val="003A30A5"/>
    <w:rsid w:val="003A3305"/>
    <w:rsid w:val="003A4072"/>
    <w:rsid w:val="003A418B"/>
    <w:rsid w:val="003A43A8"/>
    <w:rsid w:val="003A49CA"/>
    <w:rsid w:val="003A4DEF"/>
    <w:rsid w:val="003A615F"/>
    <w:rsid w:val="003A7737"/>
    <w:rsid w:val="003A7FA2"/>
    <w:rsid w:val="003B106F"/>
    <w:rsid w:val="003B11EF"/>
    <w:rsid w:val="003B1693"/>
    <w:rsid w:val="003B1729"/>
    <w:rsid w:val="003B17EF"/>
    <w:rsid w:val="003B4430"/>
    <w:rsid w:val="003B446D"/>
    <w:rsid w:val="003B497E"/>
    <w:rsid w:val="003B4A53"/>
    <w:rsid w:val="003B516F"/>
    <w:rsid w:val="003B5173"/>
    <w:rsid w:val="003B5935"/>
    <w:rsid w:val="003B5CA7"/>
    <w:rsid w:val="003B78B9"/>
    <w:rsid w:val="003C01F4"/>
    <w:rsid w:val="003C05C8"/>
    <w:rsid w:val="003C1181"/>
    <w:rsid w:val="003C12B8"/>
    <w:rsid w:val="003C20FA"/>
    <w:rsid w:val="003C293B"/>
    <w:rsid w:val="003C30BA"/>
    <w:rsid w:val="003C40C6"/>
    <w:rsid w:val="003C4646"/>
    <w:rsid w:val="003C4906"/>
    <w:rsid w:val="003C4B10"/>
    <w:rsid w:val="003C6475"/>
    <w:rsid w:val="003C7075"/>
    <w:rsid w:val="003C70CD"/>
    <w:rsid w:val="003C7296"/>
    <w:rsid w:val="003C736B"/>
    <w:rsid w:val="003D0F61"/>
    <w:rsid w:val="003D1107"/>
    <w:rsid w:val="003D1575"/>
    <w:rsid w:val="003D2DA6"/>
    <w:rsid w:val="003D44AC"/>
    <w:rsid w:val="003D68AB"/>
    <w:rsid w:val="003D72BA"/>
    <w:rsid w:val="003D75BD"/>
    <w:rsid w:val="003E1718"/>
    <w:rsid w:val="003E26AB"/>
    <w:rsid w:val="003E2A0A"/>
    <w:rsid w:val="003E31C0"/>
    <w:rsid w:val="003E3AE3"/>
    <w:rsid w:val="003E4050"/>
    <w:rsid w:val="003E47D0"/>
    <w:rsid w:val="003E4A8D"/>
    <w:rsid w:val="003E55A4"/>
    <w:rsid w:val="003E5CFA"/>
    <w:rsid w:val="003E5F8C"/>
    <w:rsid w:val="003E6A19"/>
    <w:rsid w:val="003E6A55"/>
    <w:rsid w:val="003E6A9A"/>
    <w:rsid w:val="003E6C47"/>
    <w:rsid w:val="003E6E29"/>
    <w:rsid w:val="003E72F6"/>
    <w:rsid w:val="003E7C6A"/>
    <w:rsid w:val="003E7CAA"/>
    <w:rsid w:val="003E7F1E"/>
    <w:rsid w:val="003F00F0"/>
    <w:rsid w:val="003F09B4"/>
    <w:rsid w:val="003F0C9A"/>
    <w:rsid w:val="003F16F2"/>
    <w:rsid w:val="003F1E70"/>
    <w:rsid w:val="003F47FD"/>
    <w:rsid w:val="003F530C"/>
    <w:rsid w:val="003F5A62"/>
    <w:rsid w:val="003F5F0F"/>
    <w:rsid w:val="003F6DFC"/>
    <w:rsid w:val="003F7556"/>
    <w:rsid w:val="003F772E"/>
    <w:rsid w:val="003F7DE3"/>
    <w:rsid w:val="00401DB3"/>
    <w:rsid w:val="00401F69"/>
    <w:rsid w:val="0040236A"/>
    <w:rsid w:val="004029DB"/>
    <w:rsid w:val="0040408E"/>
    <w:rsid w:val="0040455E"/>
    <w:rsid w:val="00404864"/>
    <w:rsid w:val="004059BA"/>
    <w:rsid w:val="00405DD1"/>
    <w:rsid w:val="00406450"/>
    <w:rsid w:val="004077AD"/>
    <w:rsid w:val="00410CB3"/>
    <w:rsid w:val="00411AB7"/>
    <w:rsid w:val="00412DC1"/>
    <w:rsid w:val="00412F84"/>
    <w:rsid w:val="00413A24"/>
    <w:rsid w:val="00414115"/>
    <w:rsid w:val="004148C5"/>
    <w:rsid w:val="00414F98"/>
    <w:rsid w:val="004151D0"/>
    <w:rsid w:val="00415832"/>
    <w:rsid w:val="00416431"/>
    <w:rsid w:val="00416C50"/>
    <w:rsid w:val="00416F28"/>
    <w:rsid w:val="00417105"/>
    <w:rsid w:val="004172E4"/>
    <w:rsid w:val="00417380"/>
    <w:rsid w:val="0041783B"/>
    <w:rsid w:val="00417979"/>
    <w:rsid w:val="00417B53"/>
    <w:rsid w:val="00417BBF"/>
    <w:rsid w:val="00420944"/>
    <w:rsid w:val="00420F21"/>
    <w:rsid w:val="00421970"/>
    <w:rsid w:val="00421F7A"/>
    <w:rsid w:val="004226B6"/>
    <w:rsid w:val="004228CD"/>
    <w:rsid w:val="00423172"/>
    <w:rsid w:val="004232A2"/>
    <w:rsid w:val="004247F1"/>
    <w:rsid w:val="00424857"/>
    <w:rsid w:val="00424B14"/>
    <w:rsid w:val="00424C23"/>
    <w:rsid w:val="00425058"/>
    <w:rsid w:val="00425CC7"/>
    <w:rsid w:val="004262AA"/>
    <w:rsid w:val="00426511"/>
    <w:rsid w:val="004265C2"/>
    <w:rsid w:val="00427BEF"/>
    <w:rsid w:val="004301BD"/>
    <w:rsid w:val="004307C3"/>
    <w:rsid w:val="00430959"/>
    <w:rsid w:val="00430B97"/>
    <w:rsid w:val="004316B5"/>
    <w:rsid w:val="0043235F"/>
    <w:rsid w:val="00432A7E"/>
    <w:rsid w:val="004337ED"/>
    <w:rsid w:val="00433DEE"/>
    <w:rsid w:val="00434543"/>
    <w:rsid w:val="0043498A"/>
    <w:rsid w:val="004364B5"/>
    <w:rsid w:val="00436B0B"/>
    <w:rsid w:val="00436D29"/>
    <w:rsid w:val="004372B2"/>
    <w:rsid w:val="00437932"/>
    <w:rsid w:val="0044086B"/>
    <w:rsid w:val="004408CC"/>
    <w:rsid w:val="0044161A"/>
    <w:rsid w:val="00441796"/>
    <w:rsid w:val="00441FCE"/>
    <w:rsid w:val="00442A56"/>
    <w:rsid w:val="004435C8"/>
    <w:rsid w:val="00443664"/>
    <w:rsid w:val="00443681"/>
    <w:rsid w:val="0044403A"/>
    <w:rsid w:val="004442B4"/>
    <w:rsid w:val="004446F0"/>
    <w:rsid w:val="00445019"/>
    <w:rsid w:val="0044537D"/>
    <w:rsid w:val="0044601D"/>
    <w:rsid w:val="0044707D"/>
    <w:rsid w:val="004509AA"/>
    <w:rsid w:val="00450EA2"/>
    <w:rsid w:val="0045143F"/>
    <w:rsid w:val="00451CBD"/>
    <w:rsid w:val="004522FD"/>
    <w:rsid w:val="004527FE"/>
    <w:rsid w:val="00452AA5"/>
    <w:rsid w:val="00452E55"/>
    <w:rsid w:val="0045371E"/>
    <w:rsid w:val="00453961"/>
    <w:rsid w:val="00453A27"/>
    <w:rsid w:val="00453F73"/>
    <w:rsid w:val="004544F1"/>
    <w:rsid w:val="00455DFF"/>
    <w:rsid w:val="0045647A"/>
    <w:rsid w:val="00456CA3"/>
    <w:rsid w:val="00456DF9"/>
    <w:rsid w:val="00457DCA"/>
    <w:rsid w:val="00460077"/>
    <w:rsid w:val="0046024A"/>
    <w:rsid w:val="004617A0"/>
    <w:rsid w:val="00461A37"/>
    <w:rsid w:val="00461B28"/>
    <w:rsid w:val="00462829"/>
    <w:rsid w:val="00463C44"/>
    <w:rsid w:val="00463C4C"/>
    <w:rsid w:val="004647D2"/>
    <w:rsid w:val="00464967"/>
    <w:rsid w:val="00465BA6"/>
    <w:rsid w:val="00465E6C"/>
    <w:rsid w:val="004660A9"/>
    <w:rsid w:val="0046641B"/>
    <w:rsid w:val="004677DF"/>
    <w:rsid w:val="004707D0"/>
    <w:rsid w:val="00470C3F"/>
    <w:rsid w:val="0047105A"/>
    <w:rsid w:val="004713E1"/>
    <w:rsid w:val="00471E93"/>
    <w:rsid w:val="0047222E"/>
    <w:rsid w:val="0047271F"/>
    <w:rsid w:val="00473699"/>
    <w:rsid w:val="00473F46"/>
    <w:rsid w:val="00474998"/>
    <w:rsid w:val="00474AD4"/>
    <w:rsid w:val="004760FF"/>
    <w:rsid w:val="0047691E"/>
    <w:rsid w:val="00476A1E"/>
    <w:rsid w:val="004778CB"/>
    <w:rsid w:val="00480391"/>
    <w:rsid w:val="004808E3"/>
    <w:rsid w:val="00480B1A"/>
    <w:rsid w:val="00480E21"/>
    <w:rsid w:val="004811CC"/>
    <w:rsid w:val="00481724"/>
    <w:rsid w:val="00481F95"/>
    <w:rsid w:val="00482919"/>
    <w:rsid w:val="00482D90"/>
    <w:rsid w:val="00483342"/>
    <w:rsid w:val="00483495"/>
    <w:rsid w:val="00483AE5"/>
    <w:rsid w:val="00484C86"/>
    <w:rsid w:val="00485106"/>
    <w:rsid w:val="00485774"/>
    <w:rsid w:val="00485AD4"/>
    <w:rsid w:val="00486C8A"/>
    <w:rsid w:val="00486F02"/>
    <w:rsid w:val="00490907"/>
    <w:rsid w:val="00491AF0"/>
    <w:rsid w:val="00492323"/>
    <w:rsid w:val="00492327"/>
    <w:rsid w:val="004924ED"/>
    <w:rsid w:val="004929EE"/>
    <w:rsid w:val="0049326B"/>
    <w:rsid w:val="004936C5"/>
    <w:rsid w:val="00493B26"/>
    <w:rsid w:val="00495051"/>
    <w:rsid w:val="004953B8"/>
    <w:rsid w:val="00495A04"/>
    <w:rsid w:val="004A0B2B"/>
    <w:rsid w:val="004A1000"/>
    <w:rsid w:val="004A121B"/>
    <w:rsid w:val="004A1908"/>
    <w:rsid w:val="004A1DA9"/>
    <w:rsid w:val="004A336A"/>
    <w:rsid w:val="004A3EF7"/>
    <w:rsid w:val="004A436E"/>
    <w:rsid w:val="004A4678"/>
    <w:rsid w:val="004A46E1"/>
    <w:rsid w:val="004A4F4B"/>
    <w:rsid w:val="004A58A4"/>
    <w:rsid w:val="004A5DAC"/>
    <w:rsid w:val="004A5E0F"/>
    <w:rsid w:val="004A63FF"/>
    <w:rsid w:val="004B00B5"/>
    <w:rsid w:val="004B0664"/>
    <w:rsid w:val="004B0D10"/>
    <w:rsid w:val="004B0F81"/>
    <w:rsid w:val="004B1234"/>
    <w:rsid w:val="004B1CA4"/>
    <w:rsid w:val="004B309E"/>
    <w:rsid w:val="004B4D1C"/>
    <w:rsid w:val="004B4E31"/>
    <w:rsid w:val="004B5851"/>
    <w:rsid w:val="004B5E2F"/>
    <w:rsid w:val="004C0389"/>
    <w:rsid w:val="004C07F1"/>
    <w:rsid w:val="004C1139"/>
    <w:rsid w:val="004C1B84"/>
    <w:rsid w:val="004C2ABF"/>
    <w:rsid w:val="004C2CAE"/>
    <w:rsid w:val="004C3CAB"/>
    <w:rsid w:val="004C4448"/>
    <w:rsid w:val="004C4814"/>
    <w:rsid w:val="004C4912"/>
    <w:rsid w:val="004C4C84"/>
    <w:rsid w:val="004C5798"/>
    <w:rsid w:val="004C61EC"/>
    <w:rsid w:val="004C65DB"/>
    <w:rsid w:val="004D0018"/>
    <w:rsid w:val="004D024D"/>
    <w:rsid w:val="004D0C93"/>
    <w:rsid w:val="004D168D"/>
    <w:rsid w:val="004D21C1"/>
    <w:rsid w:val="004D36C1"/>
    <w:rsid w:val="004D4BA9"/>
    <w:rsid w:val="004D5FC3"/>
    <w:rsid w:val="004D6CCF"/>
    <w:rsid w:val="004D746E"/>
    <w:rsid w:val="004D75CD"/>
    <w:rsid w:val="004D7673"/>
    <w:rsid w:val="004D785A"/>
    <w:rsid w:val="004D7D00"/>
    <w:rsid w:val="004E0A76"/>
    <w:rsid w:val="004E1A8E"/>
    <w:rsid w:val="004E1C38"/>
    <w:rsid w:val="004E1D02"/>
    <w:rsid w:val="004E309E"/>
    <w:rsid w:val="004E3AAC"/>
    <w:rsid w:val="004E3B6C"/>
    <w:rsid w:val="004E404F"/>
    <w:rsid w:val="004E58AF"/>
    <w:rsid w:val="004E65CD"/>
    <w:rsid w:val="004E6A79"/>
    <w:rsid w:val="004E6B19"/>
    <w:rsid w:val="004E6B87"/>
    <w:rsid w:val="004E7327"/>
    <w:rsid w:val="004E7BD8"/>
    <w:rsid w:val="004E7C68"/>
    <w:rsid w:val="004E7CE0"/>
    <w:rsid w:val="004F0763"/>
    <w:rsid w:val="004F19E2"/>
    <w:rsid w:val="004F207A"/>
    <w:rsid w:val="004F2ECA"/>
    <w:rsid w:val="004F32DB"/>
    <w:rsid w:val="004F3ABD"/>
    <w:rsid w:val="004F41AB"/>
    <w:rsid w:val="004F41D5"/>
    <w:rsid w:val="004F4317"/>
    <w:rsid w:val="004F469F"/>
    <w:rsid w:val="004F4961"/>
    <w:rsid w:val="004F5A92"/>
    <w:rsid w:val="004F5B5C"/>
    <w:rsid w:val="004F607A"/>
    <w:rsid w:val="004F6B7A"/>
    <w:rsid w:val="004F75B9"/>
    <w:rsid w:val="004F79E7"/>
    <w:rsid w:val="005000B2"/>
    <w:rsid w:val="005009EB"/>
    <w:rsid w:val="0050182D"/>
    <w:rsid w:val="00501BEB"/>
    <w:rsid w:val="00501CCD"/>
    <w:rsid w:val="00502534"/>
    <w:rsid w:val="005036C7"/>
    <w:rsid w:val="005037BC"/>
    <w:rsid w:val="0050431B"/>
    <w:rsid w:val="00504965"/>
    <w:rsid w:val="00504C8C"/>
    <w:rsid w:val="00505886"/>
    <w:rsid w:val="0050592D"/>
    <w:rsid w:val="005060BD"/>
    <w:rsid w:val="00506E5B"/>
    <w:rsid w:val="00507184"/>
    <w:rsid w:val="00507598"/>
    <w:rsid w:val="00507F66"/>
    <w:rsid w:val="0051055E"/>
    <w:rsid w:val="00510A92"/>
    <w:rsid w:val="00511A41"/>
    <w:rsid w:val="00511B91"/>
    <w:rsid w:val="00511BD5"/>
    <w:rsid w:val="00512C72"/>
    <w:rsid w:val="005136D1"/>
    <w:rsid w:val="00513727"/>
    <w:rsid w:val="00520F00"/>
    <w:rsid w:val="005217C6"/>
    <w:rsid w:val="005218A8"/>
    <w:rsid w:val="005219F9"/>
    <w:rsid w:val="005236D0"/>
    <w:rsid w:val="00524444"/>
    <w:rsid w:val="005259D1"/>
    <w:rsid w:val="00525B6D"/>
    <w:rsid w:val="00525C02"/>
    <w:rsid w:val="00525DCC"/>
    <w:rsid w:val="0052617D"/>
    <w:rsid w:val="00526E35"/>
    <w:rsid w:val="0052727B"/>
    <w:rsid w:val="00527D26"/>
    <w:rsid w:val="00527D57"/>
    <w:rsid w:val="00531E6F"/>
    <w:rsid w:val="00532E68"/>
    <w:rsid w:val="0053440B"/>
    <w:rsid w:val="005357A5"/>
    <w:rsid w:val="00535D68"/>
    <w:rsid w:val="00536A1A"/>
    <w:rsid w:val="00536F2C"/>
    <w:rsid w:val="0053751F"/>
    <w:rsid w:val="00537AC2"/>
    <w:rsid w:val="00537C17"/>
    <w:rsid w:val="00540A53"/>
    <w:rsid w:val="00540C13"/>
    <w:rsid w:val="005410F5"/>
    <w:rsid w:val="0054229C"/>
    <w:rsid w:val="005425AA"/>
    <w:rsid w:val="0054343E"/>
    <w:rsid w:val="0054372C"/>
    <w:rsid w:val="0054378C"/>
    <w:rsid w:val="005447D7"/>
    <w:rsid w:val="005454A5"/>
    <w:rsid w:val="005479F7"/>
    <w:rsid w:val="00547C37"/>
    <w:rsid w:val="0055188E"/>
    <w:rsid w:val="0055188F"/>
    <w:rsid w:val="00551BBC"/>
    <w:rsid w:val="005522F3"/>
    <w:rsid w:val="0055273A"/>
    <w:rsid w:val="0055426A"/>
    <w:rsid w:val="00554866"/>
    <w:rsid w:val="00554D3E"/>
    <w:rsid w:val="00554D6C"/>
    <w:rsid w:val="00555065"/>
    <w:rsid w:val="005555A2"/>
    <w:rsid w:val="005558B5"/>
    <w:rsid w:val="005560E5"/>
    <w:rsid w:val="0055670E"/>
    <w:rsid w:val="00556B58"/>
    <w:rsid w:val="00557FBB"/>
    <w:rsid w:val="005608B6"/>
    <w:rsid w:val="0056114A"/>
    <w:rsid w:val="00562CEA"/>
    <w:rsid w:val="00563280"/>
    <w:rsid w:val="00563E91"/>
    <w:rsid w:val="00564260"/>
    <w:rsid w:val="00564A3E"/>
    <w:rsid w:val="00564C2B"/>
    <w:rsid w:val="00565AF5"/>
    <w:rsid w:val="00566324"/>
    <w:rsid w:val="00567611"/>
    <w:rsid w:val="00567716"/>
    <w:rsid w:val="0057082C"/>
    <w:rsid w:val="00570FA1"/>
    <w:rsid w:val="0057132B"/>
    <w:rsid w:val="00571465"/>
    <w:rsid w:val="00571826"/>
    <w:rsid w:val="00571F8F"/>
    <w:rsid w:val="00572318"/>
    <w:rsid w:val="005728AF"/>
    <w:rsid w:val="005733FD"/>
    <w:rsid w:val="005738FE"/>
    <w:rsid w:val="00573E62"/>
    <w:rsid w:val="00574ADF"/>
    <w:rsid w:val="005756D9"/>
    <w:rsid w:val="00576021"/>
    <w:rsid w:val="0057694E"/>
    <w:rsid w:val="00577384"/>
    <w:rsid w:val="00580409"/>
    <w:rsid w:val="005808E3"/>
    <w:rsid w:val="00580EAD"/>
    <w:rsid w:val="00581223"/>
    <w:rsid w:val="00582363"/>
    <w:rsid w:val="005823A4"/>
    <w:rsid w:val="00582489"/>
    <w:rsid w:val="00582BEC"/>
    <w:rsid w:val="00583B44"/>
    <w:rsid w:val="00583FF0"/>
    <w:rsid w:val="0058464B"/>
    <w:rsid w:val="00584C9F"/>
    <w:rsid w:val="00584DE4"/>
    <w:rsid w:val="005855B4"/>
    <w:rsid w:val="005857E9"/>
    <w:rsid w:val="0058586F"/>
    <w:rsid w:val="00586016"/>
    <w:rsid w:val="00587FED"/>
    <w:rsid w:val="005911D0"/>
    <w:rsid w:val="00591A4F"/>
    <w:rsid w:val="0059222F"/>
    <w:rsid w:val="005924BD"/>
    <w:rsid w:val="00592C05"/>
    <w:rsid w:val="00593ED5"/>
    <w:rsid w:val="00594763"/>
    <w:rsid w:val="00594B82"/>
    <w:rsid w:val="00595B84"/>
    <w:rsid w:val="0059763F"/>
    <w:rsid w:val="005A1A35"/>
    <w:rsid w:val="005A1C86"/>
    <w:rsid w:val="005A1E0D"/>
    <w:rsid w:val="005A330C"/>
    <w:rsid w:val="005A335E"/>
    <w:rsid w:val="005A33C9"/>
    <w:rsid w:val="005A3C0A"/>
    <w:rsid w:val="005A4AF3"/>
    <w:rsid w:val="005A5093"/>
    <w:rsid w:val="005A5372"/>
    <w:rsid w:val="005A57E0"/>
    <w:rsid w:val="005A5B21"/>
    <w:rsid w:val="005A5E6F"/>
    <w:rsid w:val="005A618A"/>
    <w:rsid w:val="005A7346"/>
    <w:rsid w:val="005A76E6"/>
    <w:rsid w:val="005B00E4"/>
    <w:rsid w:val="005B0305"/>
    <w:rsid w:val="005B04C8"/>
    <w:rsid w:val="005B0B7C"/>
    <w:rsid w:val="005B12F5"/>
    <w:rsid w:val="005B2E90"/>
    <w:rsid w:val="005B4309"/>
    <w:rsid w:val="005B57F0"/>
    <w:rsid w:val="005B5DA5"/>
    <w:rsid w:val="005B5E1B"/>
    <w:rsid w:val="005B61C5"/>
    <w:rsid w:val="005B660A"/>
    <w:rsid w:val="005B6ED1"/>
    <w:rsid w:val="005C104B"/>
    <w:rsid w:val="005C155E"/>
    <w:rsid w:val="005C187D"/>
    <w:rsid w:val="005C1C21"/>
    <w:rsid w:val="005C20B9"/>
    <w:rsid w:val="005C232F"/>
    <w:rsid w:val="005C27CA"/>
    <w:rsid w:val="005C2EE1"/>
    <w:rsid w:val="005C414E"/>
    <w:rsid w:val="005C4873"/>
    <w:rsid w:val="005C6BC9"/>
    <w:rsid w:val="005C6C1C"/>
    <w:rsid w:val="005C6D94"/>
    <w:rsid w:val="005C76B3"/>
    <w:rsid w:val="005C7B63"/>
    <w:rsid w:val="005D0B87"/>
    <w:rsid w:val="005D0CEB"/>
    <w:rsid w:val="005D33D5"/>
    <w:rsid w:val="005D50AF"/>
    <w:rsid w:val="005D56C5"/>
    <w:rsid w:val="005D59E7"/>
    <w:rsid w:val="005D68AF"/>
    <w:rsid w:val="005D6B3E"/>
    <w:rsid w:val="005D705E"/>
    <w:rsid w:val="005D7237"/>
    <w:rsid w:val="005D74A0"/>
    <w:rsid w:val="005E0F58"/>
    <w:rsid w:val="005E1F3B"/>
    <w:rsid w:val="005E2AC5"/>
    <w:rsid w:val="005E32EA"/>
    <w:rsid w:val="005E3D02"/>
    <w:rsid w:val="005E4275"/>
    <w:rsid w:val="005E47D9"/>
    <w:rsid w:val="005E48A7"/>
    <w:rsid w:val="005E49D3"/>
    <w:rsid w:val="005E5C42"/>
    <w:rsid w:val="005E5D23"/>
    <w:rsid w:val="005E60E8"/>
    <w:rsid w:val="005E655A"/>
    <w:rsid w:val="005E7E53"/>
    <w:rsid w:val="005F0762"/>
    <w:rsid w:val="005F0B3B"/>
    <w:rsid w:val="005F1057"/>
    <w:rsid w:val="005F1187"/>
    <w:rsid w:val="005F2618"/>
    <w:rsid w:val="005F3635"/>
    <w:rsid w:val="005F3921"/>
    <w:rsid w:val="005F3BAA"/>
    <w:rsid w:val="005F3C8D"/>
    <w:rsid w:val="005F41E5"/>
    <w:rsid w:val="005F48CB"/>
    <w:rsid w:val="005F4B25"/>
    <w:rsid w:val="005F5F32"/>
    <w:rsid w:val="005F61F8"/>
    <w:rsid w:val="005F672D"/>
    <w:rsid w:val="005F681D"/>
    <w:rsid w:val="005F6898"/>
    <w:rsid w:val="005F728D"/>
    <w:rsid w:val="005F7843"/>
    <w:rsid w:val="0060005E"/>
    <w:rsid w:val="00600779"/>
    <w:rsid w:val="0060081F"/>
    <w:rsid w:val="00600EF1"/>
    <w:rsid w:val="00600F4A"/>
    <w:rsid w:val="00601E8F"/>
    <w:rsid w:val="00603040"/>
    <w:rsid w:val="0060352F"/>
    <w:rsid w:val="006039B0"/>
    <w:rsid w:val="00603AD8"/>
    <w:rsid w:val="00603F15"/>
    <w:rsid w:val="00604F70"/>
    <w:rsid w:val="00605A08"/>
    <w:rsid w:val="00606E38"/>
    <w:rsid w:val="006105B5"/>
    <w:rsid w:val="0061098F"/>
    <w:rsid w:val="00610C67"/>
    <w:rsid w:val="006117E0"/>
    <w:rsid w:val="006128B9"/>
    <w:rsid w:val="00612C53"/>
    <w:rsid w:val="00612FD1"/>
    <w:rsid w:val="006141A9"/>
    <w:rsid w:val="006141C6"/>
    <w:rsid w:val="0061440A"/>
    <w:rsid w:val="0061475F"/>
    <w:rsid w:val="006155F1"/>
    <w:rsid w:val="00615F5F"/>
    <w:rsid w:val="006177BE"/>
    <w:rsid w:val="00620136"/>
    <w:rsid w:val="00620194"/>
    <w:rsid w:val="0062039D"/>
    <w:rsid w:val="0062093B"/>
    <w:rsid w:val="00620AB5"/>
    <w:rsid w:val="00621D25"/>
    <w:rsid w:val="00622D20"/>
    <w:rsid w:val="00622F60"/>
    <w:rsid w:val="00622FC0"/>
    <w:rsid w:val="00624AC3"/>
    <w:rsid w:val="0062528B"/>
    <w:rsid w:val="00625B4F"/>
    <w:rsid w:val="00625DF2"/>
    <w:rsid w:val="0062639B"/>
    <w:rsid w:val="0062694D"/>
    <w:rsid w:val="00626B46"/>
    <w:rsid w:val="00626D47"/>
    <w:rsid w:val="00626F50"/>
    <w:rsid w:val="00630EEE"/>
    <w:rsid w:val="00631067"/>
    <w:rsid w:val="0063135F"/>
    <w:rsid w:val="0063198D"/>
    <w:rsid w:val="00632F1E"/>
    <w:rsid w:val="00633888"/>
    <w:rsid w:val="006338F9"/>
    <w:rsid w:val="00633951"/>
    <w:rsid w:val="00634D68"/>
    <w:rsid w:val="00634EF2"/>
    <w:rsid w:val="00635433"/>
    <w:rsid w:val="006362D1"/>
    <w:rsid w:val="006366D5"/>
    <w:rsid w:val="00637638"/>
    <w:rsid w:val="00637720"/>
    <w:rsid w:val="00641148"/>
    <w:rsid w:val="0064118F"/>
    <w:rsid w:val="0064120E"/>
    <w:rsid w:val="006415F3"/>
    <w:rsid w:val="00644B8F"/>
    <w:rsid w:val="00644BCE"/>
    <w:rsid w:val="0064525E"/>
    <w:rsid w:val="00645AE6"/>
    <w:rsid w:val="00645FF0"/>
    <w:rsid w:val="0064692B"/>
    <w:rsid w:val="006469B4"/>
    <w:rsid w:val="00647004"/>
    <w:rsid w:val="006470A2"/>
    <w:rsid w:val="00647259"/>
    <w:rsid w:val="0064776E"/>
    <w:rsid w:val="006478CD"/>
    <w:rsid w:val="00647A03"/>
    <w:rsid w:val="00647EE1"/>
    <w:rsid w:val="006501B6"/>
    <w:rsid w:val="0065048B"/>
    <w:rsid w:val="006505C0"/>
    <w:rsid w:val="00652159"/>
    <w:rsid w:val="0065308F"/>
    <w:rsid w:val="00654255"/>
    <w:rsid w:val="0065429A"/>
    <w:rsid w:val="00654B97"/>
    <w:rsid w:val="00654C31"/>
    <w:rsid w:val="00654E2B"/>
    <w:rsid w:val="006556AC"/>
    <w:rsid w:val="00655A3B"/>
    <w:rsid w:val="00656576"/>
    <w:rsid w:val="006570C6"/>
    <w:rsid w:val="0066064A"/>
    <w:rsid w:val="00660673"/>
    <w:rsid w:val="00660A1C"/>
    <w:rsid w:val="00661392"/>
    <w:rsid w:val="00661E19"/>
    <w:rsid w:val="00662480"/>
    <w:rsid w:val="006627ED"/>
    <w:rsid w:val="00663707"/>
    <w:rsid w:val="0066380C"/>
    <w:rsid w:val="006639F4"/>
    <w:rsid w:val="00663C76"/>
    <w:rsid w:val="006641BE"/>
    <w:rsid w:val="00664CD9"/>
    <w:rsid w:val="00665EE7"/>
    <w:rsid w:val="006665E6"/>
    <w:rsid w:val="006670A1"/>
    <w:rsid w:val="00667D6C"/>
    <w:rsid w:val="006705F1"/>
    <w:rsid w:val="00670607"/>
    <w:rsid w:val="006707F9"/>
    <w:rsid w:val="0067211F"/>
    <w:rsid w:val="00673C18"/>
    <w:rsid w:val="00675CE3"/>
    <w:rsid w:val="006762E7"/>
    <w:rsid w:val="00676AFA"/>
    <w:rsid w:val="006771D1"/>
    <w:rsid w:val="0068287E"/>
    <w:rsid w:val="00682903"/>
    <w:rsid w:val="006835FB"/>
    <w:rsid w:val="006836AB"/>
    <w:rsid w:val="00683771"/>
    <w:rsid w:val="00683E5D"/>
    <w:rsid w:val="00684D3D"/>
    <w:rsid w:val="006854A9"/>
    <w:rsid w:val="00685C26"/>
    <w:rsid w:val="00686101"/>
    <w:rsid w:val="00686387"/>
    <w:rsid w:val="00687697"/>
    <w:rsid w:val="00687EBF"/>
    <w:rsid w:val="0069032D"/>
    <w:rsid w:val="006909D2"/>
    <w:rsid w:val="00691A6A"/>
    <w:rsid w:val="006921D7"/>
    <w:rsid w:val="00692F9E"/>
    <w:rsid w:val="00692FAC"/>
    <w:rsid w:val="0069415E"/>
    <w:rsid w:val="00695431"/>
    <w:rsid w:val="00696C38"/>
    <w:rsid w:val="006A0FDF"/>
    <w:rsid w:val="006A10D2"/>
    <w:rsid w:val="006A21DB"/>
    <w:rsid w:val="006A2D37"/>
    <w:rsid w:val="006A45B1"/>
    <w:rsid w:val="006A4B6C"/>
    <w:rsid w:val="006A5434"/>
    <w:rsid w:val="006A5A18"/>
    <w:rsid w:val="006A71A9"/>
    <w:rsid w:val="006A7648"/>
    <w:rsid w:val="006A7B8B"/>
    <w:rsid w:val="006A7D37"/>
    <w:rsid w:val="006B0146"/>
    <w:rsid w:val="006B0233"/>
    <w:rsid w:val="006B0A74"/>
    <w:rsid w:val="006B0F68"/>
    <w:rsid w:val="006B1A57"/>
    <w:rsid w:val="006B2095"/>
    <w:rsid w:val="006B2E15"/>
    <w:rsid w:val="006B2F7A"/>
    <w:rsid w:val="006B36EB"/>
    <w:rsid w:val="006B600F"/>
    <w:rsid w:val="006B6A1C"/>
    <w:rsid w:val="006B6ECA"/>
    <w:rsid w:val="006B7783"/>
    <w:rsid w:val="006C1112"/>
    <w:rsid w:val="006C119A"/>
    <w:rsid w:val="006C1881"/>
    <w:rsid w:val="006C1976"/>
    <w:rsid w:val="006C25E3"/>
    <w:rsid w:val="006C3E52"/>
    <w:rsid w:val="006C3E70"/>
    <w:rsid w:val="006C4335"/>
    <w:rsid w:val="006C46B4"/>
    <w:rsid w:val="006C4A26"/>
    <w:rsid w:val="006C5202"/>
    <w:rsid w:val="006C5616"/>
    <w:rsid w:val="006C63D3"/>
    <w:rsid w:val="006C64B6"/>
    <w:rsid w:val="006C67F4"/>
    <w:rsid w:val="006C6C6A"/>
    <w:rsid w:val="006C782A"/>
    <w:rsid w:val="006D01E9"/>
    <w:rsid w:val="006D0D36"/>
    <w:rsid w:val="006D192C"/>
    <w:rsid w:val="006D19AE"/>
    <w:rsid w:val="006D1A2B"/>
    <w:rsid w:val="006D1BCA"/>
    <w:rsid w:val="006D226F"/>
    <w:rsid w:val="006D2275"/>
    <w:rsid w:val="006D26AB"/>
    <w:rsid w:val="006D3307"/>
    <w:rsid w:val="006D425C"/>
    <w:rsid w:val="006D6BD2"/>
    <w:rsid w:val="006D6C4F"/>
    <w:rsid w:val="006D6E35"/>
    <w:rsid w:val="006E169A"/>
    <w:rsid w:val="006E316D"/>
    <w:rsid w:val="006E3B90"/>
    <w:rsid w:val="006E495B"/>
    <w:rsid w:val="006E5359"/>
    <w:rsid w:val="006E652C"/>
    <w:rsid w:val="006E7049"/>
    <w:rsid w:val="006E707A"/>
    <w:rsid w:val="006F0B95"/>
    <w:rsid w:val="006F158B"/>
    <w:rsid w:val="006F164A"/>
    <w:rsid w:val="006F1926"/>
    <w:rsid w:val="006F1DC5"/>
    <w:rsid w:val="006F262F"/>
    <w:rsid w:val="006F3ADE"/>
    <w:rsid w:val="006F3C21"/>
    <w:rsid w:val="006F4318"/>
    <w:rsid w:val="006F4676"/>
    <w:rsid w:val="006F476B"/>
    <w:rsid w:val="006F5219"/>
    <w:rsid w:val="006F670F"/>
    <w:rsid w:val="006F6ACF"/>
    <w:rsid w:val="006F6FF8"/>
    <w:rsid w:val="007004FF"/>
    <w:rsid w:val="00700873"/>
    <w:rsid w:val="00704E1C"/>
    <w:rsid w:val="00704E63"/>
    <w:rsid w:val="007053E7"/>
    <w:rsid w:val="00706581"/>
    <w:rsid w:val="00706849"/>
    <w:rsid w:val="00706FD1"/>
    <w:rsid w:val="00707267"/>
    <w:rsid w:val="00707951"/>
    <w:rsid w:val="00714037"/>
    <w:rsid w:val="00714298"/>
    <w:rsid w:val="0071471E"/>
    <w:rsid w:val="007147D4"/>
    <w:rsid w:val="007151BD"/>
    <w:rsid w:val="007162A4"/>
    <w:rsid w:val="007167B3"/>
    <w:rsid w:val="00717A45"/>
    <w:rsid w:val="00717DF6"/>
    <w:rsid w:val="00717E5F"/>
    <w:rsid w:val="00721E16"/>
    <w:rsid w:val="00721FD8"/>
    <w:rsid w:val="00722044"/>
    <w:rsid w:val="00722468"/>
    <w:rsid w:val="0072291B"/>
    <w:rsid w:val="007237F7"/>
    <w:rsid w:val="00724BFE"/>
    <w:rsid w:val="007257AB"/>
    <w:rsid w:val="00725B98"/>
    <w:rsid w:val="00725F8F"/>
    <w:rsid w:val="007260A2"/>
    <w:rsid w:val="007268DD"/>
    <w:rsid w:val="00730457"/>
    <w:rsid w:val="00730D1E"/>
    <w:rsid w:val="00731211"/>
    <w:rsid w:val="00731D37"/>
    <w:rsid w:val="00732091"/>
    <w:rsid w:val="0073248B"/>
    <w:rsid w:val="00732C6C"/>
    <w:rsid w:val="00732DF5"/>
    <w:rsid w:val="00733FAC"/>
    <w:rsid w:val="00734F3D"/>
    <w:rsid w:val="007351DE"/>
    <w:rsid w:val="00736492"/>
    <w:rsid w:val="00736CAA"/>
    <w:rsid w:val="00737332"/>
    <w:rsid w:val="007377FF"/>
    <w:rsid w:val="007404A8"/>
    <w:rsid w:val="007404D5"/>
    <w:rsid w:val="0074089A"/>
    <w:rsid w:val="00741C4F"/>
    <w:rsid w:val="0074239B"/>
    <w:rsid w:val="00742571"/>
    <w:rsid w:val="00742C77"/>
    <w:rsid w:val="00743991"/>
    <w:rsid w:val="00744232"/>
    <w:rsid w:val="007442B3"/>
    <w:rsid w:val="007442FB"/>
    <w:rsid w:val="007459F8"/>
    <w:rsid w:val="00745CAB"/>
    <w:rsid w:val="00745CB6"/>
    <w:rsid w:val="00745E94"/>
    <w:rsid w:val="007461F8"/>
    <w:rsid w:val="00746F30"/>
    <w:rsid w:val="00747D7A"/>
    <w:rsid w:val="00750FB8"/>
    <w:rsid w:val="007512F0"/>
    <w:rsid w:val="00751550"/>
    <w:rsid w:val="00751655"/>
    <w:rsid w:val="00751FF6"/>
    <w:rsid w:val="007523E7"/>
    <w:rsid w:val="00752870"/>
    <w:rsid w:val="00752BD0"/>
    <w:rsid w:val="00753412"/>
    <w:rsid w:val="0075350B"/>
    <w:rsid w:val="00753587"/>
    <w:rsid w:val="007543E2"/>
    <w:rsid w:val="0075558F"/>
    <w:rsid w:val="0075585D"/>
    <w:rsid w:val="00756140"/>
    <w:rsid w:val="007575B8"/>
    <w:rsid w:val="00757900"/>
    <w:rsid w:val="00757A5D"/>
    <w:rsid w:val="0076079C"/>
    <w:rsid w:val="007612C9"/>
    <w:rsid w:val="00762BB0"/>
    <w:rsid w:val="0076316D"/>
    <w:rsid w:val="00763E47"/>
    <w:rsid w:val="00764033"/>
    <w:rsid w:val="0076496C"/>
    <w:rsid w:val="00764C48"/>
    <w:rsid w:val="00765506"/>
    <w:rsid w:val="00766C58"/>
    <w:rsid w:val="007672AB"/>
    <w:rsid w:val="0076736C"/>
    <w:rsid w:val="0076760C"/>
    <w:rsid w:val="007719CB"/>
    <w:rsid w:val="00771EAF"/>
    <w:rsid w:val="00772018"/>
    <w:rsid w:val="00772A8A"/>
    <w:rsid w:val="00772F72"/>
    <w:rsid w:val="00773317"/>
    <w:rsid w:val="00773FA8"/>
    <w:rsid w:val="00774BC5"/>
    <w:rsid w:val="007752A2"/>
    <w:rsid w:val="007757B1"/>
    <w:rsid w:val="007758C6"/>
    <w:rsid w:val="00775C20"/>
    <w:rsid w:val="007768AA"/>
    <w:rsid w:val="007777E8"/>
    <w:rsid w:val="00780175"/>
    <w:rsid w:val="00780C17"/>
    <w:rsid w:val="00780E1D"/>
    <w:rsid w:val="0078133E"/>
    <w:rsid w:val="007832D6"/>
    <w:rsid w:val="00783344"/>
    <w:rsid w:val="007835B9"/>
    <w:rsid w:val="007838D7"/>
    <w:rsid w:val="00783D7F"/>
    <w:rsid w:val="00784216"/>
    <w:rsid w:val="0078633D"/>
    <w:rsid w:val="00786D61"/>
    <w:rsid w:val="00787906"/>
    <w:rsid w:val="00791205"/>
    <w:rsid w:val="007925E9"/>
    <w:rsid w:val="00792BC6"/>
    <w:rsid w:val="007946A8"/>
    <w:rsid w:val="007948C9"/>
    <w:rsid w:val="00795251"/>
    <w:rsid w:val="00795464"/>
    <w:rsid w:val="00795936"/>
    <w:rsid w:val="00795D3D"/>
    <w:rsid w:val="00796559"/>
    <w:rsid w:val="007966D7"/>
    <w:rsid w:val="00796873"/>
    <w:rsid w:val="00797027"/>
    <w:rsid w:val="00797E3F"/>
    <w:rsid w:val="007A0F5E"/>
    <w:rsid w:val="007A1F8B"/>
    <w:rsid w:val="007A2C3A"/>
    <w:rsid w:val="007A31A9"/>
    <w:rsid w:val="007A35C8"/>
    <w:rsid w:val="007A3B65"/>
    <w:rsid w:val="007A4465"/>
    <w:rsid w:val="007A54BA"/>
    <w:rsid w:val="007A6084"/>
    <w:rsid w:val="007A6463"/>
    <w:rsid w:val="007A683A"/>
    <w:rsid w:val="007A7C96"/>
    <w:rsid w:val="007B0643"/>
    <w:rsid w:val="007B1CBE"/>
    <w:rsid w:val="007B2BBE"/>
    <w:rsid w:val="007B2FBA"/>
    <w:rsid w:val="007B379C"/>
    <w:rsid w:val="007B3D79"/>
    <w:rsid w:val="007B4198"/>
    <w:rsid w:val="007B45B8"/>
    <w:rsid w:val="007B46A0"/>
    <w:rsid w:val="007B49CC"/>
    <w:rsid w:val="007B4A1B"/>
    <w:rsid w:val="007B518D"/>
    <w:rsid w:val="007B5325"/>
    <w:rsid w:val="007B5C4B"/>
    <w:rsid w:val="007B6266"/>
    <w:rsid w:val="007B6430"/>
    <w:rsid w:val="007B6574"/>
    <w:rsid w:val="007B6CFB"/>
    <w:rsid w:val="007B704A"/>
    <w:rsid w:val="007B71CD"/>
    <w:rsid w:val="007B749F"/>
    <w:rsid w:val="007B7DE3"/>
    <w:rsid w:val="007C1763"/>
    <w:rsid w:val="007C23C2"/>
    <w:rsid w:val="007C2429"/>
    <w:rsid w:val="007C2B78"/>
    <w:rsid w:val="007C3ECF"/>
    <w:rsid w:val="007C4C9A"/>
    <w:rsid w:val="007C56FF"/>
    <w:rsid w:val="007C5740"/>
    <w:rsid w:val="007C57F8"/>
    <w:rsid w:val="007C6E4F"/>
    <w:rsid w:val="007C7238"/>
    <w:rsid w:val="007C732F"/>
    <w:rsid w:val="007C74D5"/>
    <w:rsid w:val="007C7D3B"/>
    <w:rsid w:val="007C7D51"/>
    <w:rsid w:val="007D0C07"/>
    <w:rsid w:val="007D1EBA"/>
    <w:rsid w:val="007D27F9"/>
    <w:rsid w:val="007D2FED"/>
    <w:rsid w:val="007D38DC"/>
    <w:rsid w:val="007D3B30"/>
    <w:rsid w:val="007D3ED6"/>
    <w:rsid w:val="007D4712"/>
    <w:rsid w:val="007D4CED"/>
    <w:rsid w:val="007D5059"/>
    <w:rsid w:val="007D52E0"/>
    <w:rsid w:val="007D5D9A"/>
    <w:rsid w:val="007D5F0A"/>
    <w:rsid w:val="007D6ADF"/>
    <w:rsid w:val="007D6D00"/>
    <w:rsid w:val="007E0A78"/>
    <w:rsid w:val="007E1722"/>
    <w:rsid w:val="007E206B"/>
    <w:rsid w:val="007E20E4"/>
    <w:rsid w:val="007E277C"/>
    <w:rsid w:val="007E28FD"/>
    <w:rsid w:val="007E2C30"/>
    <w:rsid w:val="007E3897"/>
    <w:rsid w:val="007E3E8D"/>
    <w:rsid w:val="007E4178"/>
    <w:rsid w:val="007E41AC"/>
    <w:rsid w:val="007E4B74"/>
    <w:rsid w:val="007E50FB"/>
    <w:rsid w:val="007E537C"/>
    <w:rsid w:val="007E5A4B"/>
    <w:rsid w:val="007E5A54"/>
    <w:rsid w:val="007E6D7C"/>
    <w:rsid w:val="007E7D92"/>
    <w:rsid w:val="007F1201"/>
    <w:rsid w:val="007F232E"/>
    <w:rsid w:val="007F2E10"/>
    <w:rsid w:val="007F2EAE"/>
    <w:rsid w:val="007F382D"/>
    <w:rsid w:val="007F3BF7"/>
    <w:rsid w:val="007F4CD2"/>
    <w:rsid w:val="007F4D68"/>
    <w:rsid w:val="007F54F8"/>
    <w:rsid w:val="007F6808"/>
    <w:rsid w:val="007F6CFD"/>
    <w:rsid w:val="00800517"/>
    <w:rsid w:val="00801483"/>
    <w:rsid w:val="00801F6D"/>
    <w:rsid w:val="00802BF7"/>
    <w:rsid w:val="00802DC8"/>
    <w:rsid w:val="00805C5F"/>
    <w:rsid w:val="0080653A"/>
    <w:rsid w:val="00807381"/>
    <w:rsid w:val="008075B1"/>
    <w:rsid w:val="0081019C"/>
    <w:rsid w:val="0081025C"/>
    <w:rsid w:val="0081150D"/>
    <w:rsid w:val="00813C9F"/>
    <w:rsid w:val="00813CFA"/>
    <w:rsid w:val="00814040"/>
    <w:rsid w:val="00814113"/>
    <w:rsid w:val="008146AD"/>
    <w:rsid w:val="00815C95"/>
    <w:rsid w:val="008168BE"/>
    <w:rsid w:val="008168EE"/>
    <w:rsid w:val="00816DAA"/>
    <w:rsid w:val="00816FF1"/>
    <w:rsid w:val="00817B4C"/>
    <w:rsid w:val="0082068D"/>
    <w:rsid w:val="00820872"/>
    <w:rsid w:val="00821917"/>
    <w:rsid w:val="00821AA0"/>
    <w:rsid w:val="00822E2D"/>
    <w:rsid w:val="008238A4"/>
    <w:rsid w:val="00823C51"/>
    <w:rsid w:val="00823EC5"/>
    <w:rsid w:val="00823F4B"/>
    <w:rsid w:val="008242BE"/>
    <w:rsid w:val="0082585D"/>
    <w:rsid w:val="00825CF2"/>
    <w:rsid w:val="00826139"/>
    <w:rsid w:val="00826800"/>
    <w:rsid w:val="00831119"/>
    <w:rsid w:val="008311CF"/>
    <w:rsid w:val="008315FF"/>
    <w:rsid w:val="00832B95"/>
    <w:rsid w:val="00833FFD"/>
    <w:rsid w:val="008341EC"/>
    <w:rsid w:val="008348BF"/>
    <w:rsid w:val="00834A05"/>
    <w:rsid w:val="00835C94"/>
    <w:rsid w:val="00836BD2"/>
    <w:rsid w:val="00837045"/>
    <w:rsid w:val="00837D45"/>
    <w:rsid w:val="0084069F"/>
    <w:rsid w:val="008410CA"/>
    <w:rsid w:val="00841251"/>
    <w:rsid w:val="00841F9A"/>
    <w:rsid w:val="00842492"/>
    <w:rsid w:val="00843547"/>
    <w:rsid w:val="00843C6B"/>
    <w:rsid w:val="00845D23"/>
    <w:rsid w:val="00845E9F"/>
    <w:rsid w:val="00846ADD"/>
    <w:rsid w:val="00846B2F"/>
    <w:rsid w:val="00846D82"/>
    <w:rsid w:val="008475CC"/>
    <w:rsid w:val="00847C34"/>
    <w:rsid w:val="00850254"/>
    <w:rsid w:val="00850911"/>
    <w:rsid w:val="00850B58"/>
    <w:rsid w:val="00852EF0"/>
    <w:rsid w:val="00853F59"/>
    <w:rsid w:val="008558D0"/>
    <w:rsid w:val="008572DE"/>
    <w:rsid w:val="00857F4F"/>
    <w:rsid w:val="008601DD"/>
    <w:rsid w:val="00860564"/>
    <w:rsid w:val="00860714"/>
    <w:rsid w:val="008618B1"/>
    <w:rsid w:val="00863A8F"/>
    <w:rsid w:val="0086440A"/>
    <w:rsid w:val="00865122"/>
    <w:rsid w:val="00865F8F"/>
    <w:rsid w:val="008664D9"/>
    <w:rsid w:val="00866AC8"/>
    <w:rsid w:val="00866D60"/>
    <w:rsid w:val="00867A98"/>
    <w:rsid w:val="00867D91"/>
    <w:rsid w:val="008713E3"/>
    <w:rsid w:val="00872A29"/>
    <w:rsid w:val="00873307"/>
    <w:rsid w:val="008739DA"/>
    <w:rsid w:val="00873E65"/>
    <w:rsid w:val="00873F3E"/>
    <w:rsid w:val="00874C09"/>
    <w:rsid w:val="00876744"/>
    <w:rsid w:val="00876ADD"/>
    <w:rsid w:val="00876BDF"/>
    <w:rsid w:val="00882798"/>
    <w:rsid w:val="00882C42"/>
    <w:rsid w:val="00883CF3"/>
    <w:rsid w:val="0088430C"/>
    <w:rsid w:val="008850C6"/>
    <w:rsid w:val="00885D66"/>
    <w:rsid w:val="008863D2"/>
    <w:rsid w:val="00887873"/>
    <w:rsid w:val="00887A39"/>
    <w:rsid w:val="0089019B"/>
    <w:rsid w:val="0089038F"/>
    <w:rsid w:val="008905B5"/>
    <w:rsid w:val="0089193B"/>
    <w:rsid w:val="00891E69"/>
    <w:rsid w:val="00893139"/>
    <w:rsid w:val="00893327"/>
    <w:rsid w:val="00893BBF"/>
    <w:rsid w:val="00893C18"/>
    <w:rsid w:val="00895595"/>
    <w:rsid w:val="00896202"/>
    <w:rsid w:val="008972A8"/>
    <w:rsid w:val="00897929"/>
    <w:rsid w:val="00897FE3"/>
    <w:rsid w:val="008A070D"/>
    <w:rsid w:val="008A0832"/>
    <w:rsid w:val="008A0A5D"/>
    <w:rsid w:val="008A1841"/>
    <w:rsid w:val="008A185B"/>
    <w:rsid w:val="008A211C"/>
    <w:rsid w:val="008A3EB0"/>
    <w:rsid w:val="008A4492"/>
    <w:rsid w:val="008A4504"/>
    <w:rsid w:val="008A53E7"/>
    <w:rsid w:val="008A5BB4"/>
    <w:rsid w:val="008B38E6"/>
    <w:rsid w:val="008B4061"/>
    <w:rsid w:val="008B445A"/>
    <w:rsid w:val="008B5103"/>
    <w:rsid w:val="008B5F79"/>
    <w:rsid w:val="008B6ABC"/>
    <w:rsid w:val="008B6D99"/>
    <w:rsid w:val="008B723D"/>
    <w:rsid w:val="008C0303"/>
    <w:rsid w:val="008C1E32"/>
    <w:rsid w:val="008C211D"/>
    <w:rsid w:val="008C2D9A"/>
    <w:rsid w:val="008C583B"/>
    <w:rsid w:val="008C6535"/>
    <w:rsid w:val="008C749C"/>
    <w:rsid w:val="008C7BF6"/>
    <w:rsid w:val="008D00B8"/>
    <w:rsid w:val="008D125A"/>
    <w:rsid w:val="008D130A"/>
    <w:rsid w:val="008D1533"/>
    <w:rsid w:val="008D1A79"/>
    <w:rsid w:val="008D1E7F"/>
    <w:rsid w:val="008D2894"/>
    <w:rsid w:val="008D2B79"/>
    <w:rsid w:val="008D4D6D"/>
    <w:rsid w:val="008D5033"/>
    <w:rsid w:val="008D544C"/>
    <w:rsid w:val="008D5DBE"/>
    <w:rsid w:val="008D6021"/>
    <w:rsid w:val="008D6702"/>
    <w:rsid w:val="008D6F2E"/>
    <w:rsid w:val="008D7071"/>
    <w:rsid w:val="008D70A3"/>
    <w:rsid w:val="008D7678"/>
    <w:rsid w:val="008E040D"/>
    <w:rsid w:val="008E063C"/>
    <w:rsid w:val="008E0C12"/>
    <w:rsid w:val="008E15C7"/>
    <w:rsid w:val="008E19FE"/>
    <w:rsid w:val="008E20FC"/>
    <w:rsid w:val="008E2893"/>
    <w:rsid w:val="008E3B23"/>
    <w:rsid w:val="008E3C50"/>
    <w:rsid w:val="008E5E8B"/>
    <w:rsid w:val="008E6352"/>
    <w:rsid w:val="008E641B"/>
    <w:rsid w:val="008E64B3"/>
    <w:rsid w:val="008E68BA"/>
    <w:rsid w:val="008E7267"/>
    <w:rsid w:val="008E739B"/>
    <w:rsid w:val="008E75CE"/>
    <w:rsid w:val="008E767F"/>
    <w:rsid w:val="008F0050"/>
    <w:rsid w:val="008F05C0"/>
    <w:rsid w:val="008F0B6D"/>
    <w:rsid w:val="008F102F"/>
    <w:rsid w:val="008F1871"/>
    <w:rsid w:val="008F2144"/>
    <w:rsid w:val="008F39FF"/>
    <w:rsid w:val="008F3B3A"/>
    <w:rsid w:val="008F40EA"/>
    <w:rsid w:val="008F491A"/>
    <w:rsid w:val="008F5293"/>
    <w:rsid w:val="008F550D"/>
    <w:rsid w:val="008F5C08"/>
    <w:rsid w:val="008F6408"/>
    <w:rsid w:val="008F66AD"/>
    <w:rsid w:val="008F7100"/>
    <w:rsid w:val="008F7364"/>
    <w:rsid w:val="008F747D"/>
    <w:rsid w:val="009004B6"/>
    <w:rsid w:val="00901506"/>
    <w:rsid w:val="00901F62"/>
    <w:rsid w:val="00903237"/>
    <w:rsid w:val="009046F5"/>
    <w:rsid w:val="009049BC"/>
    <w:rsid w:val="00904E38"/>
    <w:rsid w:val="009062A2"/>
    <w:rsid w:val="00906D19"/>
    <w:rsid w:val="00907B5C"/>
    <w:rsid w:val="00907BEE"/>
    <w:rsid w:val="009107DD"/>
    <w:rsid w:val="00910DB4"/>
    <w:rsid w:val="00911E75"/>
    <w:rsid w:val="00913262"/>
    <w:rsid w:val="00913557"/>
    <w:rsid w:val="0091362E"/>
    <w:rsid w:val="00913B4D"/>
    <w:rsid w:val="00914523"/>
    <w:rsid w:val="00914F17"/>
    <w:rsid w:val="00915038"/>
    <w:rsid w:val="009162FD"/>
    <w:rsid w:val="00916E7B"/>
    <w:rsid w:val="00916FDC"/>
    <w:rsid w:val="00917141"/>
    <w:rsid w:val="00917675"/>
    <w:rsid w:val="009179A1"/>
    <w:rsid w:val="00917FE6"/>
    <w:rsid w:val="00920741"/>
    <w:rsid w:val="00920E78"/>
    <w:rsid w:val="0092142D"/>
    <w:rsid w:val="0092169C"/>
    <w:rsid w:val="0092260A"/>
    <w:rsid w:val="00922B03"/>
    <w:rsid w:val="0092315A"/>
    <w:rsid w:val="009238B4"/>
    <w:rsid w:val="009242AF"/>
    <w:rsid w:val="009263A6"/>
    <w:rsid w:val="00926D96"/>
    <w:rsid w:val="009278D8"/>
    <w:rsid w:val="0093026B"/>
    <w:rsid w:val="00930860"/>
    <w:rsid w:val="00930DAC"/>
    <w:rsid w:val="0093127C"/>
    <w:rsid w:val="0093135F"/>
    <w:rsid w:val="009315BA"/>
    <w:rsid w:val="0093223A"/>
    <w:rsid w:val="00933513"/>
    <w:rsid w:val="009346CD"/>
    <w:rsid w:val="00935130"/>
    <w:rsid w:val="00935741"/>
    <w:rsid w:val="0093614C"/>
    <w:rsid w:val="009369D4"/>
    <w:rsid w:val="00936BBE"/>
    <w:rsid w:val="00937CC4"/>
    <w:rsid w:val="0094092B"/>
    <w:rsid w:val="009409C8"/>
    <w:rsid w:val="00940D76"/>
    <w:rsid w:val="00941295"/>
    <w:rsid w:val="00941D8F"/>
    <w:rsid w:val="009427CA"/>
    <w:rsid w:val="00942B0E"/>
    <w:rsid w:val="00943078"/>
    <w:rsid w:val="0094459A"/>
    <w:rsid w:val="009460C3"/>
    <w:rsid w:val="00946562"/>
    <w:rsid w:val="009465F5"/>
    <w:rsid w:val="00946956"/>
    <w:rsid w:val="009503AE"/>
    <w:rsid w:val="00950D59"/>
    <w:rsid w:val="00951109"/>
    <w:rsid w:val="0095208B"/>
    <w:rsid w:val="00953240"/>
    <w:rsid w:val="00954523"/>
    <w:rsid w:val="00954951"/>
    <w:rsid w:val="0095496E"/>
    <w:rsid w:val="00955335"/>
    <w:rsid w:val="0095554E"/>
    <w:rsid w:val="00955FB1"/>
    <w:rsid w:val="009577C3"/>
    <w:rsid w:val="00960C45"/>
    <w:rsid w:val="00960D16"/>
    <w:rsid w:val="00960EF7"/>
    <w:rsid w:val="00961229"/>
    <w:rsid w:val="0096125E"/>
    <w:rsid w:val="00961E78"/>
    <w:rsid w:val="009637A6"/>
    <w:rsid w:val="00963925"/>
    <w:rsid w:val="00963C26"/>
    <w:rsid w:val="0096561F"/>
    <w:rsid w:val="00965E61"/>
    <w:rsid w:val="009663B6"/>
    <w:rsid w:val="0096681B"/>
    <w:rsid w:val="00967371"/>
    <w:rsid w:val="00967771"/>
    <w:rsid w:val="00967D16"/>
    <w:rsid w:val="00970404"/>
    <w:rsid w:val="00970808"/>
    <w:rsid w:val="00970B8C"/>
    <w:rsid w:val="009727A7"/>
    <w:rsid w:val="009727CF"/>
    <w:rsid w:val="00972B38"/>
    <w:rsid w:val="00972C24"/>
    <w:rsid w:val="00973F24"/>
    <w:rsid w:val="009740CB"/>
    <w:rsid w:val="00975991"/>
    <w:rsid w:val="0097601B"/>
    <w:rsid w:val="00976163"/>
    <w:rsid w:val="00977411"/>
    <w:rsid w:val="00980602"/>
    <w:rsid w:val="00980830"/>
    <w:rsid w:val="00980A0D"/>
    <w:rsid w:val="00981318"/>
    <w:rsid w:val="00981E1E"/>
    <w:rsid w:val="00982352"/>
    <w:rsid w:val="00982355"/>
    <w:rsid w:val="009824B9"/>
    <w:rsid w:val="00982C5A"/>
    <w:rsid w:val="009831C7"/>
    <w:rsid w:val="0098482A"/>
    <w:rsid w:val="00984BE5"/>
    <w:rsid w:val="0098508A"/>
    <w:rsid w:val="0098569A"/>
    <w:rsid w:val="00986FEB"/>
    <w:rsid w:val="00987348"/>
    <w:rsid w:val="00987B3F"/>
    <w:rsid w:val="00990ACA"/>
    <w:rsid w:val="00991038"/>
    <w:rsid w:val="00991166"/>
    <w:rsid w:val="009923C6"/>
    <w:rsid w:val="0099265F"/>
    <w:rsid w:val="00992EC2"/>
    <w:rsid w:val="00993183"/>
    <w:rsid w:val="00993239"/>
    <w:rsid w:val="009937C3"/>
    <w:rsid w:val="00994771"/>
    <w:rsid w:val="009958A9"/>
    <w:rsid w:val="00995C0F"/>
    <w:rsid w:val="009A0C55"/>
    <w:rsid w:val="009A150D"/>
    <w:rsid w:val="009A20E8"/>
    <w:rsid w:val="009A2326"/>
    <w:rsid w:val="009A262E"/>
    <w:rsid w:val="009A266D"/>
    <w:rsid w:val="009A2BD8"/>
    <w:rsid w:val="009A3840"/>
    <w:rsid w:val="009A3861"/>
    <w:rsid w:val="009A3C88"/>
    <w:rsid w:val="009A3DB9"/>
    <w:rsid w:val="009A43B4"/>
    <w:rsid w:val="009A46FC"/>
    <w:rsid w:val="009A576C"/>
    <w:rsid w:val="009A5B22"/>
    <w:rsid w:val="009A67EA"/>
    <w:rsid w:val="009A7AE1"/>
    <w:rsid w:val="009B0143"/>
    <w:rsid w:val="009B0EA3"/>
    <w:rsid w:val="009B2AF7"/>
    <w:rsid w:val="009B2B1A"/>
    <w:rsid w:val="009B3C17"/>
    <w:rsid w:val="009B58C2"/>
    <w:rsid w:val="009B5B93"/>
    <w:rsid w:val="009B5F3B"/>
    <w:rsid w:val="009B730F"/>
    <w:rsid w:val="009C0157"/>
    <w:rsid w:val="009C044F"/>
    <w:rsid w:val="009C057C"/>
    <w:rsid w:val="009C0FCC"/>
    <w:rsid w:val="009C1000"/>
    <w:rsid w:val="009C11C4"/>
    <w:rsid w:val="009C18CA"/>
    <w:rsid w:val="009C1EC1"/>
    <w:rsid w:val="009C28A0"/>
    <w:rsid w:val="009C4D7F"/>
    <w:rsid w:val="009C58A8"/>
    <w:rsid w:val="009C6031"/>
    <w:rsid w:val="009C61E6"/>
    <w:rsid w:val="009C62AA"/>
    <w:rsid w:val="009C6CD1"/>
    <w:rsid w:val="009C73E5"/>
    <w:rsid w:val="009C7424"/>
    <w:rsid w:val="009C7AB9"/>
    <w:rsid w:val="009D0029"/>
    <w:rsid w:val="009D0304"/>
    <w:rsid w:val="009D1DF3"/>
    <w:rsid w:val="009D2089"/>
    <w:rsid w:val="009D2649"/>
    <w:rsid w:val="009D2737"/>
    <w:rsid w:val="009D283B"/>
    <w:rsid w:val="009D2F64"/>
    <w:rsid w:val="009D46AB"/>
    <w:rsid w:val="009D6520"/>
    <w:rsid w:val="009D75C2"/>
    <w:rsid w:val="009D79BA"/>
    <w:rsid w:val="009D79C6"/>
    <w:rsid w:val="009D7EB6"/>
    <w:rsid w:val="009E066E"/>
    <w:rsid w:val="009E0B96"/>
    <w:rsid w:val="009E0EB1"/>
    <w:rsid w:val="009E13C1"/>
    <w:rsid w:val="009E16AE"/>
    <w:rsid w:val="009E264A"/>
    <w:rsid w:val="009E2B3F"/>
    <w:rsid w:val="009E2FD0"/>
    <w:rsid w:val="009E3AB2"/>
    <w:rsid w:val="009E3E2A"/>
    <w:rsid w:val="009E558E"/>
    <w:rsid w:val="009E5771"/>
    <w:rsid w:val="009E63BC"/>
    <w:rsid w:val="009E7669"/>
    <w:rsid w:val="009F0DE3"/>
    <w:rsid w:val="009F1F35"/>
    <w:rsid w:val="009F2DFA"/>
    <w:rsid w:val="009F34E0"/>
    <w:rsid w:val="009F3D98"/>
    <w:rsid w:val="009F424C"/>
    <w:rsid w:val="009F4433"/>
    <w:rsid w:val="009F4B79"/>
    <w:rsid w:val="009F50A6"/>
    <w:rsid w:val="009F5CB6"/>
    <w:rsid w:val="009F5EF1"/>
    <w:rsid w:val="009F65D8"/>
    <w:rsid w:val="009F67A3"/>
    <w:rsid w:val="009F68E8"/>
    <w:rsid w:val="009F6ADE"/>
    <w:rsid w:val="009F7D5A"/>
    <w:rsid w:val="00A003D3"/>
    <w:rsid w:val="00A00F11"/>
    <w:rsid w:val="00A0144F"/>
    <w:rsid w:val="00A0149D"/>
    <w:rsid w:val="00A019A6"/>
    <w:rsid w:val="00A04212"/>
    <w:rsid w:val="00A046AA"/>
    <w:rsid w:val="00A04B72"/>
    <w:rsid w:val="00A06909"/>
    <w:rsid w:val="00A07350"/>
    <w:rsid w:val="00A074C1"/>
    <w:rsid w:val="00A075DC"/>
    <w:rsid w:val="00A111CC"/>
    <w:rsid w:val="00A11E9C"/>
    <w:rsid w:val="00A11F0C"/>
    <w:rsid w:val="00A12927"/>
    <w:rsid w:val="00A12B1F"/>
    <w:rsid w:val="00A14A4A"/>
    <w:rsid w:val="00A14B95"/>
    <w:rsid w:val="00A15A6A"/>
    <w:rsid w:val="00A15B86"/>
    <w:rsid w:val="00A1717F"/>
    <w:rsid w:val="00A17646"/>
    <w:rsid w:val="00A20396"/>
    <w:rsid w:val="00A20D29"/>
    <w:rsid w:val="00A21082"/>
    <w:rsid w:val="00A210AB"/>
    <w:rsid w:val="00A21652"/>
    <w:rsid w:val="00A23944"/>
    <w:rsid w:val="00A23BDE"/>
    <w:rsid w:val="00A23CEF"/>
    <w:rsid w:val="00A23EA9"/>
    <w:rsid w:val="00A24153"/>
    <w:rsid w:val="00A24625"/>
    <w:rsid w:val="00A25448"/>
    <w:rsid w:val="00A25900"/>
    <w:rsid w:val="00A25B4E"/>
    <w:rsid w:val="00A25CBD"/>
    <w:rsid w:val="00A26991"/>
    <w:rsid w:val="00A26C24"/>
    <w:rsid w:val="00A26DE2"/>
    <w:rsid w:val="00A2761B"/>
    <w:rsid w:val="00A3032E"/>
    <w:rsid w:val="00A3052B"/>
    <w:rsid w:val="00A30F68"/>
    <w:rsid w:val="00A30F75"/>
    <w:rsid w:val="00A324EB"/>
    <w:rsid w:val="00A32A2B"/>
    <w:rsid w:val="00A32A5E"/>
    <w:rsid w:val="00A32C1C"/>
    <w:rsid w:val="00A3325F"/>
    <w:rsid w:val="00A33FF3"/>
    <w:rsid w:val="00A34EA7"/>
    <w:rsid w:val="00A3537B"/>
    <w:rsid w:val="00A35EE1"/>
    <w:rsid w:val="00A3602E"/>
    <w:rsid w:val="00A36A54"/>
    <w:rsid w:val="00A37094"/>
    <w:rsid w:val="00A37837"/>
    <w:rsid w:val="00A37E46"/>
    <w:rsid w:val="00A40521"/>
    <w:rsid w:val="00A4067A"/>
    <w:rsid w:val="00A40683"/>
    <w:rsid w:val="00A4077F"/>
    <w:rsid w:val="00A41B7D"/>
    <w:rsid w:val="00A42059"/>
    <w:rsid w:val="00A43289"/>
    <w:rsid w:val="00A43847"/>
    <w:rsid w:val="00A43B31"/>
    <w:rsid w:val="00A44A61"/>
    <w:rsid w:val="00A5055F"/>
    <w:rsid w:val="00A508DF"/>
    <w:rsid w:val="00A50D10"/>
    <w:rsid w:val="00A51550"/>
    <w:rsid w:val="00A51761"/>
    <w:rsid w:val="00A51AA6"/>
    <w:rsid w:val="00A51F03"/>
    <w:rsid w:val="00A52435"/>
    <w:rsid w:val="00A52760"/>
    <w:rsid w:val="00A52A67"/>
    <w:rsid w:val="00A5360B"/>
    <w:rsid w:val="00A53AF4"/>
    <w:rsid w:val="00A543FF"/>
    <w:rsid w:val="00A54DA8"/>
    <w:rsid w:val="00A55242"/>
    <w:rsid w:val="00A553AC"/>
    <w:rsid w:val="00A55761"/>
    <w:rsid w:val="00A56306"/>
    <w:rsid w:val="00A563B8"/>
    <w:rsid w:val="00A56612"/>
    <w:rsid w:val="00A5672C"/>
    <w:rsid w:val="00A56CB5"/>
    <w:rsid w:val="00A608DF"/>
    <w:rsid w:val="00A6119D"/>
    <w:rsid w:val="00A6121A"/>
    <w:rsid w:val="00A61D63"/>
    <w:rsid w:val="00A622DC"/>
    <w:rsid w:val="00A6233F"/>
    <w:rsid w:val="00A62606"/>
    <w:rsid w:val="00A62F89"/>
    <w:rsid w:val="00A6363A"/>
    <w:rsid w:val="00A6391D"/>
    <w:rsid w:val="00A640DC"/>
    <w:rsid w:val="00A64577"/>
    <w:rsid w:val="00A646C8"/>
    <w:rsid w:val="00A6572A"/>
    <w:rsid w:val="00A672C2"/>
    <w:rsid w:val="00A67809"/>
    <w:rsid w:val="00A678E3"/>
    <w:rsid w:val="00A67A8A"/>
    <w:rsid w:val="00A67F6A"/>
    <w:rsid w:val="00A707F6"/>
    <w:rsid w:val="00A7178D"/>
    <w:rsid w:val="00A7266F"/>
    <w:rsid w:val="00A7295E"/>
    <w:rsid w:val="00A73019"/>
    <w:rsid w:val="00A734E8"/>
    <w:rsid w:val="00A73E3A"/>
    <w:rsid w:val="00A74758"/>
    <w:rsid w:val="00A74860"/>
    <w:rsid w:val="00A760F1"/>
    <w:rsid w:val="00A76AB6"/>
    <w:rsid w:val="00A76F40"/>
    <w:rsid w:val="00A77759"/>
    <w:rsid w:val="00A8098D"/>
    <w:rsid w:val="00A80D52"/>
    <w:rsid w:val="00A80DE4"/>
    <w:rsid w:val="00A811C1"/>
    <w:rsid w:val="00A81414"/>
    <w:rsid w:val="00A81573"/>
    <w:rsid w:val="00A83628"/>
    <w:rsid w:val="00A839DA"/>
    <w:rsid w:val="00A83C17"/>
    <w:rsid w:val="00A83EF3"/>
    <w:rsid w:val="00A8449B"/>
    <w:rsid w:val="00A84A81"/>
    <w:rsid w:val="00A850CE"/>
    <w:rsid w:val="00A85523"/>
    <w:rsid w:val="00A85C57"/>
    <w:rsid w:val="00A85C68"/>
    <w:rsid w:val="00A86329"/>
    <w:rsid w:val="00A868D0"/>
    <w:rsid w:val="00A86C41"/>
    <w:rsid w:val="00A86E20"/>
    <w:rsid w:val="00A87FBB"/>
    <w:rsid w:val="00A90143"/>
    <w:rsid w:val="00A90929"/>
    <w:rsid w:val="00A90BA9"/>
    <w:rsid w:val="00A9105B"/>
    <w:rsid w:val="00A91148"/>
    <w:rsid w:val="00A9124E"/>
    <w:rsid w:val="00A9145D"/>
    <w:rsid w:val="00A92C43"/>
    <w:rsid w:val="00A93C22"/>
    <w:rsid w:val="00A943CA"/>
    <w:rsid w:val="00A9443F"/>
    <w:rsid w:val="00A946A4"/>
    <w:rsid w:val="00A94905"/>
    <w:rsid w:val="00A94DA3"/>
    <w:rsid w:val="00A9503E"/>
    <w:rsid w:val="00A95961"/>
    <w:rsid w:val="00A979A8"/>
    <w:rsid w:val="00A97AE1"/>
    <w:rsid w:val="00A97E82"/>
    <w:rsid w:val="00A97FB7"/>
    <w:rsid w:val="00AA0269"/>
    <w:rsid w:val="00AA04EC"/>
    <w:rsid w:val="00AA0B3A"/>
    <w:rsid w:val="00AA0C8D"/>
    <w:rsid w:val="00AA1949"/>
    <w:rsid w:val="00AA1B2A"/>
    <w:rsid w:val="00AA25CD"/>
    <w:rsid w:val="00AA2614"/>
    <w:rsid w:val="00AA2D3F"/>
    <w:rsid w:val="00AA4CF6"/>
    <w:rsid w:val="00AA6165"/>
    <w:rsid w:val="00AA6660"/>
    <w:rsid w:val="00AA6C8D"/>
    <w:rsid w:val="00AA6D2B"/>
    <w:rsid w:val="00AA7C58"/>
    <w:rsid w:val="00AB0A7B"/>
    <w:rsid w:val="00AB11B0"/>
    <w:rsid w:val="00AB1C00"/>
    <w:rsid w:val="00AB3B75"/>
    <w:rsid w:val="00AB4323"/>
    <w:rsid w:val="00AB5362"/>
    <w:rsid w:val="00AB5BA9"/>
    <w:rsid w:val="00AB6D37"/>
    <w:rsid w:val="00AB73BC"/>
    <w:rsid w:val="00AB7738"/>
    <w:rsid w:val="00AC0003"/>
    <w:rsid w:val="00AC0B59"/>
    <w:rsid w:val="00AC19D0"/>
    <w:rsid w:val="00AC1C67"/>
    <w:rsid w:val="00AC1E47"/>
    <w:rsid w:val="00AC1EFD"/>
    <w:rsid w:val="00AC2151"/>
    <w:rsid w:val="00AC242A"/>
    <w:rsid w:val="00AC2D2A"/>
    <w:rsid w:val="00AC36F4"/>
    <w:rsid w:val="00AC3C3C"/>
    <w:rsid w:val="00AC4103"/>
    <w:rsid w:val="00AC45CC"/>
    <w:rsid w:val="00AC488A"/>
    <w:rsid w:val="00AC4AB3"/>
    <w:rsid w:val="00AC579A"/>
    <w:rsid w:val="00AC689B"/>
    <w:rsid w:val="00AC68B1"/>
    <w:rsid w:val="00AC69D5"/>
    <w:rsid w:val="00AC74B8"/>
    <w:rsid w:val="00AD04A1"/>
    <w:rsid w:val="00AD05D9"/>
    <w:rsid w:val="00AD09E0"/>
    <w:rsid w:val="00AD2E05"/>
    <w:rsid w:val="00AD302A"/>
    <w:rsid w:val="00AD314E"/>
    <w:rsid w:val="00AD4324"/>
    <w:rsid w:val="00AD4593"/>
    <w:rsid w:val="00AD4CE0"/>
    <w:rsid w:val="00AD4FA5"/>
    <w:rsid w:val="00AD517D"/>
    <w:rsid w:val="00AD632E"/>
    <w:rsid w:val="00AD6519"/>
    <w:rsid w:val="00AD66E5"/>
    <w:rsid w:val="00AD67B1"/>
    <w:rsid w:val="00AD758B"/>
    <w:rsid w:val="00AD7EE4"/>
    <w:rsid w:val="00AE00AB"/>
    <w:rsid w:val="00AE03E3"/>
    <w:rsid w:val="00AE1B62"/>
    <w:rsid w:val="00AE2A6D"/>
    <w:rsid w:val="00AE2FB6"/>
    <w:rsid w:val="00AE2FDB"/>
    <w:rsid w:val="00AE3844"/>
    <w:rsid w:val="00AE3E9F"/>
    <w:rsid w:val="00AE4B77"/>
    <w:rsid w:val="00AE5821"/>
    <w:rsid w:val="00AE58E0"/>
    <w:rsid w:val="00AE5E65"/>
    <w:rsid w:val="00AE645C"/>
    <w:rsid w:val="00AE77F7"/>
    <w:rsid w:val="00AF2010"/>
    <w:rsid w:val="00AF23CD"/>
    <w:rsid w:val="00AF2C4C"/>
    <w:rsid w:val="00AF3407"/>
    <w:rsid w:val="00AF3FCC"/>
    <w:rsid w:val="00AF425C"/>
    <w:rsid w:val="00AF4E3C"/>
    <w:rsid w:val="00AF5970"/>
    <w:rsid w:val="00AF6669"/>
    <w:rsid w:val="00AF72BC"/>
    <w:rsid w:val="00AF734C"/>
    <w:rsid w:val="00B00190"/>
    <w:rsid w:val="00B01280"/>
    <w:rsid w:val="00B02E9E"/>
    <w:rsid w:val="00B0353E"/>
    <w:rsid w:val="00B04D5D"/>
    <w:rsid w:val="00B05B72"/>
    <w:rsid w:val="00B06CA5"/>
    <w:rsid w:val="00B06D7E"/>
    <w:rsid w:val="00B074FF"/>
    <w:rsid w:val="00B108AC"/>
    <w:rsid w:val="00B11DEA"/>
    <w:rsid w:val="00B13038"/>
    <w:rsid w:val="00B13427"/>
    <w:rsid w:val="00B13DD7"/>
    <w:rsid w:val="00B14517"/>
    <w:rsid w:val="00B1581D"/>
    <w:rsid w:val="00B15D03"/>
    <w:rsid w:val="00B1656E"/>
    <w:rsid w:val="00B16798"/>
    <w:rsid w:val="00B211FE"/>
    <w:rsid w:val="00B22B0B"/>
    <w:rsid w:val="00B22F66"/>
    <w:rsid w:val="00B232DF"/>
    <w:rsid w:val="00B23554"/>
    <w:rsid w:val="00B24541"/>
    <w:rsid w:val="00B249BE"/>
    <w:rsid w:val="00B252F1"/>
    <w:rsid w:val="00B254AA"/>
    <w:rsid w:val="00B25B79"/>
    <w:rsid w:val="00B267C0"/>
    <w:rsid w:val="00B27456"/>
    <w:rsid w:val="00B2753D"/>
    <w:rsid w:val="00B27EC7"/>
    <w:rsid w:val="00B300E3"/>
    <w:rsid w:val="00B30D32"/>
    <w:rsid w:val="00B30E19"/>
    <w:rsid w:val="00B312AA"/>
    <w:rsid w:val="00B31AA5"/>
    <w:rsid w:val="00B31FF9"/>
    <w:rsid w:val="00B326D8"/>
    <w:rsid w:val="00B32870"/>
    <w:rsid w:val="00B34450"/>
    <w:rsid w:val="00B34EB1"/>
    <w:rsid w:val="00B35696"/>
    <w:rsid w:val="00B36AD9"/>
    <w:rsid w:val="00B36EF0"/>
    <w:rsid w:val="00B3750A"/>
    <w:rsid w:val="00B3786F"/>
    <w:rsid w:val="00B407EB"/>
    <w:rsid w:val="00B40D9A"/>
    <w:rsid w:val="00B42549"/>
    <w:rsid w:val="00B427AE"/>
    <w:rsid w:val="00B42B84"/>
    <w:rsid w:val="00B4319C"/>
    <w:rsid w:val="00B434D6"/>
    <w:rsid w:val="00B439B5"/>
    <w:rsid w:val="00B44758"/>
    <w:rsid w:val="00B44DE5"/>
    <w:rsid w:val="00B453EC"/>
    <w:rsid w:val="00B4562D"/>
    <w:rsid w:val="00B45646"/>
    <w:rsid w:val="00B45BA6"/>
    <w:rsid w:val="00B4655B"/>
    <w:rsid w:val="00B46697"/>
    <w:rsid w:val="00B472DA"/>
    <w:rsid w:val="00B478AB"/>
    <w:rsid w:val="00B5022C"/>
    <w:rsid w:val="00B507F1"/>
    <w:rsid w:val="00B50B07"/>
    <w:rsid w:val="00B50E77"/>
    <w:rsid w:val="00B50EFF"/>
    <w:rsid w:val="00B51EB0"/>
    <w:rsid w:val="00B52A3F"/>
    <w:rsid w:val="00B52CCF"/>
    <w:rsid w:val="00B5497A"/>
    <w:rsid w:val="00B54FBA"/>
    <w:rsid w:val="00B5665B"/>
    <w:rsid w:val="00B56A3D"/>
    <w:rsid w:val="00B572E1"/>
    <w:rsid w:val="00B57ACF"/>
    <w:rsid w:val="00B6060D"/>
    <w:rsid w:val="00B615AA"/>
    <w:rsid w:val="00B62069"/>
    <w:rsid w:val="00B621C1"/>
    <w:rsid w:val="00B62655"/>
    <w:rsid w:val="00B63019"/>
    <w:rsid w:val="00B637D4"/>
    <w:rsid w:val="00B6410D"/>
    <w:rsid w:val="00B6421D"/>
    <w:rsid w:val="00B64CB0"/>
    <w:rsid w:val="00B652BD"/>
    <w:rsid w:val="00B65722"/>
    <w:rsid w:val="00B70187"/>
    <w:rsid w:val="00B70476"/>
    <w:rsid w:val="00B70C6A"/>
    <w:rsid w:val="00B713C7"/>
    <w:rsid w:val="00B71810"/>
    <w:rsid w:val="00B719C4"/>
    <w:rsid w:val="00B71BFB"/>
    <w:rsid w:val="00B71F9F"/>
    <w:rsid w:val="00B72C6B"/>
    <w:rsid w:val="00B732C8"/>
    <w:rsid w:val="00B73522"/>
    <w:rsid w:val="00B736F4"/>
    <w:rsid w:val="00B73961"/>
    <w:rsid w:val="00B74633"/>
    <w:rsid w:val="00B74974"/>
    <w:rsid w:val="00B7532D"/>
    <w:rsid w:val="00B75815"/>
    <w:rsid w:val="00B75A95"/>
    <w:rsid w:val="00B75D29"/>
    <w:rsid w:val="00B75E55"/>
    <w:rsid w:val="00B760E5"/>
    <w:rsid w:val="00B7648E"/>
    <w:rsid w:val="00B769AD"/>
    <w:rsid w:val="00B77161"/>
    <w:rsid w:val="00B80D13"/>
    <w:rsid w:val="00B81239"/>
    <w:rsid w:val="00B8166A"/>
    <w:rsid w:val="00B823EE"/>
    <w:rsid w:val="00B82CE9"/>
    <w:rsid w:val="00B83575"/>
    <w:rsid w:val="00B83C87"/>
    <w:rsid w:val="00B84C07"/>
    <w:rsid w:val="00B84C1A"/>
    <w:rsid w:val="00B85213"/>
    <w:rsid w:val="00B86555"/>
    <w:rsid w:val="00B86E53"/>
    <w:rsid w:val="00B876E0"/>
    <w:rsid w:val="00B87A6F"/>
    <w:rsid w:val="00B87ADF"/>
    <w:rsid w:val="00B87DDA"/>
    <w:rsid w:val="00B90078"/>
    <w:rsid w:val="00B90230"/>
    <w:rsid w:val="00B90456"/>
    <w:rsid w:val="00B9057B"/>
    <w:rsid w:val="00B9169B"/>
    <w:rsid w:val="00B924F6"/>
    <w:rsid w:val="00B929F3"/>
    <w:rsid w:val="00B92C52"/>
    <w:rsid w:val="00B93681"/>
    <w:rsid w:val="00B93781"/>
    <w:rsid w:val="00B93B28"/>
    <w:rsid w:val="00B944CA"/>
    <w:rsid w:val="00B94515"/>
    <w:rsid w:val="00B94F4E"/>
    <w:rsid w:val="00B951CE"/>
    <w:rsid w:val="00B955CF"/>
    <w:rsid w:val="00B97D0F"/>
    <w:rsid w:val="00B97F43"/>
    <w:rsid w:val="00BA0D07"/>
    <w:rsid w:val="00BA10C5"/>
    <w:rsid w:val="00BA11F9"/>
    <w:rsid w:val="00BA1D9F"/>
    <w:rsid w:val="00BA24EB"/>
    <w:rsid w:val="00BA2C6E"/>
    <w:rsid w:val="00BA366A"/>
    <w:rsid w:val="00BA38FF"/>
    <w:rsid w:val="00BA65CA"/>
    <w:rsid w:val="00BA7082"/>
    <w:rsid w:val="00BA70F9"/>
    <w:rsid w:val="00BA71B7"/>
    <w:rsid w:val="00BA7250"/>
    <w:rsid w:val="00BA770B"/>
    <w:rsid w:val="00BA77C7"/>
    <w:rsid w:val="00BB05B4"/>
    <w:rsid w:val="00BB0E97"/>
    <w:rsid w:val="00BB1896"/>
    <w:rsid w:val="00BB1EDB"/>
    <w:rsid w:val="00BB24A3"/>
    <w:rsid w:val="00BB2DDF"/>
    <w:rsid w:val="00BB380B"/>
    <w:rsid w:val="00BB3B03"/>
    <w:rsid w:val="00BB3C1E"/>
    <w:rsid w:val="00BB4439"/>
    <w:rsid w:val="00BB44B2"/>
    <w:rsid w:val="00BB48DE"/>
    <w:rsid w:val="00BB4FD4"/>
    <w:rsid w:val="00BB7035"/>
    <w:rsid w:val="00BC179E"/>
    <w:rsid w:val="00BC192A"/>
    <w:rsid w:val="00BC2310"/>
    <w:rsid w:val="00BC2432"/>
    <w:rsid w:val="00BC25DA"/>
    <w:rsid w:val="00BC2C5D"/>
    <w:rsid w:val="00BC300C"/>
    <w:rsid w:val="00BC41D5"/>
    <w:rsid w:val="00BC51AA"/>
    <w:rsid w:val="00BC5B2D"/>
    <w:rsid w:val="00BC5D4A"/>
    <w:rsid w:val="00BC5DB3"/>
    <w:rsid w:val="00BC63CA"/>
    <w:rsid w:val="00BC6BF0"/>
    <w:rsid w:val="00BC758D"/>
    <w:rsid w:val="00BC77CD"/>
    <w:rsid w:val="00BD17DD"/>
    <w:rsid w:val="00BD24B1"/>
    <w:rsid w:val="00BD26CA"/>
    <w:rsid w:val="00BD3D5E"/>
    <w:rsid w:val="00BD3DDB"/>
    <w:rsid w:val="00BD42C3"/>
    <w:rsid w:val="00BD4CBF"/>
    <w:rsid w:val="00BD5345"/>
    <w:rsid w:val="00BD57D1"/>
    <w:rsid w:val="00BD74AA"/>
    <w:rsid w:val="00BD7AF2"/>
    <w:rsid w:val="00BD7B46"/>
    <w:rsid w:val="00BE079E"/>
    <w:rsid w:val="00BE07DF"/>
    <w:rsid w:val="00BE17FE"/>
    <w:rsid w:val="00BE204F"/>
    <w:rsid w:val="00BE21C4"/>
    <w:rsid w:val="00BE22C9"/>
    <w:rsid w:val="00BE2480"/>
    <w:rsid w:val="00BE2F15"/>
    <w:rsid w:val="00BE464B"/>
    <w:rsid w:val="00BE4655"/>
    <w:rsid w:val="00BE48A4"/>
    <w:rsid w:val="00BE61B6"/>
    <w:rsid w:val="00BE66B6"/>
    <w:rsid w:val="00BE67BF"/>
    <w:rsid w:val="00BE67F4"/>
    <w:rsid w:val="00BE6D13"/>
    <w:rsid w:val="00BE78F7"/>
    <w:rsid w:val="00BE7B01"/>
    <w:rsid w:val="00BE7B37"/>
    <w:rsid w:val="00BF006C"/>
    <w:rsid w:val="00BF01BE"/>
    <w:rsid w:val="00BF035E"/>
    <w:rsid w:val="00BF07D7"/>
    <w:rsid w:val="00BF1E77"/>
    <w:rsid w:val="00BF1ED9"/>
    <w:rsid w:val="00BF1EFE"/>
    <w:rsid w:val="00BF22FF"/>
    <w:rsid w:val="00BF23D8"/>
    <w:rsid w:val="00BF24E6"/>
    <w:rsid w:val="00BF2751"/>
    <w:rsid w:val="00BF28F5"/>
    <w:rsid w:val="00BF313A"/>
    <w:rsid w:val="00BF35A1"/>
    <w:rsid w:val="00BF3B56"/>
    <w:rsid w:val="00BF4982"/>
    <w:rsid w:val="00BF4F23"/>
    <w:rsid w:val="00BF515F"/>
    <w:rsid w:val="00BF55E4"/>
    <w:rsid w:val="00BF7537"/>
    <w:rsid w:val="00C00304"/>
    <w:rsid w:val="00C0058D"/>
    <w:rsid w:val="00C00C1C"/>
    <w:rsid w:val="00C01604"/>
    <w:rsid w:val="00C01C96"/>
    <w:rsid w:val="00C02627"/>
    <w:rsid w:val="00C02FD3"/>
    <w:rsid w:val="00C03DDF"/>
    <w:rsid w:val="00C05954"/>
    <w:rsid w:val="00C06ECE"/>
    <w:rsid w:val="00C075D8"/>
    <w:rsid w:val="00C07856"/>
    <w:rsid w:val="00C10FF4"/>
    <w:rsid w:val="00C11D3C"/>
    <w:rsid w:val="00C12345"/>
    <w:rsid w:val="00C13152"/>
    <w:rsid w:val="00C134FC"/>
    <w:rsid w:val="00C1359B"/>
    <w:rsid w:val="00C13615"/>
    <w:rsid w:val="00C13E19"/>
    <w:rsid w:val="00C14F59"/>
    <w:rsid w:val="00C15C9C"/>
    <w:rsid w:val="00C16213"/>
    <w:rsid w:val="00C16428"/>
    <w:rsid w:val="00C16C8A"/>
    <w:rsid w:val="00C17027"/>
    <w:rsid w:val="00C175A3"/>
    <w:rsid w:val="00C176BB"/>
    <w:rsid w:val="00C178AB"/>
    <w:rsid w:val="00C17D41"/>
    <w:rsid w:val="00C20B14"/>
    <w:rsid w:val="00C2124C"/>
    <w:rsid w:val="00C21E11"/>
    <w:rsid w:val="00C2213C"/>
    <w:rsid w:val="00C226CB"/>
    <w:rsid w:val="00C226E5"/>
    <w:rsid w:val="00C23A06"/>
    <w:rsid w:val="00C24CB3"/>
    <w:rsid w:val="00C2558A"/>
    <w:rsid w:val="00C26029"/>
    <w:rsid w:val="00C2627E"/>
    <w:rsid w:val="00C2788F"/>
    <w:rsid w:val="00C316F4"/>
    <w:rsid w:val="00C319EB"/>
    <w:rsid w:val="00C31E28"/>
    <w:rsid w:val="00C32547"/>
    <w:rsid w:val="00C32749"/>
    <w:rsid w:val="00C327E2"/>
    <w:rsid w:val="00C328F4"/>
    <w:rsid w:val="00C32A9A"/>
    <w:rsid w:val="00C32C12"/>
    <w:rsid w:val="00C33028"/>
    <w:rsid w:val="00C33ADE"/>
    <w:rsid w:val="00C34C82"/>
    <w:rsid w:val="00C35374"/>
    <w:rsid w:val="00C360A6"/>
    <w:rsid w:val="00C36763"/>
    <w:rsid w:val="00C369C1"/>
    <w:rsid w:val="00C37A57"/>
    <w:rsid w:val="00C37EA9"/>
    <w:rsid w:val="00C37EDF"/>
    <w:rsid w:val="00C408E5"/>
    <w:rsid w:val="00C428C5"/>
    <w:rsid w:val="00C4295D"/>
    <w:rsid w:val="00C43398"/>
    <w:rsid w:val="00C4380E"/>
    <w:rsid w:val="00C43F4E"/>
    <w:rsid w:val="00C440E6"/>
    <w:rsid w:val="00C4445A"/>
    <w:rsid w:val="00C4497C"/>
    <w:rsid w:val="00C458DC"/>
    <w:rsid w:val="00C4688F"/>
    <w:rsid w:val="00C46933"/>
    <w:rsid w:val="00C46D66"/>
    <w:rsid w:val="00C46DB7"/>
    <w:rsid w:val="00C46F72"/>
    <w:rsid w:val="00C47130"/>
    <w:rsid w:val="00C474F0"/>
    <w:rsid w:val="00C47A8D"/>
    <w:rsid w:val="00C47B01"/>
    <w:rsid w:val="00C47C30"/>
    <w:rsid w:val="00C50048"/>
    <w:rsid w:val="00C50099"/>
    <w:rsid w:val="00C5047E"/>
    <w:rsid w:val="00C51443"/>
    <w:rsid w:val="00C51A40"/>
    <w:rsid w:val="00C51B4F"/>
    <w:rsid w:val="00C51F3D"/>
    <w:rsid w:val="00C51F3F"/>
    <w:rsid w:val="00C534E4"/>
    <w:rsid w:val="00C53EB7"/>
    <w:rsid w:val="00C5471C"/>
    <w:rsid w:val="00C54A15"/>
    <w:rsid w:val="00C55432"/>
    <w:rsid w:val="00C55743"/>
    <w:rsid w:val="00C558F6"/>
    <w:rsid w:val="00C55D33"/>
    <w:rsid w:val="00C55E6C"/>
    <w:rsid w:val="00C5730A"/>
    <w:rsid w:val="00C6036C"/>
    <w:rsid w:val="00C61BBC"/>
    <w:rsid w:val="00C62150"/>
    <w:rsid w:val="00C625D0"/>
    <w:rsid w:val="00C63390"/>
    <w:rsid w:val="00C63D41"/>
    <w:rsid w:val="00C64A7E"/>
    <w:rsid w:val="00C6547F"/>
    <w:rsid w:val="00C65F80"/>
    <w:rsid w:val="00C65FD1"/>
    <w:rsid w:val="00C700FC"/>
    <w:rsid w:val="00C7083E"/>
    <w:rsid w:val="00C70AB3"/>
    <w:rsid w:val="00C71793"/>
    <w:rsid w:val="00C71E36"/>
    <w:rsid w:val="00C725B2"/>
    <w:rsid w:val="00C72DEB"/>
    <w:rsid w:val="00C740D2"/>
    <w:rsid w:val="00C74224"/>
    <w:rsid w:val="00C74B66"/>
    <w:rsid w:val="00C75B1F"/>
    <w:rsid w:val="00C77DAB"/>
    <w:rsid w:val="00C80051"/>
    <w:rsid w:val="00C80623"/>
    <w:rsid w:val="00C80710"/>
    <w:rsid w:val="00C81DE6"/>
    <w:rsid w:val="00C82627"/>
    <w:rsid w:val="00C82AA9"/>
    <w:rsid w:val="00C83632"/>
    <w:rsid w:val="00C83795"/>
    <w:rsid w:val="00C8416D"/>
    <w:rsid w:val="00C84884"/>
    <w:rsid w:val="00C84A7C"/>
    <w:rsid w:val="00C85781"/>
    <w:rsid w:val="00C859AE"/>
    <w:rsid w:val="00C85E82"/>
    <w:rsid w:val="00C8710B"/>
    <w:rsid w:val="00C8769D"/>
    <w:rsid w:val="00C87DE5"/>
    <w:rsid w:val="00C90295"/>
    <w:rsid w:val="00C90934"/>
    <w:rsid w:val="00C9207F"/>
    <w:rsid w:val="00C92553"/>
    <w:rsid w:val="00C925EA"/>
    <w:rsid w:val="00C92CAF"/>
    <w:rsid w:val="00C93331"/>
    <w:rsid w:val="00C93850"/>
    <w:rsid w:val="00C95A00"/>
    <w:rsid w:val="00C95E53"/>
    <w:rsid w:val="00C96C9C"/>
    <w:rsid w:val="00C96DB5"/>
    <w:rsid w:val="00C97092"/>
    <w:rsid w:val="00C972C7"/>
    <w:rsid w:val="00C97963"/>
    <w:rsid w:val="00C97B8E"/>
    <w:rsid w:val="00CA00F6"/>
    <w:rsid w:val="00CA048A"/>
    <w:rsid w:val="00CA1E81"/>
    <w:rsid w:val="00CA303D"/>
    <w:rsid w:val="00CA3765"/>
    <w:rsid w:val="00CA3931"/>
    <w:rsid w:val="00CA46E1"/>
    <w:rsid w:val="00CA4D24"/>
    <w:rsid w:val="00CA4EDC"/>
    <w:rsid w:val="00CA541D"/>
    <w:rsid w:val="00CA55CF"/>
    <w:rsid w:val="00CA5719"/>
    <w:rsid w:val="00CA5BFA"/>
    <w:rsid w:val="00CA60DC"/>
    <w:rsid w:val="00CA6775"/>
    <w:rsid w:val="00CA6D9B"/>
    <w:rsid w:val="00CA78CC"/>
    <w:rsid w:val="00CA7E23"/>
    <w:rsid w:val="00CB0320"/>
    <w:rsid w:val="00CB0423"/>
    <w:rsid w:val="00CB0B68"/>
    <w:rsid w:val="00CB10F6"/>
    <w:rsid w:val="00CB148D"/>
    <w:rsid w:val="00CB1DDE"/>
    <w:rsid w:val="00CB2144"/>
    <w:rsid w:val="00CB2AA3"/>
    <w:rsid w:val="00CB303A"/>
    <w:rsid w:val="00CB441E"/>
    <w:rsid w:val="00CB49F3"/>
    <w:rsid w:val="00CB5615"/>
    <w:rsid w:val="00CB5B7F"/>
    <w:rsid w:val="00CB6C62"/>
    <w:rsid w:val="00CB6D5C"/>
    <w:rsid w:val="00CB7C5A"/>
    <w:rsid w:val="00CC2852"/>
    <w:rsid w:val="00CC2921"/>
    <w:rsid w:val="00CC33B8"/>
    <w:rsid w:val="00CC3B5A"/>
    <w:rsid w:val="00CC3CA1"/>
    <w:rsid w:val="00CC3DD6"/>
    <w:rsid w:val="00CC54B2"/>
    <w:rsid w:val="00CC652E"/>
    <w:rsid w:val="00CC7A73"/>
    <w:rsid w:val="00CD0711"/>
    <w:rsid w:val="00CD0769"/>
    <w:rsid w:val="00CD08CB"/>
    <w:rsid w:val="00CD0E23"/>
    <w:rsid w:val="00CD10DD"/>
    <w:rsid w:val="00CD164E"/>
    <w:rsid w:val="00CD2671"/>
    <w:rsid w:val="00CD267A"/>
    <w:rsid w:val="00CD33AF"/>
    <w:rsid w:val="00CD35B9"/>
    <w:rsid w:val="00CD39A4"/>
    <w:rsid w:val="00CD3F1D"/>
    <w:rsid w:val="00CD4526"/>
    <w:rsid w:val="00CD47E8"/>
    <w:rsid w:val="00CD58D6"/>
    <w:rsid w:val="00CD5944"/>
    <w:rsid w:val="00CD5BE8"/>
    <w:rsid w:val="00CD6689"/>
    <w:rsid w:val="00CD6CF5"/>
    <w:rsid w:val="00CD760E"/>
    <w:rsid w:val="00CE0159"/>
    <w:rsid w:val="00CE1DBE"/>
    <w:rsid w:val="00CE2107"/>
    <w:rsid w:val="00CE2B31"/>
    <w:rsid w:val="00CE312C"/>
    <w:rsid w:val="00CE3298"/>
    <w:rsid w:val="00CE35E8"/>
    <w:rsid w:val="00CE3AFA"/>
    <w:rsid w:val="00CE5B7A"/>
    <w:rsid w:val="00CE69D8"/>
    <w:rsid w:val="00CE7035"/>
    <w:rsid w:val="00CE7213"/>
    <w:rsid w:val="00CE78BB"/>
    <w:rsid w:val="00CE7923"/>
    <w:rsid w:val="00CF06B9"/>
    <w:rsid w:val="00CF0E95"/>
    <w:rsid w:val="00CF0F39"/>
    <w:rsid w:val="00CF1739"/>
    <w:rsid w:val="00CF25D1"/>
    <w:rsid w:val="00CF29C4"/>
    <w:rsid w:val="00CF372B"/>
    <w:rsid w:val="00CF3856"/>
    <w:rsid w:val="00CF4B2E"/>
    <w:rsid w:val="00CF5C5C"/>
    <w:rsid w:val="00CF79C0"/>
    <w:rsid w:val="00CF7D11"/>
    <w:rsid w:val="00D0054C"/>
    <w:rsid w:val="00D0177C"/>
    <w:rsid w:val="00D01A8A"/>
    <w:rsid w:val="00D01D83"/>
    <w:rsid w:val="00D031ED"/>
    <w:rsid w:val="00D03824"/>
    <w:rsid w:val="00D03EC7"/>
    <w:rsid w:val="00D041AA"/>
    <w:rsid w:val="00D046A7"/>
    <w:rsid w:val="00D051EC"/>
    <w:rsid w:val="00D0553A"/>
    <w:rsid w:val="00D061E0"/>
    <w:rsid w:val="00D06805"/>
    <w:rsid w:val="00D0681F"/>
    <w:rsid w:val="00D1279B"/>
    <w:rsid w:val="00D12D92"/>
    <w:rsid w:val="00D12D9D"/>
    <w:rsid w:val="00D12E2B"/>
    <w:rsid w:val="00D13E12"/>
    <w:rsid w:val="00D14921"/>
    <w:rsid w:val="00D14ADC"/>
    <w:rsid w:val="00D15683"/>
    <w:rsid w:val="00D20578"/>
    <w:rsid w:val="00D2142E"/>
    <w:rsid w:val="00D22CF9"/>
    <w:rsid w:val="00D2446A"/>
    <w:rsid w:val="00D2454D"/>
    <w:rsid w:val="00D2485C"/>
    <w:rsid w:val="00D25423"/>
    <w:rsid w:val="00D2553F"/>
    <w:rsid w:val="00D2555E"/>
    <w:rsid w:val="00D25D76"/>
    <w:rsid w:val="00D27242"/>
    <w:rsid w:val="00D27F4D"/>
    <w:rsid w:val="00D311FD"/>
    <w:rsid w:val="00D32F5E"/>
    <w:rsid w:val="00D3342B"/>
    <w:rsid w:val="00D33738"/>
    <w:rsid w:val="00D33D41"/>
    <w:rsid w:val="00D34B06"/>
    <w:rsid w:val="00D34E8B"/>
    <w:rsid w:val="00D35DF2"/>
    <w:rsid w:val="00D36493"/>
    <w:rsid w:val="00D36730"/>
    <w:rsid w:val="00D3696E"/>
    <w:rsid w:val="00D37EDB"/>
    <w:rsid w:val="00D416B7"/>
    <w:rsid w:val="00D41DCB"/>
    <w:rsid w:val="00D42404"/>
    <w:rsid w:val="00D42EB5"/>
    <w:rsid w:val="00D4363C"/>
    <w:rsid w:val="00D43661"/>
    <w:rsid w:val="00D43C52"/>
    <w:rsid w:val="00D43D4F"/>
    <w:rsid w:val="00D448A8"/>
    <w:rsid w:val="00D448D9"/>
    <w:rsid w:val="00D44B72"/>
    <w:rsid w:val="00D4536B"/>
    <w:rsid w:val="00D4544E"/>
    <w:rsid w:val="00D45E90"/>
    <w:rsid w:val="00D461CC"/>
    <w:rsid w:val="00D4663C"/>
    <w:rsid w:val="00D46983"/>
    <w:rsid w:val="00D47345"/>
    <w:rsid w:val="00D474B8"/>
    <w:rsid w:val="00D47AA1"/>
    <w:rsid w:val="00D506E7"/>
    <w:rsid w:val="00D513AC"/>
    <w:rsid w:val="00D51D17"/>
    <w:rsid w:val="00D53362"/>
    <w:rsid w:val="00D536D5"/>
    <w:rsid w:val="00D54662"/>
    <w:rsid w:val="00D546A3"/>
    <w:rsid w:val="00D54D3E"/>
    <w:rsid w:val="00D55D1D"/>
    <w:rsid w:val="00D55D4F"/>
    <w:rsid w:val="00D5648A"/>
    <w:rsid w:val="00D56B47"/>
    <w:rsid w:val="00D57880"/>
    <w:rsid w:val="00D6042F"/>
    <w:rsid w:val="00D60914"/>
    <w:rsid w:val="00D60DBA"/>
    <w:rsid w:val="00D60E90"/>
    <w:rsid w:val="00D60EE6"/>
    <w:rsid w:val="00D61450"/>
    <w:rsid w:val="00D616B0"/>
    <w:rsid w:val="00D61808"/>
    <w:rsid w:val="00D61905"/>
    <w:rsid w:val="00D61B39"/>
    <w:rsid w:val="00D61F5E"/>
    <w:rsid w:val="00D622F2"/>
    <w:rsid w:val="00D62932"/>
    <w:rsid w:val="00D633FF"/>
    <w:rsid w:val="00D6361D"/>
    <w:rsid w:val="00D64087"/>
    <w:rsid w:val="00D64395"/>
    <w:rsid w:val="00D6467C"/>
    <w:rsid w:val="00D64A7B"/>
    <w:rsid w:val="00D66399"/>
    <w:rsid w:val="00D66477"/>
    <w:rsid w:val="00D66700"/>
    <w:rsid w:val="00D66932"/>
    <w:rsid w:val="00D674D6"/>
    <w:rsid w:val="00D6764B"/>
    <w:rsid w:val="00D67A38"/>
    <w:rsid w:val="00D67DFF"/>
    <w:rsid w:val="00D704D7"/>
    <w:rsid w:val="00D709F0"/>
    <w:rsid w:val="00D71314"/>
    <w:rsid w:val="00D71672"/>
    <w:rsid w:val="00D71EA5"/>
    <w:rsid w:val="00D723D0"/>
    <w:rsid w:val="00D72A3D"/>
    <w:rsid w:val="00D72E4C"/>
    <w:rsid w:val="00D73D47"/>
    <w:rsid w:val="00D7448C"/>
    <w:rsid w:val="00D74605"/>
    <w:rsid w:val="00D756BC"/>
    <w:rsid w:val="00D75CEC"/>
    <w:rsid w:val="00D76AB1"/>
    <w:rsid w:val="00D76F83"/>
    <w:rsid w:val="00D772F6"/>
    <w:rsid w:val="00D774BF"/>
    <w:rsid w:val="00D77862"/>
    <w:rsid w:val="00D81295"/>
    <w:rsid w:val="00D82795"/>
    <w:rsid w:val="00D827F0"/>
    <w:rsid w:val="00D82DDC"/>
    <w:rsid w:val="00D83250"/>
    <w:rsid w:val="00D83BA7"/>
    <w:rsid w:val="00D84917"/>
    <w:rsid w:val="00D84CD9"/>
    <w:rsid w:val="00D84E4D"/>
    <w:rsid w:val="00D84F7F"/>
    <w:rsid w:val="00D850F4"/>
    <w:rsid w:val="00D853E5"/>
    <w:rsid w:val="00D85908"/>
    <w:rsid w:val="00D8681A"/>
    <w:rsid w:val="00D87050"/>
    <w:rsid w:val="00D8733F"/>
    <w:rsid w:val="00D87472"/>
    <w:rsid w:val="00D87592"/>
    <w:rsid w:val="00D903C1"/>
    <w:rsid w:val="00D906BE"/>
    <w:rsid w:val="00D91156"/>
    <w:rsid w:val="00D9238C"/>
    <w:rsid w:val="00D924EB"/>
    <w:rsid w:val="00D92942"/>
    <w:rsid w:val="00D92E91"/>
    <w:rsid w:val="00D92EBA"/>
    <w:rsid w:val="00D92EC5"/>
    <w:rsid w:val="00D93983"/>
    <w:rsid w:val="00D93B7E"/>
    <w:rsid w:val="00D93ECC"/>
    <w:rsid w:val="00D9451B"/>
    <w:rsid w:val="00D94983"/>
    <w:rsid w:val="00D953BC"/>
    <w:rsid w:val="00D95D66"/>
    <w:rsid w:val="00D967B6"/>
    <w:rsid w:val="00D96A59"/>
    <w:rsid w:val="00D9727D"/>
    <w:rsid w:val="00D97538"/>
    <w:rsid w:val="00D97615"/>
    <w:rsid w:val="00D97DB7"/>
    <w:rsid w:val="00DA0366"/>
    <w:rsid w:val="00DA04EB"/>
    <w:rsid w:val="00DA0A00"/>
    <w:rsid w:val="00DA0B26"/>
    <w:rsid w:val="00DA21DC"/>
    <w:rsid w:val="00DA236F"/>
    <w:rsid w:val="00DA2A51"/>
    <w:rsid w:val="00DA46F0"/>
    <w:rsid w:val="00DA6F51"/>
    <w:rsid w:val="00DA7524"/>
    <w:rsid w:val="00DA7586"/>
    <w:rsid w:val="00DB0895"/>
    <w:rsid w:val="00DB08C3"/>
    <w:rsid w:val="00DB35E5"/>
    <w:rsid w:val="00DB39DF"/>
    <w:rsid w:val="00DB3BA5"/>
    <w:rsid w:val="00DB4B97"/>
    <w:rsid w:val="00DB4D08"/>
    <w:rsid w:val="00DB6A2C"/>
    <w:rsid w:val="00DB6A97"/>
    <w:rsid w:val="00DB790D"/>
    <w:rsid w:val="00DB7D14"/>
    <w:rsid w:val="00DC0979"/>
    <w:rsid w:val="00DC126E"/>
    <w:rsid w:val="00DC1D3C"/>
    <w:rsid w:val="00DC1E1A"/>
    <w:rsid w:val="00DC219E"/>
    <w:rsid w:val="00DC38E7"/>
    <w:rsid w:val="00DC51C7"/>
    <w:rsid w:val="00DC5E0E"/>
    <w:rsid w:val="00DC601F"/>
    <w:rsid w:val="00DC711A"/>
    <w:rsid w:val="00DC7E93"/>
    <w:rsid w:val="00DD01A0"/>
    <w:rsid w:val="00DD0214"/>
    <w:rsid w:val="00DD0277"/>
    <w:rsid w:val="00DD03BE"/>
    <w:rsid w:val="00DD13BD"/>
    <w:rsid w:val="00DD183E"/>
    <w:rsid w:val="00DD2287"/>
    <w:rsid w:val="00DD3E12"/>
    <w:rsid w:val="00DD4397"/>
    <w:rsid w:val="00DD470D"/>
    <w:rsid w:val="00DD4AAB"/>
    <w:rsid w:val="00DD549A"/>
    <w:rsid w:val="00DD6231"/>
    <w:rsid w:val="00DD6567"/>
    <w:rsid w:val="00DD6DAE"/>
    <w:rsid w:val="00DE0F8A"/>
    <w:rsid w:val="00DE10B9"/>
    <w:rsid w:val="00DE1121"/>
    <w:rsid w:val="00DE1282"/>
    <w:rsid w:val="00DE165A"/>
    <w:rsid w:val="00DE1C9F"/>
    <w:rsid w:val="00DE27A1"/>
    <w:rsid w:val="00DE2AD0"/>
    <w:rsid w:val="00DE3316"/>
    <w:rsid w:val="00DE3B04"/>
    <w:rsid w:val="00DE55BF"/>
    <w:rsid w:val="00DE5FAC"/>
    <w:rsid w:val="00DE67F2"/>
    <w:rsid w:val="00DE6E65"/>
    <w:rsid w:val="00DE7271"/>
    <w:rsid w:val="00DE7B98"/>
    <w:rsid w:val="00DE7D8E"/>
    <w:rsid w:val="00DF0FA3"/>
    <w:rsid w:val="00DF1A22"/>
    <w:rsid w:val="00DF204B"/>
    <w:rsid w:val="00DF2354"/>
    <w:rsid w:val="00DF2E81"/>
    <w:rsid w:val="00DF35CD"/>
    <w:rsid w:val="00DF3822"/>
    <w:rsid w:val="00DF3BE3"/>
    <w:rsid w:val="00DF4A77"/>
    <w:rsid w:val="00DF6C6B"/>
    <w:rsid w:val="00DF784D"/>
    <w:rsid w:val="00E00D37"/>
    <w:rsid w:val="00E00E93"/>
    <w:rsid w:val="00E00EC6"/>
    <w:rsid w:val="00E01986"/>
    <w:rsid w:val="00E02119"/>
    <w:rsid w:val="00E024C5"/>
    <w:rsid w:val="00E03CB7"/>
    <w:rsid w:val="00E040B4"/>
    <w:rsid w:val="00E042C8"/>
    <w:rsid w:val="00E04B00"/>
    <w:rsid w:val="00E04D47"/>
    <w:rsid w:val="00E04EE8"/>
    <w:rsid w:val="00E053DC"/>
    <w:rsid w:val="00E06A5F"/>
    <w:rsid w:val="00E06C2E"/>
    <w:rsid w:val="00E072F6"/>
    <w:rsid w:val="00E07930"/>
    <w:rsid w:val="00E07F14"/>
    <w:rsid w:val="00E10852"/>
    <w:rsid w:val="00E116C2"/>
    <w:rsid w:val="00E119A7"/>
    <w:rsid w:val="00E11BB7"/>
    <w:rsid w:val="00E12527"/>
    <w:rsid w:val="00E12DF5"/>
    <w:rsid w:val="00E12F58"/>
    <w:rsid w:val="00E14C44"/>
    <w:rsid w:val="00E15680"/>
    <w:rsid w:val="00E156F3"/>
    <w:rsid w:val="00E15A2A"/>
    <w:rsid w:val="00E15C96"/>
    <w:rsid w:val="00E15F8C"/>
    <w:rsid w:val="00E1646C"/>
    <w:rsid w:val="00E1652F"/>
    <w:rsid w:val="00E17901"/>
    <w:rsid w:val="00E204F6"/>
    <w:rsid w:val="00E20AE9"/>
    <w:rsid w:val="00E20EF4"/>
    <w:rsid w:val="00E20FBD"/>
    <w:rsid w:val="00E20FD9"/>
    <w:rsid w:val="00E21912"/>
    <w:rsid w:val="00E21B3D"/>
    <w:rsid w:val="00E2435E"/>
    <w:rsid w:val="00E25406"/>
    <w:rsid w:val="00E25A21"/>
    <w:rsid w:val="00E25C4B"/>
    <w:rsid w:val="00E25EF1"/>
    <w:rsid w:val="00E266DC"/>
    <w:rsid w:val="00E2721D"/>
    <w:rsid w:val="00E27D78"/>
    <w:rsid w:val="00E309EC"/>
    <w:rsid w:val="00E32201"/>
    <w:rsid w:val="00E324EA"/>
    <w:rsid w:val="00E32E30"/>
    <w:rsid w:val="00E34487"/>
    <w:rsid w:val="00E3629C"/>
    <w:rsid w:val="00E371BB"/>
    <w:rsid w:val="00E37469"/>
    <w:rsid w:val="00E37833"/>
    <w:rsid w:val="00E400F1"/>
    <w:rsid w:val="00E40F74"/>
    <w:rsid w:val="00E41021"/>
    <w:rsid w:val="00E41BC9"/>
    <w:rsid w:val="00E41BD4"/>
    <w:rsid w:val="00E42281"/>
    <w:rsid w:val="00E4241D"/>
    <w:rsid w:val="00E428E0"/>
    <w:rsid w:val="00E429D6"/>
    <w:rsid w:val="00E42CC1"/>
    <w:rsid w:val="00E42E84"/>
    <w:rsid w:val="00E437D8"/>
    <w:rsid w:val="00E44152"/>
    <w:rsid w:val="00E44562"/>
    <w:rsid w:val="00E45017"/>
    <w:rsid w:val="00E45319"/>
    <w:rsid w:val="00E45A1E"/>
    <w:rsid w:val="00E45BC5"/>
    <w:rsid w:val="00E465FD"/>
    <w:rsid w:val="00E46AE2"/>
    <w:rsid w:val="00E4708B"/>
    <w:rsid w:val="00E50DE3"/>
    <w:rsid w:val="00E50DEB"/>
    <w:rsid w:val="00E5115F"/>
    <w:rsid w:val="00E515C0"/>
    <w:rsid w:val="00E52B68"/>
    <w:rsid w:val="00E52BF9"/>
    <w:rsid w:val="00E52D07"/>
    <w:rsid w:val="00E53191"/>
    <w:rsid w:val="00E53737"/>
    <w:rsid w:val="00E538C4"/>
    <w:rsid w:val="00E53A7B"/>
    <w:rsid w:val="00E542FD"/>
    <w:rsid w:val="00E545F5"/>
    <w:rsid w:val="00E55C5F"/>
    <w:rsid w:val="00E55E9E"/>
    <w:rsid w:val="00E55FA7"/>
    <w:rsid w:val="00E57008"/>
    <w:rsid w:val="00E6179F"/>
    <w:rsid w:val="00E618CD"/>
    <w:rsid w:val="00E61D97"/>
    <w:rsid w:val="00E62E13"/>
    <w:rsid w:val="00E633A3"/>
    <w:rsid w:val="00E640B0"/>
    <w:rsid w:val="00E64D5E"/>
    <w:rsid w:val="00E64FE3"/>
    <w:rsid w:val="00E65E81"/>
    <w:rsid w:val="00E65FFB"/>
    <w:rsid w:val="00E70446"/>
    <w:rsid w:val="00E7077D"/>
    <w:rsid w:val="00E70D0D"/>
    <w:rsid w:val="00E70E52"/>
    <w:rsid w:val="00E7130E"/>
    <w:rsid w:val="00E71E69"/>
    <w:rsid w:val="00E725AB"/>
    <w:rsid w:val="00E72DEB"/>
    <w:rsid w:val="00E73672"/>
    <w:rsid w:val="00E73AA6"/>
    <w:rsid w:val="00E74969"/>
    <w:rsid w:val="00E75650"/>
    <w:rsid w:val="00E75939"/>
    <w:rsid w:val="00E75F0B"/>
    <w:rsid w:val="00E7620A"/>
    <w:rsid w:val="00E7626F"/>
    <w:rsid w:val="00E769B6"/>
    <w:rsid w:val="00E76B15"/>
    <w:rsid w:val="00E76BD2"/>
    <w:rsid w:val="00E76CD9"/>
    <w:rsid w:val="00E77379"/>
    <w:rsid w:val="00E778AB"/>
    <w:rsid w:val="00E804D7"/>
    <w:rsid w:val="00E8061D"/>
    <w:rsid w:val="00E818FE"/>
    <w:rsid w:val="00E8193C"/>
    <w:rsid w:val="00E81F6A"/>
    <w:rsid w:val="00E8202E"/>
    <w:rsid w:val="00E8284F"/>
    <w:rsid w:val="00E82BDE"/>
    <w:rsid w:val="00E83108"/>
    <w:rsid w:val="00E8383C"/>
    <w:rsid w:val="00E83E5C"/>
    <w:rsid w:val="00E846EA"/>
    <w:rsid w:val="00E84A68"/>
    <w:rsid w:val="00E84BCF"/>
    <w:rsid w:val="00E851B6"/>
    <w:rsid w:val="00E8585E"/>
    <w:rsid w:val="00E85B6D"/>
    <w:rsid w:val="00E86451"/>
    <w:rsid w:val="00E86616"/>
    <w:rsid w:val="00E86DC6"/>
    <w:rsid w:val="00E8755F"/>
    <w:rsid w:val="00E875C9"/>
    <w:rsid w:val="00E901D0"/>
    <w:rsid w:val="00E918F2"/>
    <w:rsid w:val="00E9194F"/>
    <w:rsid w:val="00E91AED"/>
    <w:rsid w:val="00E91E84"/>
    <w:rsid w:val="00E91EA5"/>
    <w:rsid w:val="00E92540"/>
    <w:rsid w:val="00E92695"/>
    <w:rsid w:val="00E930FF"/>
    <w:rsid w:val="00E9640B"/>
    <w:rsid w:val="00E9675E"/>
    <w:rsid w:val="00E96DF1"/>
    <w:rsid w:val="00E97177"/>
    <w:rsid w:val="00E97FF4"/>
    <w:rsid w:val="00EA02C5"/>
    <w:rsid w:val="00EA0B31"/>
    <w:rsid w:val="00EA0C09"/>
    <w:rsid w:val="00EA0D5D"/>
    <w:rsid w:val="00EA1FAE"/>
    <w:rsid w:val="00EA245B"/>
    <w:rsid w:val="00EA31B3"/>
    <w:rsid w:val="00EA3A3E"/>
    <w:rsid w:val="00EA602D"/>
    <w:rsid w:val="00EA63DE"/>
    <w:rsid w:val="00EB1794"/>
    <w:rsid w:val="00EB18F1"/>
    <w:rsid w:val="00EB1FA4"/>
    <w:rsid w:val="00EB2051"/>
    <w:rsid w:val="00EB3639"/>
    <w:rsid w:val="00EB3B0E"/>
    <w:rsid w:val="00EB3E13"/>
    <w:rsid w:val="00EB4888"/>
    <w:rsid w:val="00EB5095"/>
    <w:rsid w:val="00EB56E3"/>
    <w:rsid w:val="00EB58A6"/>
    <w:rsid w:val="00EB58DE"/>
    <w:rsid w:val="00EB5C52"/>
    <w:rsid w:val="00EB6A49"/>
    <w:rsid w:val="00EB7B52"/>
    <w:rsid w:val="00EC0077"/>
    <w:rsid w:val="00EC159A"/>
    <w:rsid w:val="00EC202A"/>
    <w:rsid w:val="00EC21C4"/>
    <w:rsid w:val="00EC24FB"/>
    <w:rsid w:val="00EC2576"/>
    <w:rsid w:val="00EC2D7F"/>
    <w:rsid w:val="00EC2FD5"/>
    <w:rsid w:val="00EC3440"/>
    <w:rsid w:val="00EC38E8"/>
    <w:rsid w:val="00EC4667"/>
    <w:rsid w:val="00EC51CC"/>
    <w:rsid w:val="00EC5DEB"/>
    <w:rsid w:val="00EC64B1"/>
    <w:rsid w:val="00EC6559"/>
    <w:rsid w:val="00EC6906"/>
    <w:rsid w:val="00EC6CAC"/>
    <w:rsid w:val="00EC7F70"/>
    <w:rsid w:val="00ED0A59"/>
    <w:rsid w:val="00ED1B68"/>
    <w:rsid w:val="00ED1F9D"/>
    <w:rsid w:val="00ED2858"/>
    <w:rsid w:val="00ED2B00"/>
    <w:rsid w:val="00ED2CA8"/>
    <w:rsid w:val="00ED341B"/>
    <w:rsid w:val="00ED38FC"/>
    <w:rsid w:val="00ED3B2A"/>
    <w:rsid w:val="00ED4330"/>
    <w:rsid w:val="00ED5205"/>
    <w:rsid w:val="00ED6423"/>
    <w:rsid w:val="00ED6B80"/>
    <w:rsid w:val="00ED6D26"/>
    <w:rsid w:val="00ED6F1A"/>
    <w:rsid w:val="00ED7A71"/>
    <w:rsid w:val="00EE080F"/>
    <w:rsid w:val="00EE0BAA"/>
    <w:rsid w:val="00EE1C03"/>
    <w:rsid w:val="00EE1C58"/>
    <w:rsid w:val="00EE2A8F"/>
    <w:rsid w:val="00EE2C03"/>
    <w:rsid w:val="00EE2CA6"/>
    <w:rsid w:val="00EE3031"/>
    <w:rsid w:val="00EE386B"/>
    <w:rsid w:val="00EE46C4"/>
    <w:rsid w:val="00EE4E76"/>
    <w:rsid w:val="00EE5188"/>
    <w:rsid w:val="00EE6310"/>
    <w:rsid w:val="00EE6868"/>
    <w:rsid w:val="00EE725B"/>
    <w:rsid w:val="00EF0837"/>
    <w:rsid w:val="00EF09CE"/>
    <w:rsid w:val="00EF0F2F"/>
    <w:rsid w:val="00EF1AB2"/>
    <w:rsid w:val="00EF1EDA"/>
    <w:rsid w:val="00EF1F2B"/>
    <w:rsid w:val="00EF2AD8"/>
    <w:rsid w:val="00EF344B"/>
    <w:rsid w:val="00EF3943"/>
    <w:rsid w:val="00EF3B9B"/>
    <w:rsid w:val="00EF3F01"/>
    <w:rsid w:val="00EF5A31"/>
    <w:rsid w:val="00EF5ACD"/>
    <w:rsid w:val="00EF5F72"/>
    <w:rsid w:val="00EF6294"/>
    <w:rsid w:val="00EF637B"/>
    <w:rsid w:val="00F035B0"/>
    <w:rsid w:val="00F04002"/>
    <w:rsid w:val="00F04917"/>
    <w:rsid w:val="00F0508C"/>
    <w:rsid w:val="00F0518F"/>
    <w:rsid w:val="00F0593C"/>
    <w:rsid w:val="00F06432"/>
    <w:rsid w:val="00F07308"/>
    <w:rsid w:val="00F074FC"/>
    <w:rsid w:val="00F109AD"/>
    <w:rsid w:val="00F117B5"/>
    <w:rsid w:val="00F12BFB"/>
    <w:rsid w:val="00F131D9"/>
    <w:rsid w:val="00F1344A"/>
    <w:rsid w:val="00F1362E"/>
    <w:rsid w:val="00F13641"/>
    <w:rsid w:val="00F13839"/>
    <w:rsid w:val="00F138A5"/>
    <w:rsid w:val="00F13910"/>
    <w:rsid w:val="00F1546F"/>
    <w:rsid w:val="00F167F3"/>
    <w:rsid w:val="00F16D0D"/>
    <w:rsid w:val="00F16F5A"/>
    <w:rsid w:val="00F17B15"/>
    <w:rsid w:val="00F17C53"/>
    <w:rsid w:val="00F20A2C"/>
    <w:rsid w:val="00F20DFE"/>
    <w:rsid w:val="00F21485"/>
    <w:rsid w:val="00F21C39"/>
    <w:rsid w:val="00F226CB"/>
    <w:rsid w:val="00F22824"/>
    <w:rsid w:val="00F233E5"/>
    <w:rsid w:val="00F23881"/>
    <w:rsid w:val="00F23903"/>
    <w:rsid w:val="00F239C0"/>
    <w:rsid w:val="00F23D30"/>
    <w:rsid w:val="00F23F76"/>
    <w:rsid w:val="00F24143"/>
    <w:rsid w:val="00F24425"/>
    <w:rsid w:val="00F24D3F"/>
    <w:rsid w:val="00F24F64"/>
    <w:rsid w:val="00F250BB"/>
    <w:rsid w:val="00F2545E"/>
    <w:rsid w:val="00F25B2B"/>
    <w:rsid w:val="00F25E7D"/>
    <w:rsid w:val="00F261FD"/>
    <w:rsid w:val="00F262E5"/>
    <w:rsid w:val="00F2638E"/>
    <w:rsid w:val="00F264AB"/>
    <w:rsid w:val="00F2714D"/>
    <w:rsid w:val="00F2719A"/>
    <w:rsid w:val="00F271B2"/>
    <w:rsid w:val="00F309D9"/>
    <w:rsid w:val="00F30F85"/>
    <w:rsid w:val="00F32210"/>
    <w:rsid w:val="00F3555F"/>
    <w:rsid w:val="00F36001"/>
    <w:rsid w:val="00F363B4"/>
    <w:rsid w:val="00F3670B"/>
    <w:rsid w:val="00F36BF5"/>
    <w:rsid w:val="00F37113"/>
    <w:rsid w:val="00F3777E"/>
    <w:rsid w:val="00F37CD6"/>
    <w:rsid w:val="00F408B0"/>
    <w:rsid w:val="00F40BE8"/>
    <w:rsid w:val="00F40F76"/>
    <w:rsid w:val="00F40FA1"/>
    <w:rsid w:val="00F4107F"/>
    <w:rsid w:val="00F41D22"/>
    <w:rsid w:val="00F420E9"/>
    <w:rsid w:val="00F4298E"/>
    <w:rsid w:val="00F430FE"/>
    <w:rsid w:val="00F431BF"/>
    <w:rsid w:val="00F431EC"/>
    <w:rsid w:val="00F43D78"/>
    <w:rsid w:val="00F43F8E"/>
    <w:rsid w:val="00F445C8"/>
    <w:rsid w:val="00F44C34"/>
    <w:rsid w:val="00F44DA3"/>
    <w:rsid w:val="00F44FDB"/>
    <w:rsid w:val="00F45184"/>
    <w:rsid w:val="00F451F5"/>
    <w:rsid w:val="00F453DC"/>
    <w:rsid w:val="00F46F33"/>
    <w:rsid w:val="00F47601"/>
    <w:rsid w:val="00F5237C"/>
    <w:rsid w:val="00F53993"/>
    <w:rsid w:val="00F53BF1"/>
    <w:rsid w:val="00F53E67"/>
    <w:rsid w:val="00F55285"/>
    <w:rsid w:val="00F556F8"/>
    <w:rsid w:val="00F55708"/>
    <w:rsid w:val="00F55CF7"/>
    <w:rsid w:val="00F565D1"/>
    <w:rsid w:val="00F56827"/>
    <w:rsid w:val="00F612A3"/>
    <w:rsid w:val="00F61919"/>
    <w:rsid w:val="00F620A4"/>
    <w:rsid w:val="00F62636"/>
    <w:rsid w:val="00F6278F"/>
    <w:rsid w:val="00F63030"/>
    <w:rsid w:val="00F63222"/>
    <w:rsid w:val="00F633FB"/>
    <w:rsid w:val="00F63772"/>
    <w:rsid w:val="00F63AB1"/>
    <w:rsid w:val="00F63C0C"/>
    <w:rsid w:val="00F644DB"/>
    <w:rsid w:val="00F64538"/>
    <w:rsid w:val="00F64F8B"/>
    <w:rsid w:val="00F650C5"/>
    <w:rsid w:val="00F6530A"/>
    <w:rsid w:val="00F654B0"/>
    <w:rsid w:val="00F6560F"/>
    <w:rsid w:val="00F659B0"/>
    <w:rsid w:val="00F65A7D"/>
    <w:rsid w:val="00F6686C"/>
    <w:rsid w:val="00F67306"/>
    <w:rsid w:val="00F6763B"/>
    <w:rsid w:val="00F676BF"/>
    <w:rsid w:val="00F67C8D"/>
    <w:rsid w:val="00F70076"/>
    <w:rsid w:val="00F71001"/>
    <w:rsid w:val="00F733BA"/>
    <w:rsid w:val="00F73441"/>
    <w:rsid w:val="00F7362D"/>
    <w:rsid w:val="00F73B97"/>
    <w:rsid w:val="00F73DF0"/>
    <w:rsid w:val="00F757EF"/>
    <w:rsid w:val="00F76BA3"/>
    <w:rsid w:val="00F803B8"/>
    <w:rsid w:val="00F80788"/>
    <w:rsid w:val="00F80907"/>
    <w:rsid w:val="00F8141F"/>
    <w:rsid w:val="00F816B7"/>
    <w:rsid w:val="00F81D46"/>
    <w:rsid w:val="00F82152"/>
    <w:rsid w:val="00F82993"/>
    <w:rsid w:val="00F82BB8"/>
    <w:rsid w:val="00F83CB3"/>
    <w:rsid w:val="00F83F61"/>
    <w:rsid w:val="00F84791"/>
    <w:rsid w:val="00F84D47"/>
    <w:rsid w:val="00F850BF"/>
    <w:rsid w:val="00F85930"/>
    <w:rsid w:val="00F87299"/>
    <w:rsid w:val="00F87A38"/>
    <w:rsid w:val="00F90749"/>
    <w:rsid w:val="00F920AD"/>
    <w:rsid w:val="00F9281D"/>
    <w:rsid w:val="00F93382"/>
    <w:rsid w:val="00F93DCB"/>
    <w:rsid w:val="00F93F96"/>
    <w:rsid w:val="00F949C8"/>
    <w:rsid w:val="00F95856"/>
    <w:rsid w:val="00F961EC"/>
    <w:rsid w:val="00FA2FEB"/>
    <w:rsid w:val="00FA32E5"/>
    <w:rsid w:val="00FA3A5E"/>
    <w:rsid w:val="00FA56CA"/>
    <w:rsid w:val="00FA65E4"/>
    <w:rsid w:val="00FA699B"/>
    <w:rsid w:val="00FB12C0"/>
    <w:rsid w:val="00FB1844"/>
    <w:rsid w:val="00FB21AE"/>
    <w:rsid w:val="00FB29E1"/>
    <w:rsid w:val="00FB2AB3"/>
    <w:rsid w:val="00FB31C8"/>
    <w:rsid w:val="00FB37F2"/>
    <w:rsid w:val="00FB3E90"/>
    <w:rsid w:val="00FB4233"/>
    <w:rsid w:val="00FB431D"/>
    <w:rsid w:val="00FB4349"/>
    <w:rsid w:val="00FB48A9"/>
    <w:rsid w:val="00FB56C3"/>
    <w:rsid w:val="00FB6C59"/>
    <w:rsid w:val="00FB6CF5"/>
    <w:rsid w:val="00FB6EE3"/>
    <w:rsid w:val="00FB75ED"/>
    <w:rsid w:val="00FB76D9"/>
    <w:rsid w:val="00FC0103"/>
    <w:rsid w:val="00FC0567"/>
    <w:rsid w:val="00FC0E33"/>
    <w:rsid w:val="00FC252D"/>
    <w:rsid w:val="00FC2F64"/>
    <w:rsid w:val="00FC3776"/>
    <w:rsid w:val="00FC4267"/>
    <w:rsid w:val="00FC44E7"/>
    <w:rsid w:val="00FC457C"/>
    <w:rsid w:val="00FC48C8"/>
    <w:rsid w:val="00FC5339"/>
    <w:rsid w:val="00FC5A22"/>
    <w:rsid w:val="00FC6874"/>
    <w:rsid w:val="00FC7440"/>
    <w:rsid w:val="00FC7D9A"/>
    <w:rsid w:val="00FD0735"/>
    <w:rsid w:val="00FD09CA"/>
    <w:rsid w:val="00FD0D5D"/>
    <w:rsid w:val="00FD11AF"/>
    <w:rsid w:val="00FD17EB"/>
    <w:rsid w:val="00FD1DA3"/>
    <w:rsid w:val="00FD1F7F"/>
    <w:rsid w:val="00FD2518"/>
    <w:rsid w:val="00FD301F"/>
    <w:rsid w:val="00FD3550"/>
    <w:rsid w:val="00FD3645"/>
    <w:rsid w:val="00FD39BD"/>
    <w:rsid w:val="00FD3AC9"/>
    <w:rsid w:val="00FD49BA"/>
    <w:rsid w:val="00FD56FE"/>
    <w:rsid w:val="00FD5724"/>
    <w:rsid w:val="00FD6743"/>
    <w:rsid w:val="00FE05B4"/>
    <w:rsid w:val="00FE08C8"/>
    <w:rsid w:val="00FE0B20"/>
    <w:rsid w:val="00FE0CAF"/>
    <w:rsid w:val="00FE1E74"/>
    <w:rsid w:val="00FE2294"/>
    <w:rsid w:val="00FE2559"/>
    <w:rsid w:val="00FE33B6"/>
    <w:rsid w:val="00FE3AEF"/>
    <w:rsid w:val="00FE4C68"/>
    <w:rsid w:val="00FE539D"/>
    <w:rsid w:val="00FE6703"/>
    <w:rsid w:val="00FE670F"/>
    <w:rsid w:val="00FE6A56"/>
    <w:rsid w:val="00FE72BB"/>
    <w:rsid w:val="00FE746F"/>
    <w:rsid w:val="00FE770A"/>
    <w:rsid w:val="00FF101C"/>
    <w:rsid w:val="00FF1259"/>
    <w:rsid w:val="00FF2B9B"/>
    <w:rsid w:val="00FF395E"/>
    <w:rsid w:val="00FF3B1D"/>
    <w:rsid w:val="00FF3BE7"/>
    <w:rsid w:val="00FF3F0C"/>
    <w:rsid w:val="00FF42C8"/>
    <w:rsid w:val="00FF4375"/>
    <w:rsid w:val="00FF4543"/>
    <w:rsid w:val="00FF5580"/>
    <w:rsid w:val="00FF56F2"/>
    <w:rsid w:val="00FF6426"/>
    <w:rsid w:val="00FF65F0"/>
    <w:rsid w:val="00FF6D20"/>
    <w:rsid w:val="00FF7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FF326"/>
  <w14:defaultImageDpi w14:val="330"/>
  <w15:docId w15:val="{E2714E24-3AFC-4ED0-BB2A-6697DC2C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000000" w:themeColor="text1"/>
        <w:sz w:val="24"/>
        <w:szCs w:val="24"/>
        <w:lang w:val="en-US" w:eastAsia="zh-CN"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FE1"/>
    <w:pPr>
      <w:jc w:val="both"/>
    </w:pPr>
    <w:rPr>
      <w:rFonts w:ascii="Harding Text Web Regular" w:hAnsi="Harding Text Web Regular"/>
      <w:sz w:val="18"/>
      <w:lang w:val="en-GB" w:eastAsia="da-DK"/>
    </w:rPr>
  </w:style>
  <w:style w:type="paragraph" w:styleId="Heading1">
    <w:name w:val="heading 1"/>
    <w:basedOn w:val="Normal"/>
    <w:next w:val="Normal"/>
    <w:link w:val="Heading1Char"/>
    <w:autoRedefine/>
    <w:uiPriority w:val="9"/>
    <w:qFormat/>
    <w:rsid w:val="00CB303A"/>
    <w:pPr>
      <w:keepNext/>
      <w:keepLines/>
      <w:tabs>
        <w:tab w:val="left" w:pos="360"/>
      </w:tabs>
      <w:spacing w:after="240" w:line="276" w:lineRule="auto"/>
      <w:outlineLvl w:val="0"/>
    </w:pPr>
    <w:rPr>
      <w:rFonts w:ascii="Harding Text Web Bold" w:hAnsi="Harding Text Web Bold"/>
      <w:color w:val="222D3A"/>
      <w:sz w:val="40"/>
    </w:rPr>
  </w:style>
  <w:style w:type="paragraph" w:styleId="Heading2">
    <w:name w:val="heading 2"/>
    <w:basedOn w:val="Heading1"/>
    <w:next w:val="Normal"/>
    <w:link w:val="Heading2Char"/>
    <w:autoRedefine/>
    <w:uiPriority w:val="9"/>
    <w:unhideWhenUsed/>
    <w:qFormat/>
    <w:rsid w:val="00B252F1"/>
    <w:pPr>
      <w:numPr>
        <w:numId w:val="3"/>
      </w:numPr>
      <w:tabs>
        <w:tab w:val="left" w:pos="0"/>
      </w:tabs>
      <w:suppressAutoHyphens/>
      <w:outlineLvl w:val="1"/>
    </w:pPr>
    <w:rPr>
      <w:rFonts w:ascii="Aptos" w:hAnsi="Aptos"/>
      <w:b/>
      <w:color w:val="454443"/>
      <w:sz w:val="28"/>
      <w:szCs w:val="40"/>
    </w:rPr>
  </w:style>
  <w:style w:type="paragraph" w:styleId="Heading3">
    <w:name w:val="heading 3"/>
    <w:basedOn w:val="Normal"/>
    <w:next w:val="Normal"/>
    <w:link w:val="Heading3Char"/>
    <w:autoRedefine/>
    <w:uiPriority w:val="9"/>
    <w:unhideWhenUsed/>
    <w:qFormat/>
    <w:rsid w:val="00007A17"/>
    <w:pPr>
      <w:keepNext/>
      <w:keepLines/>
      <w:suppressAutoHyphens/>
      <w:spacing w:before="200" w:after="240" w:line="240" w:lineRule="auto"/>
      <w:ind w:hanging="11"/>
      <w:outlineLvl w:val="2"/>
    </w:pPr>
    <w:rPr>
      <w:rFonts w:ascii="Harding Text Web Bold" w:eastAsiaTheme="majorEastAsia" w:hAnsi="Harding Text Web Bold"/>
      <w:bCs/>
      <w:color w:val="454443"/>
      <w:sz w:val="24"/>
    </w:rPr>
  </w:style>
  <w:style w:type="paragraph" w:styleId="Heading4">
    <w:name w:val="heading 4"/>
    <w:basedOn w:val="Normal"/>
    <w:next w:val="Normal"/>
    <w:link w:val="Heading4Char"/>
    <w:uiPriority w:val="9"/>
    <w:unhideWhenUsed/>
    <w:qFormat/>
    <w:rsid w:val="007237F7"/>
    <w:pPr>
      <w:outlineLvl w:val="3"/>
    </w:pPr>
    <w:rPr>
      <w:rFonts w:ascii="Harding Text Web Bold" w:hAnsi="Harding Text Web Bold"/>
      <w:color w:val="454443"/>
      <w:sz w:val="20"/>
      <w:szCs w:val="28"/>
    </w:rPr>
  </w:style>
  <w:style w:type="paragraph" w:styleId="Heading5">
    <w:name w:val="heading 5"/>
    <w:basedOn w:val="Normal"/>
    <w:next w:val="Normal"/>
    <w:link w:val="Heading5Char"/>
    <w:uiPriority w:val="9"/>
    <w:unhideWhenUsed/>
    <w:qFormat/>
    <w:rsid w:val="00C96C9C"/>
    <w:pPr>
      <w:keepNext/>
      <w:keepLines/>
      <w:numPr>
        <w:ilvl w:val="4"/>
        <w:numId w:val="1"/>
      </w:numPr>
      <w:spacing w:before="200" w:after="0"/>
      <w:outlineLvl w:val="4"/>
    </w:pPr>
    <w:rPr>
      <w:rFonts w:eastAsiaTheme="majorEastAsia" w:cstheme="majorBidi"/>
    </w:rPr>
  </w:style>
  <w:style w:type="paragraph" w:styleId="Heading6">
    <w:name w:val="heading 6"/>
    <w:basedOn w:val="Normal"/>
    <w:next w:val="Normal"/>
    <w:link w:val="Heading6Char"/>
    <w:uiPriority w:val="9"/>
    <w:unhideWhenUsed/>
    <w:qFormat/>
    <w:rsid w:val="00C96C9C"/>
    <w:pPr>
      <w:keepNext/>
      <w:keepLines/>
      <w:numPr>
        <w:ilvl w:val="5"/>
        <w:numId w:val="1"/>
      </w:numPr>
      <w:spacing w:before="200" w:after="0"/>
      <w:outlineLvl w:val="5"/>
    </w:pPr>
    <w:rPr>
      <w:rFonts w:eastAsiaTheme="majorEastAsia" w:cstheme="majorBidi"/>
      <w:i/>
      <w:iCs/>
    </w:rPr>
  </w:style>
  <w:style w:type="paragraph" w:styleId="Heading7">
    <w:name w:val="heading 7"/>
    <w:basedOn w:val="Normal"/>
    <w:next w:val="Normal"/>
    <w:link w:val="Heading7Char"/>
    <w:uiPriority w:val="9"/>
    <w:unhideWhenUsed/>
    <w:qFormat/>
    <w:rsid w:val="00C96C9C"/>
    <w:pPr>
      <w:keepNext/>
      <w:keepLines/>
      <w:numPr>
        <w:ilvl w:val="6"/>
        <w:numId w:val="1"/>
      </w:numPr>
      <w:spacing w:before="200"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C96C9C"/>
    <w:pPr>
      <w:keepNext/>
      <w:keepLines/>
      <w:numPr>
        <w:ilvl w:val="7"/>
        <w:numId w:val="1"/>
      </w:numPr>
      <w:spacing w:before="200"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C96C9C"/>
    <w:pPr>
      <w:keepNext/>
      <w:keepLines/>
      <w:numPr>
        <w:ilvl w:val="8"/>
        <w:numId w:val="1"/>
      </w:numPr>
      <w:spacing w:before="200" w:after="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03A"/>
    <w:rPr>
      <w:rFonts w:ascii="Harding Text Web Bold" w:hAnsi="Harding Text Web Bold"/>
      <w:color w:val="222D3A"/>
      <w:sz w:val="40"/>
      <w:lang w:val="en-GB" w:eastAsia="da-DK"/>
    </w:rPr>
  </w:style>
  <w:style w:type="character" w:customStyle="1" w:styleId="Heading2Char">
    <w:name w:val="Heading 2 Char"/>
    <w:basedOn w:val="DefaultParagraphFont"/>
    <w:link w:val="Heading2"/>
    <w:uiPriority w:val="9"/>
    <w:rsid w:val="00B252F1"/>
    <w:rPr>
      <w:rFonts w:ascii="Aptos" w:hAnsi="Aptos"/>
      <w:b/>
      <w:color w:val="454443"/>
      <w:sz w:val="28"/>
      <w:szCs w:val="40"/>
      <w:lang w:val="en-GB" w:eastAsia="da-DK"/>
    </w:rPr>
  </w:style>
  <w:style w:type="character" w:customStyle="1" w:styleId="Heading3Char">
    <w:name w:val="Heading 3 Char"/>
    <w:basedOn w:val="DefaultParagraphFont"/>
    <w:link w:val="Heading3"/>
    <w:uiPriority w:val="9"/>
    <w:rsid w:val="00007A17"/>
    <w:rPr>
      <w:rFonts w:ascii="Harding Text Web Bold" w:eastAsiaTheme="majorEastAsia" w:hAnsi="Harding Text Web Bold"/>
      <w:bCs/>
      <w:color w:val="454443"/>
      <w:lang w:val="en-GB" w:eastAsia="da-DK"/>
    </w:rPr>
  </w:style>
  <w:style w:type="character" w:customStyle="1" w:styleId="Heading4Char">
    <w:name w:val="Heading 4 Char"/>
    <w:basedOn w:val="DefaultParagraphFont"/>
    <w:link w:val="Heading4"/>
    <w:uiPriority w:val="9"/>
    <w:rsid w:val="007237F7"/>
    <w:rPr>
      <w:rFonts w:ascii="Harding Text Web Bold" w:hAnsi="Harding Text Web Bold"/>
      <w:color w:val="454443"/>
      <w:sz w:val="20"/>
      <w:szCs w:val="28"/>
      <w:lang w:val="en-GB" w:eastAsia="da-DK"/>
    </w:rPr>
  </w:style>
  <w:style w:type="character" w:customStyle="1" w:styleId="Heading5Char">
    <w:name w:val="Heading 5 Char"/>
    <w:basedOn w:val="DefaultParagraphFont"/>
    <w:link w:val="Heading5"/>
    <w:uiPriority w:val="9"/>
    <w:rsid w:val="00C96C9C"/>
    <w:rPr>
      <w:rFonts w:ascii="Harding Text Web Regular" w:eastAsiaTheme="majorEastAsia" w:hAnsi="Harding Text Web Regular" w:cstheme="majorBidi"/>
      <w:sz w:val="18"/>
      <w:lang w:val="en-GB" w:eastAsia="da-DK"/>
    </w:rPr>
  </w:style>
  <w:style w:type="character" w:customStyle="1" w:styleId="Heading6Char">
    <w:name w:val="Heading 6 Char"/>
    <w:basedOn w:val="DefaultParagraphFont"/>
    <w:link w:val="Heading6"/>
    <w:uiPriority w:val="9"/>
    <w:rsid w:val="00C96C9C"/>
    <w:rPr>
      <w:rFonts w:ascii="Harding Text Web Regular" w:eastAsiaTheme="majorEastAsia" w:hAnsi="Harding Text Web Regular" w:cstheme="majorBidi"/>
      <w:i/>
      <w:iCs/>
      <w:sz w:val="18"/>
      <w:lang w:val="en-GB" w:eastAsia="da-DK"/>
    </w:rPr>
  </w:style>
  <w:style w:type="character" w:customStyle="1" w:styleId="Heading7Char">
    <w:name w:val="Heading 7 Char"/>
    <w:basedOn w:val="DefaultParagraphFont"/>
    <w:link w:val="Heading7"/>
    <w:uiPriority w:val="9"/>
    <w:rsid w:val="00C96C9C"/>
    <w:rPr>
      <w:rFonts w:ascii="Harding Text Web Regular" w:eastAsiaTheme="majorEastAsia" w:hAnsi="Harding Text Web Regular" w:cstheme="majorBidi"/>
      <w:i/>
      <w:iCs/>
      <w:sz w:val="18"/>
      <w:lang w:val="en-GB" w:eastAsia="da-DK"/>
    </w:rPr>
  </w:style>
  <w:style w:type="character" w:customStyle="1" w:styleId="Heading8Char">
    <w:name w:val="Heading 8 Char"/>
    <w:basedOn w:val="DefaultParagraphFont"/>
    <w:link w:val="Heading8"/>
    <w:uiPriority w:val="9"/>
    <w:rsid w:val="00C96C9C"/>
    <w:rPr>
      <w:rFonts w:ascii="Harding Text Web Regular" w:eastAsiaTheme="majorEastAsia" w:hAnsi="Harding Text Web Regular" w:cstheme="majorBidi"/>
      <w:sz w:val="18"/>
      <w:szCs w:val="20"/>
      <w:lang w:val="en-GB" w:eastAsia="da-DK"/>
    </w:rPr>
  </w:style>
  <w:style w:type="character" w:customStyle="1" w:styleId="Heading9Char">
    <w:name w:val="Heading 9 Char"/>
    <w:basedOn w:val="DefaultParagraphFont"/>
    <w:link w:val="Heading9"/>
    <w:uiPriority w:val="9"/>
    <w:rsid w:val="00C96C9C"/>
    <w:rPr>
      <w:rFonts w:ascii="Harding Text Web Regular" w:eastAsiaTheme="majorEastAsia" w:hAnsi="Harding Text Web Regular" w:cstheme="majorBidi"/>
      <w:i/>
      <w:iCs/>
      <w:sz w:val="18"/>
      <w:szCs w:val="20"/>
      <w:lang w:val="en-GB" w:eastAsia="da-DK"/>
    </w:rPr>
  </w:style>
  <w:style w:type="paragraph" w:styleId="Footer">
    <w:name w:val="footer"/>
    <w:basedOn w:val="Normal"/>
    <w:link w:val="FooterChar"/>
    <w:uiPriority w:val="99"/>
    <w:unhideWhenUsed/>
    <w:rsid w:val="00C96C9C"/>
    <w:pPr>
      <w:tabs>
        <w:tab w:val="center" w:pos="4819"/>
        <w:tab w:val="right" w:pos="9638"/>
      </w:tabs>
      <w:spacing w:after="0" w:line="240" w:lineRule="auto"/>
    </w:pPr>
  </w:style>
  <w:style w:type="character" w:customStyle="1" w:styleId="FooterChar">
    <w:name w:val="Footer Char"/>
    <w:basedOn w:val="DefaultParagraphFont"/>
    <w:link w:val="Footer"/>
    <w:uiPriority w:val="99"/>
    <w:rsid w:val="00C96C9C"/>
    <w:rPr>
      <w:bCs/>
      <w:smallCaps/>
    </w:rPr>
  </w:style>
  <w:style w:type="paragraph" w:styleId="TOCHeading">
    <w:name w:val="TOC Heading"/>
    <w:basedOn w:val="Heading1"/>
    <w:next w:val="Normal"/>
    <w:uiPriority w:val="39"/>
    <w:unhideWhenUsed/>
    <w:qFormat/>
    <w:rsid w:val="00C96C9C"/>
    <w:pPr>
      <w:outlineLvl w:val="9"/>
    </w:pPr>
  </w:style>
  <w:style w:type="paragraph" w:styleId="TOC1">
    <w:name w:val="toc 1"/>
    <w:basedOn w:val="Normal"/>
    <w:next w:val="Normal"/>
    <w:autoRedefine/>
    <w:uiPriority w:val="39"/>
    <w:unhideWhenUsed/>
    <w:qFormat/>
    <w:rsid w:val="00F2714D"/>
    <w:pPr>
      <w:tabs>
        <w:tab w:val="left" w:pos="284"/>
        <w:tab w:val="right" w:leader="dot" w:pos="8494"/>
      </w:tabs>
      <w:spacing w:before="120" w:after="120" w:line="240" w:lineRule="auto"/>
    </w:pPr>
    <w:rPr>
      <w:b/>
      <w:noProof/>
      <w:sz w:val="22"/>
    </w:rPr>
  </w:style>
  <w:style w:type="paragraph" w:styleId="TOC2">
    <w:name w:val="toc 2"/>
    <w:basedOn w:val="Normal"/>
    <w:next w:val="Normal"/>
    <w:autoRedefine/>
    <w:uiPriority w:val="39"/>
    <w:unhideWhenUsed/>
    <w:qFormat/>
    <w:rsid w:val="001E2286"/>
    <w:pPr>
      <w:tabs>
        <w:tab w:val="left" w:pos="567"/>
        <w:tab w:val="right" w:leader="dot" w:pos="8494"/>
      </w:tabs>
      <w:spacing w:before="60" w:after="60" w:line="240" w:lineRule="auto"/>
      <w:ind w:left="567" w:hanging="425"/>
    </w:pPr>
  </w:style>
  <w:style w:type="character" w:styleId="Hyperlink">
    <w:name w:val="Hyperlink"/>
    <w:uiPriority w:val="99"/>
    <w:unhideWhenUsed/>
    <w:rsid w:val="006F670F"/>
    <w:rPr>
      <w:rFonts w:ascii="Arial" w:hAnsi="Arial"/>
      <w:caps w:val="0"/>
      <w:smallCaps w:val="0"/>
      <w:color w:val="2F3EEA"/>
      <w:u w:val="single"/>
    </w:rPr>
  </w:style>
  <w:style w:type="paragraph" w:styleId="ListParagraph">
    <w:name w:val="List Paragraph"/>
    <w:basedOn w:val="Normal"/>
    <w:uiPriority w:val="34"/>
    <w:qFormat/>
    <w:rsid w:val="00E804D7"/>
    <w:pPr>
      <w:numPr>
        <w:numId w:val="2"/>
      </w:numPr>
      <w:spacing w:line="276" w:lineRule="auto"/>
    </w:pPr>
    <w:rPr>
      <w:szCs w:val="20"/>
    </w:rPr>
  </w:style>
  <w:style w:type="paragraph" w:styleId="BalloonText">
    <w:name w:val="Balloon Text"/>
    <w:basedOn w:val="Normal"/>
    <w:link w:val="BalloonTextChar"/>
    <w:autoRedefine/>
    <w:uiPriority w:val="99"/>
    <w:semiHidden/>
    <w:unhideWhenUsed/>
    <w:rsid w:val="00C96C9C"/>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C96C9C"/>
    <w:rPr>
      <w:rFonts w:cs="Tahoma"/>
      <w:bCs/>
      <w:smallCaps/>
      <w:sz w:val="16"/>
      <w:szCs w:val="16"/>
    </w:rPr>
  </w:style>
  <w:style w:type="paragraph" w:styleId="TOC3">
    <w:name w:val="toc 3"/>
    <w:basedOn w:val="Normal"/>
    <w:next w:val="Normal"/>
    <w:autoRedefine/>
    <w:uiPriority w:val="39"/>
    <w:unhideWhenUsed/>
    <w:qFormat/>
    <w:rsid w:val="00C96C9C"/>
    <w:pPr>
      <w:tabs>
        <w:tab w:val="left" w:pos="1320"/>
        <w:tab w:val="right" w:leader="dot" w:pos="8494"/>
      </w:tabs>
      <w:spacing w:before="40" w:after="40" w:line="240" w:lineRule="auto"/>
      <w:ind w:left="522"/>
    </w:pPr>
    <w:rPr>
      <w:i/>
      <w:noProof/>
      <w:sz w:val="22"/>
    </w:rPr>
  </w:style>
  <w:style w:type="paragraph" w:styleId="NoSpacing">
    <w:name w:val="No Spacing"/>
    <w:aliases w:val="SUBTITLE"/>
    <w:basedOn w:val="Titel1"/>
    <w:link w:val="NoSpacingChar"/>
    <w:uiPriority w:val="1"/>
    <w:qFormat/>
    <w:rsid w:val="00865122"/>
    <w:rPr>
      <w:sz w:val="32"/>
      <w:szCs w:val="20"/>
    </w:rPr>
  </w:style>
  <w:style w:type="paragraph" w:customStyle="1" w:styleId="Captionthesis">
    <w:name w:val="Caption thesis"/>
    <w:basedOn w:val="NoSpacing"/>
    <w:link w:val="CaptionthesisChar"/>
    <w:qFormat/>
    <w:rsid w:val="00E86616"/>
    <w:pPr>
      <w:spacing w:before="120" w:after="0"/>
    </w:pPr>
    <w:rPr>
      <w:rFonts w:ascii="Harding Text Web Regular" w:hAnsi="Harding Text Web Regular"/>
      <w:sz w:val="22"/>
    </w:rPr>
  </w:style>
  <w:style w:type="character" w:customStyle="1" w:styleId="NoSpacingChar">
    <w:name w:val="No Spacing Char"/>
    <w:aliases w:val="SUBTITLE Char"/>
    <w:basedOn w:val="DefaultParagraphFont"/>
    <w:link w:val="NoSpacing"/>
    <w:uiPriority w:val="1"/>
    <w:rsid w:val="00865122"/>
    <w:rPr>
      <w:rFonts w:ascii="Harding Text Web Bold" w:eastAsiaTheme="majorEastAsia" w:hAnsi="Harding Text Web Bold" w:cstheme="majorBidi"/>
      <w:bCs/>
      <w:sz w:val="32"/>
      <w:szCs w:val="20"/>
      <w:lang w:val="en-GB" w:eastAsia="da-DK"/>
    </w:rPr>
  </w:style>
  <w:style w:type="character" w:customStyle="1" w:styleId="CaptionthesisChar">
    <w:name w:val="Caption thesis Char"/>
    <w:basedOn w:val="NoSpacingChar"/>
    <w:link w:val="Captionthesis"/>
    <w:rsid w:val="00E86616"/>
    <w:rPr>
      <w:rFonts w:ascii="Harding Text Web Regular" w:eastAsiaTheme="majorEastAsia" w:hAnsi="Harding Text Web Regular" w:cstheme="majorBidi"/>
      <w:bCs/>
      <w:sz w:val="22"/>
      <w:szCs w:val="20"/>
      <w:lang w:val="en-GB" w:eastAsia="da-DK"/>
    </w:rPr>
  </w:style>
  <w:style w:type="character" w:styleId="CommentReference">
    <w:name w:val="annotation reference"/>
    <w:basedOn w:val="DefaultParagraphFont"/>
    <w:uiPriority w:val="99"/>
    <w:semiHidden/>
    <w:unhideWhenUsed/>
    <w:rsid w:val="00C96C9C"/>
    <w:rPr>
      <w:sz w:val="16"/>
      <w:szCs w:val="16"/>
    </w:rPr>
  </w:style>
  <w:style w:type="paragraph" w:styleId="CommentText">
    <w:name w:val="annotation text"/>
    <w:basedOn w:val="Normal"/>
    <w:link w:val="CommentTextChar"/>
    <w:uiPriority w:val="99"/>
    <w:unhideWhenUsed/>
    <w:rsid w:val="00C96C9C"/>
    <w:pPr>
      <w:spacing w:line="240" w:lineRule="auto"/>
    </w:pPr>
    <w:rPr>
      <w:szCs w:val="20"/>
    </w:rPr>
  </w:style>
  <w:style w:type="character" w:customStyle="1" w:styleId="CommentTextChar">
    <w:name w:val="Comment Text Char"/>
    <w:basedOn w:val="DefaultParagraphFont"/>
    <w:link w:val="CommentText"/>
    <w:uiPriority w:val="99"/>
    <w:rsid w:val="00C96C9C"/>
    <w:rPr>
      <w:bCs/>
      <w:smallCaps/>
      <w:sz w:val="20"/>
      <w:szCs w:val="20"/>
    </w:rPr>
  </w:style>
  <w:style w:type="paragraph" w:styleId="CommentSubject">
    <w:name w:val="annotation subject"/>
    <w:basedOn w:val="CommentText"/>
    <w:next w:val="CommentText"/>
    <w:link w:val="CommentSubjectChar"/>
    <w:uiPriority w:val="99"/>
    <w:semiHidden/>
    <w:unhideWhenUsed/>
    <w:rsid w:val="00C96C9C"/>
    <w:rPr>
      <w:b/>
      <w:bCs/>
    </w:rPr>
  </w:style>
  <w:style w:type="character" w:customStyle="1" w:styleId="CommentSubjectChar">
    <w:name w:val="Comment Subject Char"/>
    <w:basedOn w:val="CommentTextChar"/>
    <w:link w:val="CommentSubject"/>
    <w:uiPriority w:val="99"/>
    <w:semiHidden/>
    <w:rsid w:val="00C96C9C"/>
    <w:rPr>
      <w:b/>
      <w:bCs w:val="0"/>
      <w:smallCaps/>
      <w:sz w:val="20"/>
      <w:szCs w:val="20"/>
    </w:rPr>
  </w:style>
  <w:style w:type="paragraph" w:customStyle="1" w:styleId="Caption1">
    <w:name w:val="Caption1"/>
    <w:basedOn w:val="NoSpacing"/>
    <w:link w:val="captionChar"/>
    <w:qFormat/>
    <w:rsid w:val="00E86616"/>
    <w:pPr>
      <w:spacing w:after="0"/>
    </w:pPr>
    <w:rPr>
      <w:rFonts w:ascii="Harding Text Web Regular" w:hAnsi="Harding Text Web Regular"/>
      <w:sz w:val="22"/>
    </w:rPr>
  </w:style>
  <w:style w:type="character" w:customStyle="1" w:styleId="captionChar">
    <w:name w:val="caption Char"/>
    <w:basedOn w:val="NoSpacingChar"/>
    <w:link w:val="Caption1"/>
    <w:rsid w:val="00E86616"/>
    <w:rPr>
      <w:rFonts w:ascii="Harding Text Web Regular" w:eastAsiaTheme="majorEastAsia" w:hAnsi="Harding Text Web Regular" w:cstheme="majorBidi"/>
      <w:bCs/>
      <w:sz w:val="22"/>
      <w:szCs w:val="20"/>
      <w:lang w:val="en-GB" w:eastAsia="da-DK"/>
    </w:rPr>
  </w:style>
  <w:style w:type="character" w:styleId="FollowedHyperlink">
    <w:name w:val="FollowedHyperlink"/>
    <w:basedOn w:val="DefaultParagraphFont"/>
    <w:uiPriority w:val="99"/>
    <w:semiHidden/>
    <w:unhideWhenUsed/>
    <w:rsid w:val="00C96C9C"/>
    <w:rPr>
      <w:color w:val="800080" w:themeColor="followedHyperlink"/>
      <w:u w:val="single"/>
    </w:rPr>
  </w:style>
  <w:style w:type="table" w:styleId="LightShading-Accent5">
    <w:name w:val="Light Shading Accent 5"/>
    <w:basedOn w:val="TableNormal"/>
    <w:uiPriority w:val="60"/>
    <w:rsid w:val="0061440A"/>
    <w:pPr>
      <w:spacing w:after="0" w:line="240" w:lineRule="auto"/>
    </w:pPr>
    <w:rPr>
      <w:bCs/>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61440A"/>
    <w:pPr>
      <w:spacing w:after="0" w:line="240" w:lineRule="auto"/>
    </w:pPr>
    <w:rPr>
      <w:bC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Grid1">
    <w:name w:val="Light Grid1"/>
    <w:basedOn w:val="TableNormal"/>
    <w:uiPriority w:val="62"/>
    <w:rsid w:val="0061440A"/>
    <w:pPr>
      <w:spacing w:after="0" w:line="240" w:lineRule="auto"/>
    </w:pPr>
    <w:rPr>
      <w:b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11">
    <w:name w:val="Medium Shading 11"/>
    <w:basedOn w:val="TableNormal"/>
    <w:uiPriority w:val="63"/>
    <w:rsid w:val="0061440A"/>
    <w:pPr>
      <w:spacing w:after="0" w:line="240" w:lineRule="auto"/>
    </w:pPr>
    <w:rPr>
      <w:bC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61440A"/>
    <w:pPr>
      <w:spacing w:after="0" w:line="240" w:lineRule="auto"/>
    </w:pPr>
    <w:rPr>
      <w:bC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61440A"/>
    <w:pPr>
      <w:spacing w:after="0" w:line="240" w:lineRule="auto"/>
    </w:pPr>
    <w:rPr>
      <w:bC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21">
    <w:name w:val="Medium List 21"/>
    <w:basedOn w:val="TableNormal"/>
    <w:uiPriority w:val="66"/>
    <w:rsid w:val="0061440A"/>
    <w:pPr>
      <w:spacing w:after="0" w:line="240" w:lineRule="auto"/>
    </w:pPr>
    <w:rPr>
      <w:rFonts w:eastAsiaTheme="majorEastAsia" w:cstheme="majorBidi"/>
      <w:b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rsid w:val="0061440A"/>
    <w:pPr>
      <w:spacing w:after="0" w:line="240" w:lineRule="auto"/>
    </w:pPr>
    <w:rPr>
      <w:bC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rsid w:val="0061440A"/>
    <w:pPr>
      <w:spacing w:after="0" w:line="240" w:lineRule="auto"/>
    </w:pPr>
    <w:rPr>
      <w:rFonts w:eastAsiaTheme="majorEastAsia" w:cstheme="majorBidi"/>
      <w:b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LightShading1">
    <w:name w:val="Light Shading1"/>
    <w:basedOn w:val="TableNormal"/>
    <w:uiPriority w:val="60"/>
    <w:rsid w:val="0061440A"/>
    <w:pPr>
      <w:spacing w:after="0" w:line="240" w:lineRule="auto"/>
      <w:jc w:val="center"/>
    </w:pPr>
    <w:rPr>
      <w:bCs/>
      <w:color w:val="000000" w:themeColor="text1" w:themeShade="BF"/>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C96C9C"/>
    <w:pPr>
      <w:tabs>
        <w:tab w:val="center" w:pos="4819"/>
        <w:tab w:val="right" w:pos="9638"/>
      </w:tabs>
      <w:spacing w:after="0" w:line="240" w:lineRule="auto"/>
    </w:pPr>
  </w:style>
  <w:style w:type="character" w:customStyle="1" w:styleId="HeaderChar">
    <w:name w:val="Header Char"/>
    <w:basedOn w:val="DefaultParagraphFont"/>
    <w:link w:val="Header"/>
    <w:uiPriority w:val="99"/>
    <w:rsid w:val="00C96C9C"/>
    <w:rPr>
      <w:bCs/>
      <w:smallCaps/>
    </w:rPr>
  </w:style>
  <w:style w:type="character" w:customStyle="1" w:styleId="hps">
    <w:name w:val="hps"/>
    <w:basedOn w:val="DefaultParagraphFont"/>
    <w:rsid w:val="00C96C9C"/>
    <w:rPr>
      <w:rFonts w:ascii="Arial" w:hAnsi="Arial"/>
      <w:caps w:val="0"/>
      <w:smallCaps w:val="0"/>
    </w:rPr>
  </w:style>
  <w:style w:type="table" w:styleId="TableGrid">
    <w:name w:val="Table Grid"/>
    <w:basedOn w:val="TableNormal"/>
    <w:uiPriority w:val="39"/>
    <w:rsid w:val="0061440A"/>
    <w:pPr>
      <w:spacing w:after="0"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Old">
    <w:name w:val="HeadingsOld"/>
    <w:basedOn w:val="NoSpacing"/>
    <w:link w:val="HeadingsOldChar"/>
    <w:rsid w:val="004364B5"/>
    <w:rPr>
      <w:color w:val="D3DDE9"/>
      <w:sz w:val="56"/>
      <w:szCs w:val="40"/>
    </w:rPr>
  </w:style>
  <w:style w:type="character" w:customStyle="1" w:styleId="HeadingsOldChar">
    <w:name w:val="HeadingsOld Char"/>
    <w:basedOn w:val="NoSpacingChar"/>
    <w:link w:val="HeadingsOld"/>
    <w:rsid w:val="004364B5"/>
    <w:rPr>
      <w:rFonts w:ascii="Harding Text Web Bold" w:eastAsiaTheme="majorEastAsia" w:hAnsi="Harding Text Web Bold" w:cstheme="majorBidi"/>
      <w:bCs/>
      <w:color w:val="D3DDE9"/>
      <w:sz w:val="56"/>
      <w:szCs w:val="40"/>
      <w:lang w:val="en-GB" w:eastAsia="da-DK"/>
    </w:rPr>
  </w:style>
  <w:style w:type="paragraph" w:styleId="Title">
    <w:name w:val="Title"/>
    <w:basedOn w:val="Normal"/>
    <w:next w:val="Normal"/>
    <w:link w:val="TitleChar"/>
    <w:uiPriority w:val="10"/>
    <w:qFormat/>
    <w:rsid w:val="00FC0567"/>
    <w:pPr>
      <w:spacing w:after="0"/>
    </w:pPr>
    <w:rPr>
      <w:rFonts w:ascii="Harding Text Web Bold" w:hAnsi="Harding Text Web Bold"/>
      <w:color w:val="D3DDE9"/>
      <w:sz w:val="44"/>
      <w:szCs w:val="44"/>
    </w:rPr>
  </w:style>
  <w:style w:type="character" w:customStyle="1" w:styleId="TitleChar">
    <w:name w:val="Title Char"/>
    <w:basedOn w:val="DefaultParagraphFont"/>
    <w:link w:val="Title"/>
    <w:uiPriority w:val="10"/>
    <w:rsid w:val="00FC0567"/>
    <w:rPr>
      <w:rFonts w:ascii="Harding Text Web Bold" w:hAnsi="Harding Text Web Bold"/>
      <w:color w:val="D3DDE9"/>
      <w:sz w:val="44"/>
      <w:szCs w:val="44"/>
      <w:lang w:val="en-GB" w:eastAsia="da-DK"/>
    </w:rPr>
  </w:style>
  <w:style w:type="paragraph" w:styleId="Caption">
    <w:name w:val="caption"/>
    <w:basedOn w:val="Normal"/>
    <w:next w:val="Normal"/>
    <w:uiPriority w:val="35"/>
    <w:unhideWhenUsed/>
    <w:qFormat/>
    <w:rsid w:val="000D5C85"/>
    <w:pPr>
      <w:spacing w:line="240" w:lineRule="auto"/>
    </w:pPr>
    <w:rPr>
      <w:i/>
      <w:iCs/>
      <w:sz w:val="16"/>
      <w:szCs w:val="18"/>
    </w:rPr>
  </w:style>
  <w:style w:type="paragraph" w:styleId="TableofFigures">
    <w:name w:val="table of figures"/>
    <w:basedOn w:val="Normal"/>
    <w:next w:val="Normal"/>
    <w:uiPriority w:val="99"/>
    <w:unhideWhenUsed/>
    <w:rsid w:val="00C96C9C"/>
    <w:pPr>
      <w:spacing w:after="0"/>
    </w:pPr>
  </w:style>
  <w:style w:type="paragraph" w:customStyle="1" w:styleId="FirstHeadings">
    <w:name w:val="FirstHeadings"/>
    <w:basedOn w:val="Heading1"/>
    <w:link w:val="FirstHeadingsChar"/>
    <w:qFormat/>
    <w:rsid w:val="008168BE"/>
  </w:style>
  <w:style w:type="character" w:customStyle="1" w:styleId="FirstHeadingsChar">
    <w:name w:val="FirstHeadings Char"/>
    <w:basedOn w:val="DefaultParagraphFont"/>
    <w:link w:val="FirstHeadings"/>
    <w:rsid w:val="008168BE"/>
    <w:rPr>
      <w:rFonts w:ascii="Harding Text Web Bold" w:eastAsiaTheme="majorEastAsia" w:hAnsi="Harding Text Web Bold" w:cstheme="majorBidi"/>
      <w:bCs/>
      <w:color w:val="222D3A"/>
      <w:sz w:val="40"/>
      <w:lang w:val="en-GB" w:eastAsia="da-DK"/>
    </w:rPr>
  </w:style>
  <w:style w:type="paragraph" w:styleId="Subtitle">
    <w:name w:val="Subtitle"/>
    <w:basedOn w:val="Normal"/>
    <w:next w:val="Normal"/>
    <w:link w:val="SubtitleChar"/>
    <w:uiPriority w:val="11"/>
    <w:qFormat/>
    <w:rsid w:val="00644B8F"/>
    <w:rPr>
      <w:rFonts w:ascii="Harding Text Web Bold" w:hAnsi="Harding Text Web Bold"/>
      <w:sz w:val="28"/>
      <w:szCs w:val="40"/>
    </w:rPr>
  </w:style>
  <w:style w:type="character" w:customStyle="1" w:styleId="SubtitleChar">
    <w:name w:val="Subtitle Char"/>
    <w:basedOn w:val="DefaultParagraphFont"/>
    <w:link w:val="Subtitle"/>
    <w:uiPriority w:val="11"/>
    <w:rsid w:val="00644B8F"/>
    <w:rPr>
      <w:rFonts w:ascii="Harding Text Web Bold" w:hAnsi="Harding Text Web Bold"/>
      <w:sz w:val="28"/>
      <w:szCs w:val="40"/>
      <w:lang w:val="en-GB" w:eastAsia="da-DK"/>
    </w:rPr>
  </w:style>
  <w:style w:type="character" w:styleId="SubtleEmphasis">
    <w:name w:val="Subtle Emphasis"/>
    <w:basedOn w:val="DefaultParagraphFont"/>
    <w:uiPriority w:val="19"/>
    <w:qFormat/>
    <w:rsid w:val="00C96C9C"/>
    <w:rPr>
      <w:rFonts w:ascii="Arial" w:hAnsi="Arial"/>
      <w:i/>
      <w:iCs/>
      <w:caps w:val="0"/>
      <w:smallCaps w:val="0"/>
      <w:color w:val="404040" w:themeColor="text1" w:themeTint="BF"/>
    </w:rPr>
  </w:style>
  <w:style w:type="character" w:styleId="Emphasis">
    <w:name w:val="Emphasis"/>
    <w:aliases w:val="Chapter title emphasis"/>
    <w:uiPriority w:val="20"/>
    <w:qFormat/>
    <w:rsid w:val="009C61E6"/>
    <w:rPr>
      <w:color w:val="D3DDE9"/>
      <w:sz w:val="56"/>
      <w:szCs w:val="56"/>
    </w:rPr>
  </w:style>
  <w:style w:type="character" w:styleId="IntenseEmphasis">
    <w:name w:val="Intense Emphasis"/>
    <w:basedOn w:val="DefaultParagraphFont"/>
    <w:uiPriority w:val="21"/>
    <w:qFormat/>
    <w:rsid w:val="00C96C9C"/>
    <w:rPr>
      <w:rFonts w:ascii="Arial" w:hAnsi="Arial"/>
      <w:i/>
      <w:iCs/>
      <w:caps w:val="0"/>
      <w:smallCaps w:val="0"/>
      <w:color w:val="auto"/>
    </w:rPr>
  </w:style>
  <w:style w:type="character" w:styleId="Strong">
    <w:name w:val="Strong"/>
    <w:basedOn w:val="DefaultParagraphFont"/>
    <w:uiPriority w:val="22"/>
    <w:qFormat/>
    <w:rsid w:val="008168BE"/>
    <w:rPr>
      <w:b/>
      <w:sz w:val="24"/>
      <w:szCs w:val="36"/>
      <w:lang w:val="da-DK"/>
    </w:rPr>
  </w:style>
  <w:style w:type="character" w:styleId="SubtleReference">
    <w:name w:val="Subtle Reference"/>
    <w:basedOn w:val="DefaultParagraphFont"/>
    <w:uiPriority w:val="31"/>
    <w:qFormat/>
    <w:rsid w:val="00C96C9C"/>
    <w:rPr>
      <w:rFonts w:ascii="Arial" w:hAnsi="Arial"/>
      <w:caps w:val="0"/>
      <w:smallCaps w:val="0"/>
      <w:color w:val="5A5A5A" w:themeColor="text1" w:themeTint="A5"/>
    </w:rPr>
  </w:style>
  <w:style w:type="character" w:styleId="IntenseReference">
    <w:name w:val="Intense Reference"/>
    <w:basedOn w:val="DefaultParagraphFont"/>
    <w:uiPriority w:val="32"/>
    <w:qFormat/>
    <w:rsid w:val="00C96C9C"/>
    <w:rPr>
      <w:rFonts w:ascii="Arial" w:hAnsi="Arial"/>
      <w:b/>
      <w:bCs/>
      <w:caps w:val="0"/>
      <w:smallCaps w:val="0"/>
      <w:color w:val="auto"/>
      <w:spacing w:val="5"/>
    </w:rPr>
  </w:style>
  <w:style w:type="character" w:styleId="BookTitle">
    <w:name w:val="Book Title"/>
    <w:basedOn w:val="DefaultParagraphFont"/>
    <w:uiPriority w:val="33"/>
    <w:qFormat/>
    <w:rsid w:val="0061440A"/>
    <w:rPr>
      <w:rFonts w:ascii="Arial" w:hAnsi="Arial"/>
      <w:b/>
      <w:bCs/>
      <w:i/>
      <w:iCs/>
      <w:caps w:val="0"/>
      <w:smallCaps w:val="0"/>
      <w:spacing w:val="5"/>
    </w:rPr>
  </w:style>
  <w:style w:type="paragraph" w:styleId="IntenseQuote">
    <w:name w:val="Intense Quote"/>
    <w:basedOn w:val="Normal"/>
    <w:next w:val="Normal"/>
    <w:link w:val="IntenseQuoteChar"/>
    <w:uiPriority w:val="30"/>
    <w:qFormat/>
    <w:rsid w:val="00C96C9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C96C9C"/>
    <w:rPr>
      <w:bCs/>
      <w:i/>
      <w:iCs/>
      <w:smallCaps/>
    </w:rPr>
  </w:style>
  <w:style w:type="table" w:styleId="TableGridLight">
    <w:name w:val="Grid Table Light"/>
    <w:basedOn w:val="TableNormal"/>
    <w:uiPriority w:val="40"/>
    <w:rsid w:val="0061440A"/>
    <w:pPr>
      <w:spacing w:after="0" w:line="240" w:lineRule="auto"/>
    </w:pPr>
    <w:rPr>
      <w:bC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1440A"/>
    <w:pPr>
      <w:spacing w:after="0" w:line="240" w:lineRule="auto"/>
    </w:pPr>
    <w:rPr>
      <w:bC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1440A"/>
    <w:pPr>
      <w:spacing w:after="0" w:line="240" w:lineRule="auto"/>
    </w:pPr>
    <w:rPr>
      <w:bC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1440A"/>
    <w:pPr>
      <w:spacing w:after="0" w:line="240" w:lineRule="auto"/>
    </w:pPr>
    <w:rPr>
      <w:bC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1440A"/>
    <w:pPr>
      <w:spacing w:after="0" w:line="240" w:lineRule="auto"/>
    </w:pPr>
    <w:rPr>
      <w:bC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1440A"/>
    <w:pPr>
      <w:spacing w:after="0" w:line="240" w:lineRule="auto"/>
    </w:pPr>
    <w:rPr>
      <w:bC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1440A"/>
    <w:pPr>
      <w:spacing w:after="0" w:line="240" w:lineRule="auto"/>
    </w:pPr>
    <w:rPr>
      <w:bC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1440A"/>
    <w:pPr>
      <w:spacing w:after="0" w:line="240" w:lineRule="auto"/>
    </w:pPr>
    <w:rPr>
      <w:bC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lockText">
    <w:name w:val="Block Text"/>
    <w:basedOn w:val="Normal"/>
    <w:uiPriority w:val="99"/>
    <w:semiHidden/>
    <w:unhideWhenUsed/>
    <w:rsid w:val="00C96C9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030F4F"/>
    </w:rPr>
  </w:style>
  <w:style w:type="table" w:styleId="ColorfulGrid">
    <w:name w:val="Colorful Grid"/>
    <w:basedOn w:val="TableNormal"/>
    <w:uiPriority w:val="73"/>
    <w:semiHidden/>
    <w:unhideWhenUsed/>
    <w:rsid w:val="0061440A"/>
    <w:pPr>
      <w:spacing w:after="0" w:line="240" w:lineRule="auto"/>
    </w:pPr>
    <w:rPr>
      <w:bC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1440A"/>
    <w:pPr>
      <w:spacing w:after="0" w:line="240" w:lineRule="auto"/>
    </w:pPr>
    <w:rPr>
      <w:bC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61440A"/>
    <w:pPr>
      <w:spacing w:after="0" w:line="240" w:lineRule="auto"/>
    </w:pPr>
    <w:rPr>
      <w:bC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61440A"/>
    <w:pPr>
      <w:spacing w:after="0" w:line="240" w:lineRule="auto"/>
    </w:pPr>
    <w:rPr>
      <w:bC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61440A"/>
    <w:pPr>
      <w:spacing w:after="0" w:line="240" w:lineRule="auto"/>
    </w:pPr>
    <w:rPr>
      <w:bC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61440A"/>
    <w:pPr>
      <w:spacing w:after="0" w:line="240" w:lineRule="auto"/>
    </w:pPr>
    <w:rPr>
      <w:bC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61440A"/>
    <w:pPr>
      <w:spacing w:after="0" w:line="240" w:lineRule="auto"/>
    </w:pPr>
    <w:rPr>
      <w:bC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unhideWhenUsed/>
    <w:rsid w:val="00C96C9C"/>
    <w:pPr>
      <w:framePr w:w="7920" w:h="1980" w:hRule="exact" w:hSpace="141" w:wrap="auto" w:hAnchor="page" w:xAlign="center" w:yAlign="bottom"/>
      <w:spacing w:after="0" w:line="240" w:lineRule="auto"/>
      <w:ind w:left="2880"/>
    </w:pPr>
    <w:rPr>
      <w:rFonts w:eastAsiaTheme="majorEastAsia" w:cstheme="majorBidi"/>
    </w:rPr>
  </w:style>
  <w:style w:type="paragraph" w:styleId="EnvelopeReturn">
    <w:name w:val="envelope return"/>
    <w:basedOn w:val="Normal"/>
    <w:uiPriority w:val="99"/>
    <w:semiHidden/>
    <w:unhideWhenUsed/>
    <w:rsid w:val="00C96C9C"/>
    <w:pPr>
      <w:spacing w:after="0" w:line="240" w:lineRule="auto"/>
    </w:pPr>
    <w:rPr>
      <w:rFonts w:eastAsiaTheme="majorEastAsia" w:cstheme="majorBidi"/>
      <w:szCs w:val="20"/>
    </w:rPr>
  </w:style>
  <w:style w:type="paragraph" w:styleId="Index1">
    <w:name w:val="index 1"/>
    <w:basedOn w:val="Normal"/>
    <w:next w:val="Normal"/>
    <w:autoRedefine/>
    <w:uiPriority w:val="99"/>
    <w:semiHidden/>
    <w:unhideWhenUsed/>
    <w:rsid w:val="00C96C9C"/>
    <w:pPr>
      <w:spacing w:after="0" w:line="240" w:lineRule="auto"/>
      <w:ind w:left="280" w:hanging="280"/>
    </w:pPr>
  </w:style>
  <w:style w:type="paragraph" w:styleId="IndexHeading">
    <w:name w:val="index heading"/>
    <w:basedOn w:val="Normal"/>
    <w:next w:val="Index1"/>
    <w:uiPriority w:val="99"/>
    <w:semiHidden/>
    <w:unhideWhenUsed/>
    <w:rsid w:val="00C96C9C"/>
    <w:rPr>
      <w:rFonts w:eastAsiaTheme="majorEastAsia" w:cstheme="majorBidi"/>
      <w:b/>
    </w:rPr>
  </w:style>
  <w:style w:type="table" w:styleId="MediumGrid2">
    <w:name w:val="Medium Grid 2"/>
    <w:basedOn w:val="TableNormal"/>
    <w:uiPriority w:val="68"/>
    <w:semiHidden/>
    <w:unhideWhenUsed/>
    <w:rsid w:val="0061440A"/>
    <w:pPr>
      <w:spacing w:after="0" w:line="240" w:lineRule="auto"/>
    </w:pPr>
    <w:rPr>
      <w:rFonts w:eastAsiaTheme="majorEastAsia" w:cstheme="majorBidi"/>
      <w:b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1440A"/>
    <w:pPr>
      <w:spacing w:after="0" w:line="240" w:lineRule="auto"/>
    </w:pPr>
    <w:rPr>
      <w:rFonts w:eastAsiaTheme="majorEastAsia" w:cstheme="majorBidi"/>
      <w:bC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1440A"/>
    <w:pPr>
      <w:spacing w:after="0" w:line="240" w:lineRule="auto"/>
    </w:pPr>
    <w:rPr>
      <w:rFonts w:eastAsiaTheme="majorEastAsia" w:cstheme="majorBidi"/>
      <w:bC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1440A"/>
    <w:pPr>
      <w:spacing w:after="0" w:line="240" w:lineRule="auto"/>
    </w:pPr>
    <w:rPr>
      <w:rFonts w:eastAsiaTheme="majorEastAsia" w:cstheme="majorBidi"/>
      <w:bC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1440A"/>
    <w:pPr>
      <w:spacing w:after="0" w:line="240" w:lineRule="auto"/>
    </w:pPr>
    <w:rPr>
      <w:rFonts w:eastAsiaTheme="majorEastAsia" w:cstheme="majorBidi"/>
      <w:bC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1440A"/>
    <w:pPr>
      <w:spacing w:after="0" w:line="240" w:lineRule="auto"/>
    </w:pPr>
    <w:rPr>
      <w:rFonts w:eastAsiaTheme="majorEastAsia" w:cstheme="majorBidi"/>
      <w:bC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1440A"/>
    <w:pPr>
      <w:spacing w:after="0" w:line="240" w:lineRule="auto"/>
    </w:pPr>
    <w:rPr>
      <w:rFonts w:eastAsiaTheme="majorEastAsia" w:cstheme="majorBidi"/>
      <w:bC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1440A"/>
    <w:pPr>
      <w:spacing w:after="0" w:line="240" w:lineRule="auto"/>
    </w:pPr>
    <w:rPr>
      <w:rFonts w:eastAsiaTheme="majorEastAsia" w:cstheme="majorBidi"/>
      <w:bC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1440A"/>
    <w:pPr>
      <w:spacing w:after="0" w:line="240" w:lineRule="auto"/>
    </w:pPr>
    <w:rPr>
      <w:rFonts w:eastAsiaTheme="majorEastAsia" w:cstheme="majorBidi"/>
      <w:bC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1440A"/>
    <w:pPr>
      <w:spacing w:after="0" w:line="240" w:lineRule="auto"/>
    </w:pPr>
    <w:rPr>
      <w:rFonts w:eastAsiaTheme="majorEastAsia" w:cstheme="majorBidi"/>
      <w:bC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1440A"/>
    <w:pPr>
      <w:spacing w:after="0" w:line="240" w:lineRule="auto"/>
    </w:pPr>
    <w:rPr>
      <w:rFonts w:eastAsiaTheme="majorEastAsia" w:cstheme="majorBidi"/>
      <w:bC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1440A"/>
    <w:pPr>
      <w:spacing w:after="0" w:line="240" w:lineRule="auto"/>
    </w:pPr>
    <w:rPr>
      <w:rFonts w:eastAsiaTheme="majorEastAsia" w:cstheme="majorBidi"/>
      <w:bC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1440A"/>
    <w:pPr>
      <w:spacing w:after="0" w:line="240" w:lineRule="auto"/>
    </w:pPr>
    <w:rPr>
      <w:rFonts w:eastAsiaTheme="majorEastAsia" w:cstheme="majorBidi"/>
      <w:bC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1440A"/>
    <w:pPr>
      <w:spacing w:after="0" w:line="240" w:lineRule="auto"/>
    </w:pPr>
    <w:rPr>
      <w:rFonts w:eastAsiaTheme="majorEastAsia" w:cstheme="majorBidi"/>
      <w:bC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C96C9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C96C9C"/>
    <w:rPr>
      <w:rFonts w:eastAsiaTheme="majorEastAsia" w:cstheme="majorBidi"/>
      <w:bCs/>
      <w:smallCaps/>
      <w:shd w:val="pct20" w:color="auto" w:fill="auto"/>
    </w:rPr>
  </w:style>
  <w:style w:type="paragraph" w:styleId="TOAHeading">
    <w:name w:val="toa heading"/>
    <w:basedOn w:val="Normal"/>
    <w:next w:val="Normal"/>
    <w:uiPriority w:val="99"/>
    <w:semiHidden/>
    <w:unhideWhenUsed/>
    <w:rsid w:val="00C96C9C"/>
    <w:pPr>
      <w:spacing w:before="120"/>
    </w:pPr>
    <w:rPr>
      <w:rFonts w:eastAsiaTheme="majorEastAsia" w:cstheme="majorBidi"/>
      <w:b/>
    </w:rPr>
  </w:style>
  <w:style w:type="character" w:styleId="HTMLCode">
    <w:name w:val="HTML Code"/>
    <w:basedOn w:val="DefaultParagraphFont"/>
    <w:uiPriority w:val="99"/>
    <w:semiHidden/>
    <w:unhideWhenUsed/>
    <w:rsid w:val="00C96C9C"/>
    <w:rPr>
      <w:rFonts w:ascii="Arial" w:hAnsi="Arial"/>
      <w:sz w:val="20"/>
      <w:szCs w:val="20"/>
    </w:rPr>
  </w:style>
  <w:style w:type="paragraph" w:styleId="DocumentMap">
    <w:name w:val="Document Map"/>
    <w:basedOn w:val="Normal"/>
    <w:link w:val="DocumentMapChar"/>
    <w:uiPriority w:val="99"/>
    <w:semiHidden/>
    <w:unhideWhenUsed/>
    <w:rsid w:val="00C96C9C"/>
    <w:pPr>
      <w:spacing w:after="0" w:line="240" w:lineRule="auto"/>
    </w:pPr>
    <w:rPr>
      <w:rFonts w:cs="Segoe UI"/>
      <w:sz w:val="16"/>
      <w:szCs w:val="16"/>
    </w:rPr>
  </w:style>
  <w:style w:type="character" w:customStyle="1" w:styleId="DocumentMapChar">
    <w:name w:val="Document Map Char"/>
    <w:basedOn w:val="DefaultParagraphFont"/>
    <w:link w:val="DocumentMap"/>
    <w:uiPriority w:val="99"/>
    <w:semiHidden/>
    <w:rsid w:val="00C96C9C"/>
    <w:rPr>
      <w:rFonts w:cs="Segoe UI"/>
      <w:bCs/>
      <w:smallCaps/>
      <w:sz w:val="16"/>
      <w:szCs w:val="16"/>
    </w:rPr>
  </w:style>
  <w:style w:type="paragraph" w:styleId="NormalWeb">
    <w:name w:val="Normal (Web)"/>
    <w:basedOn w:val="Normal"/>
    <w:uiPriority w:val="99"/>
    <w:semiHidden/>
    <w:unhideWhenUsed/>
    <w:rsid w:val="00C96C9C"/>
    <w:rPr>
      <w:rFonts w:cs="Times New Roman"/>
    </w:rPr>
  </w:style>
  <w:style w:type="paragraph" w:styleId="PlainText">
    <w:name w:val="Plain Text"/>
    <w:basedOn w:val="Normal"/>
    <w:link w:val="PlainTextChar"/>
    <w:uiPriority w:val="99"/>
    <w:semiHidden/>
    <w:unhideWhenUsed/>
    <w:rsid w:val="00C96C9C"/>
    <w:pPr>
      <w:spacing w:after="0" w:line="240" w:lineRule="auto"/>
    </w:pPr>
    <w:rPr>
      <w:sz w:val="21"/>
      <w:szCs w:val="21"/>
    </w:rPr>
  </w:style>
  <w:style w:type="character" w:customStyle="1" w:styleId="PlainTextChar">
    <w:name w:val="Plain Text Char"/>
    <w:basedOn w:val="DefaultParagraphFont"/>
    <w:link w:val="PlainText"/>
    <w:uiPriority w:val="99"/>
    <w:semiHidden/>
    <w:rsid w:val="00C96C9C"/>
    <w:rPr>
      <w:bCs/>
      <w:smallCaps/>
      <w:sz w:val="21"/>
      <w:szCs w:val="21"/>
    </w:rPr>
  </w:style>
  <w:style w:type="paragraph" w:styleId="MacroText">
    <w:name w:val="macro"/>
    <w:link w:val="MacroTextChar"/>
    <w:uiPriority w:val="99"/>
    <w:semiHidden/>
    <w:unhideWhenUsed/>
    <w:rsid w:val="0061440A"/>
    <w:pPr>
      <w:tabs>
        <w:tab w:val="left" w:pos="480"/>
        <w:tab w:val="left" w:pos="960"/>
        <w:tab w:val="left" w:pos="1440"/>
        <w:tab w:val="left" w:pos="1920"/>
        <w:tab w:val="left" w:pos="2400"/>
        <w:tab w:val="left" w:pos="2880"/>
        <w:tab w:val="left" w:pos="3360"/>
        <w:tab w:val="left" w:pos="3840"/>
        <w:tab w:val="left" w:pos="4320"/>
      </w:tabs>
      <w:spacing w:after="0"/>
      <w:jc w:val="both"/>
    </w:pPr>
    <w:rPr>
      <w:bCs/>
      <w:sz w:val="20"/>
      <w:szCs w:val="20"/>
    </w:rPr>
  </w:style>
  <w:style w:type="character" w:customStyle="1" w:styleId="MacroTextChar">
    <w:name w:val="Macro Text Char"/>
    <w:basedOn w:val="DefaultParagraphFont"/>
    <w:link w:val="MacroText"/>
    <w:uiPriority w:val="99"/>
    <w:semiHidden/>
    <w:rsid w:val="0061440A"/>
    <w:rPr>
      <w:bCs/>
      <w:sz w:val="20"/>
      <w:szCs w:val="20"/>
    </w:rPr>
  </w:style>
  <w:style w:type="character" w:styleId="HTMLTypewriter">
    <w:name w:val="HTML Typewriter"/>
    <w:basedOn w:val="DefaultParagraphFont"/>
    <w:uiPriority w:val="99"/>
    <w:semiHidden/>
    <w:unhideWhenUsed/>
    <w:rsid w:val="00C96C9C"/>
    <w:rPr>
      <w:rFonts w:ascii="Arial" w:hAnsi="Arial"/>
      <w:sz w:val="20"/>
      <w:szCs w:val="20"/>
    </w:rPr>
  </w:style>
  <w:style w:type="character" w:styleId="HTMLSample">
    <w:name w:val="HTML Sample"/>
    <w:basedOn w:val="DefaultParagraphFont"/>
    <w:uiPriority w:val="99"/>
    <w:semiHidden/>
    <w:unhideWhenUsed/>
    <w:rsid w:val="00C96C9C"/>
    <w:rPr>
      <w:rFonts w:ascii="Arial" w:hAnsi="Arial"/>
      <w:sz w:val="24"/>
      <w:szCs w:val="24"/>
    </w:rPr>
  </w:style>
  <w:style w:type="paragraph" w:styleId="HTMLPreformatted">
    <w:name w:val="HTML Preformatted"/>
    <w:basedOn w:val="Normal"/>
    <w:link w:val="HTMLPreformattedChar"/>
    <w:uiPriority w:val="99"/>
    <w:semiHidden/>
    <w:unhideWhenUsed/>
    <w:rsid w:val="00C96C9C"/>
    <w:pPr>
      <w:spacing w:after="0" w:line="240" w:lineRule="auto"/>
    </w:pPr>
    <w:rPr>
      <w:szCs w:val="20"/>
    </w:rPr>
  </w:style>
  <w:style w:type="character" w:customStyle="1" w:styleId="HTMLPreformattedChar">
    <w:name w:val="HTML Preformatted Char"/>
    <w:basedOn w:val="DefaultParagraphFont"/>
    <w:link w:val="HTMLPreformatted"/>
    <w:uiPriority w:val="99"/>
    <w:semiHidden/>
    <w:rsid w:val="00C96C9C"/>
    <w:rPr>
      <w:bCs/>
      <w:smallCaps/>
      <w:sz w:val="20"/>
      <w:szCs w:val="20"/>
    </w:rPr>
  </w:style>
  <w:style w:type="character" w:styleId="HTMLKeyboard">
    <w:name w:val="HTML Keyboard"/>
    <w:basedOn w:val="DefaultParagraphFont"/>
    <w:uiPriority w:val="99"/>
    <w:semiHidden/>
    <w:unhideWhenUsed/>
    <w:rsid w:val="00C96C9C"/>
    <w:rPr>
      <w:rFonts w:ascii="Arial" w:hAnsi="Arial"/>
      <w:sz w:val="20"/>
      <w:szCs w:val="20"/>
    </w:rPr>
  </w:style>
  <w:style w:type="table" w:customStyle="1" w:styleId="DTUstyle1">
    <w:name w:val="DTU style 1"/>
    <w:basedOn w:val="TableNormal"/>
    <w:uiPriority w:val="99"/>
    <w:rsid w:val="0061440A"/>
    <w:pPr>
      <w:spacing w:after="0" w:line="240" w:lineRule="auto"/>
    </w:pPr>
    <w:tblPr/>
  </w:style>
  <w:style w:type="character" w:styleId="LineNumber">
    <w:name w:val="line number"/>
    <w:basedOn w:val="DefaultParagraphFont"/>
    <w:uiPriority w:val="99"/>
    <w:semiHidden/>
    <w:unhideWhenUsed/>
    <w:rsid w:val="00C96C9C"/>
    <w:rPr>
      <w:rFonts w:ascii="Arial" w:hAnsi="Arial"/>
      <w:caps w:val="0"/>
      <w:smallCaps w:val="0"/>
    </w:rPr>
  </w:style>
  <w:style w:type="table" w:styleId="ColorfulList">
    <w:name w:val="Colorful List"/>
    <w:basedOn w:val="TableNormal"/>
    <w:uiPriority w:val="72"/>
    <w:semiHidden/>
    <w:unhideWhenUsed/>
    <w:rsid w:val="0061440A"/>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Titel1">
    <w:name w:val="Titel1"/>
    <w:basedOn w:val="FirstHeadings"/>
    <w:link w:val="TitleTegn"/>
    <w:qFormat/>
    <w:rsid w:val="00F73DF0"/>
    <w:rPr>
      <w:sz w:val="36"/>
      <w:szCs w:val="22"/>
    </w:rPr>
  </w:style>
  <w:style w:type="character" w:customStyle="1" w:styleId="TitleTegn">
    <w:name w:val="Title Tegn"/>
    <w:link w:val="Titel1"/>
    <w:rsid w:val="00F73DF0"/>
    <w:rPr>
      <w:rFonts w:ascii="Harding Text Web Bold" w:eastAsiaTheme="majorEastAsia" w:hAnsi="Harding Text Web Bold" w:cstheme="majorBidi"/>
      <w:bCs/>
      <w:sz w:val="36"/>
      <w:szCs w:val="22"/>
      <w:lang w:val="en-GB" w:eastAsia="da-DK"/>
    </w:rPr>
  </w:style>
  <w:style w:type="character" w:styleId="UnresolvedMention">
    <w:name w:val="Unresolved Mention"/>
    <w:basedOn w:val="DefaultParagraphFont"/>
    <w:uiPriority w:val="99"/>
    <w:semiHidden/>
    <w:unhideWhenUsed/>
    <w:rsid w:val="00E4708B"/>
    <w:rPr>
      <w:color w:val="605E5C"/>
      <w:shd w:val="clear" w:color="auto" w:fill="E1DFDD"/>
    </w:rPr>
  </w:style>
  <w:style w:type="character" w:customStyle="1" w:styleId="cf01">
    <w:name w:val="cf01"/>
    <w:basedOn w:val="DefaultParagraphFont"/>
    <w:rsid w:val="00EA1FAE"/>
    <w:rPr>
      <w:rFonts w:ascii="Segoe UI" w:hAnsi="Segoe UI" w:cs="Segoe UI" w:hint="default"/>
      <w:sz w:val="18"/>
      <w:szCs w:val="18"/>
    </w:rPr>
  </w:style>
  <w:style w:type="paragraph" w:styleId="Quote">
    <w:name w:val="Quote"/>
    <w:basedOn w:val="Normal"/>
    <w:next w:val="Normal"/>
    <w:link w:val="QuoteChar"/>
    <w:uiPriority w:val="29"/>
    <w:qFormat/>
    <w:rsid w:val="00C408E5"/>
    <w:pPr>
      <w:spacing w:before="160" w:after="160" w:line="278" w:lineRule="auto"/>
      <w:jc w:val="center"/>
    </w:pPr>
    <w:rPr>
      <w:rFonts w:asciiTheme="minorHAnsi" w:eastAsiaTheme="minorHAnsi" w:hAnsiTheme="minorHAnsi" w:cstheme="minorBidi"/>
      <w:i/>
      <w:iCs/>
      <w:color w:val="404040" w:themeColor="text1" w:themeTint="BF"/>
      <w:kern w:val="2"/>
      <w:sz w:val="20"/>
      <w:szCs w:val="20"/>
      <w:lang w:val="en-US" w:eastAsia="en-US"/>
      <w14:ligatures w14:val="standardContextual"/>
    </w:rPr>
  </w:style>
  <w:style w:type="character" w:customStyle="1" w:styleId="QuoteChar">
    <w:name w:val="Quote Char"/>
    <w:basedOn w:val="DefaultParagraphFont"/>
    <w:link w:val="Quote"/>
    <w:uiPriority w:val="29"/>
    <w:rsid w:val="00C408E5"/>
    <w:rPr>
      <w:rFonts w:asciiTheme="minorHAnsi" w:eastAsiaTheme="minorHAnsi" w:hAnsiTheme="minorHAnsi" w:cstheme="minorBidi"/>
      <w:i/>
      <w:iCs/>
      <w:color w:val="404040" w:themeColor="text1" w:themeTint="BF"/>
      <w:kern w:val="2"/>
      <w:sz w:val="20"/>
      <w:szCs w:val="20"/>
      <w:lang w:eastAsia="en-US"/>
      <w14:ligatures w14:val="standardContextual"/>
    </w:rPr>
  </w:style>
  <w:style w:type="character" w:styleId="PlaceholderText">
    <w:name w:val="Placeholder Text"/>
    <w:basedOn w:val="DefaultParagraphFont"/>
    <w:uiPriority w:val="99"/>
    <w:semiHidden/>
    <w:rsid w:val="00C408E5"/>
    <w:rPr>
      <w:color w:val="666666"/>
    </w:rPr>
  </w:style>
  <w:style w:type="paragraph" w:styleId="Revision">
    <w:name w:val="Revision"/>
    <w:hidden/>
    <w:uiPriority w:val="99"/>
    <w:semiHidden/>
    <w:rsid w:val="00C408E5"/>
    <w:pPr>
      <w:spacing w:after="0" w:line="240" w:lineRule="auto"/>
    </w:pPr>
    <w:rPr>
      <w:rFonts w:asciiTheme="minorHAnsi" w:eastAsiaTheme="minorHAnsi" w:hAnsiTheme="minorHAnsi" w:cstheme="minorBidi"/>
      <w:color w:val="auto"/>
      <w:kern w:val="2"/>
      <w:sz w:val="20"/>
      <w:szCs w:val="20"/>
      <w:lang w:eastAsia="en-US"/>
      <w14:ligatures w14:val="standardContextual"/>
    </w:rPr>
  </w:style>
  <w:style w:type="table" w:styleId="GridTable3-Accent4">
    <w:name w:val="Grid Table 3 Accent 4"/>
    <w:basedOn w:val="TableNormal"/>
    <w:uiPriority w:val="48"/>
    <w:rsid w:val="006366D5"/>
    <w:pPr>
      <w:spacing w:after="0" w:line="240" w:lineRule="auto"/>
    </w:pPr>
    <w:rPr>
      <w:rFonts w:asciiTheme="minorHAnsi" w:eastAsiaTheme="minorHAnsi" w:hAnsiTheme="minorHAnsi" w:cstheme="minorBidi"/>
      <w:color w:val="auto"/>
      <w:kern w:val="2"/>
      <w:lang w:val="da-DK" w:eastAsia="en-US"/>
      <w14:ligatures w14:val="standardContextual"/>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paragraph" w:customStyle="1" w:styleId="Compact">
    <w:name w:val="Compact"/>
    <w:basedOn w:val="BodyText"/>
    <w:qFormat/>
    <w:rsid w:val="00317429"/>
    <w:pPr>
      <w:spacing w:before="36" w:after="36" w:line="240" w:lineRule="auto"/>
    </w:pPr>
    <w:rPr>
      <w:rFonts w:asciiTheme="minorHAnsi" w:hAnsiTheme="minorHAnsi" w:cstheme="minorBidi"/>
      <w:color w:val="auto"/>
      <w:sz w:val="22"/>
      <w:lang w:val="en-US" w:eastAsia="zh-CN"/>
    </w:rPr>
  </w:style>
  <w:style w:type="table" w:customStyle="1" w:styleId="Table">
    <w:name w:val="Table"/>
    <w:semiHidden/>
    <w:unhideWhenUsed/>
    <w:qFormat/>
    <w:rsid w:val="00317429"/>
    <w:pPr>
      <w:spacing w:line="240" w:lineRule="auto"/>
    </w:pPr>
    <w:rPr>
      <w:rFonts w:asciiTheme="minorHAnsi" w:hAnsiTheme="minorHAnsi" w:cstheme="minorBidi"/>
      <w:color w:val="auto"/>
      <w:sz w:val="20"/>
      <w:szCs w:val="20"/>
      <w:lang w:val="da-DK" w:eastAsia="da-DK"/>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ImageCaption">
    <w:name w:val="Image Caption"/>
    <w:basedOn w:val="Caption"/>
    <w:rsid w:val="00317429"/>
    <w:pPr>
      <w:spacing w:after="120"/>
    </w:pPr>
    <w:rPr>
      <w:rFonts w:asciiTheme="minorHAnsi" w:hAnsiTheme="minorHAnsi" w:cstheme="minorBidi"/>
      <w:iCs w:val="0"/>
      <w:color w:val="auto"/>
      <w:sz w:val="20"/>
      <w:szCs w:val="24"/>
      <w:lang w:val="en-US" w:eastAsia="zh-CN"/>
    </w:rPr>
  </w:style>
  <w:style w:type="paragraph" w:customStyle="1" w:styleId="TableCaption">
    <w:name w:val="Table Caption"/>
    <w:basedOn w:val="Caption"/>
    <w:rsid w:val="00317429"/>
    <w:pPr>
      <w:keepNext/>
      <w:spacing w:after="120"/>
    </w:pPr>
    <w:rPr>
      <w:rFonts w:asciiTheme="minorHAnsi" w:hAnsiTheme="minorHAnsi" w:cstheme="minorBidi"/>
      <w:iCs w:val="0"/>
      <w:color w:val="auto"/>
      <w:sz w:val="20"/>
      <w:szCs w:val="24"/>
      <w:lang w:val="en-US" w:eastAsia="zh-CN"/>
    </w:rPr>
  </w:style>
  <w:style w:type="paragraph" w:styleId="BodyText">
    <w:name w:val="Body Text"/>
    <w:basedOn w:val="Normal"/>
    <w:link w:val="BodyTextChar"/>
    <w:uiPriority w:val="99"/>
    <w:semiHidden/>
    <w:unhideWhenUsed/>
    <w:rsid w:val="00317429"/>
    <w:pPr>
      <w:spacing w:after="120"/>
    </w:pPr>
  </w:style>
  <w:style w:type="character" w:customStyle="1" w:styleId="BodyTextChar">
    <w:name w:val="Body Text Char"/>
    <w:basedOn w:val="DefaultParagraphFont"/>
    <w:link w:val="BodyText"/>
    <w:uiPriority w:val="99"/>
    <w:semiHidden/>
    <w:rsid w:val="00317429"/>
    <w:rPr>
      <w:rFonts w:ascii="Harding Text Web Regular" w:hAnsi="Harding Text Web Regular"/>
      <w:sz w:val="18"/>
      <w:lang w:val="en-GB" w:eastAsia="da-DK"/>
    </w:rPr>
  </w:style>
  <w:style w:type="paragraph" w:customStyle="1" w:styleId="FirstParagraph">
    <w:name w:val="First Paragraph"/>
    <w:basedOn w:val="BodyText"/>
    <w:next w:val="BodyText"/>
    <w:qFormat/>
    <w:rsid w:val="004F32DB"/>
    <w:pPr>
      <w:spacing w:before="180" w:after="180" w:line="240" w:lineRule="auto"/>
    </w:pPr>
    <w:rPr>
      <w:rFonts w:asciiTheme="minorHAnsi" w:hAnsiTheme="minorHAnsi" w:cstheme="minorBidi"/>
      <w:color w:val="auto"/>
      <w:sz w:val="22"/>
      <w:lang w:val="en-US" w:eastAsia="zh-CN"/>
    </w:rPr>
  </w:style>
  <w:style w:type="paragraph" w:customStyle="1" w:styleId="CitaviBibliographyEntry">
    <w:name w:val="Citavi Bibliography Entry"/>
    <w:basedOn w:val="Normal"/>
    <w:link w:val="CitaviBibliographyEntryZchn"/>
    <w:uiPriority w:val="99"/>
    <w:rsid w:val="002E3D96"/>
    <w:pPr>
      <w:spacing w:after="120" w:line="278" w:lineRule="auto"/>
      <w:jc w:val="left"/>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CitaviBibliographyEntryZchn">
    <w:name w:val="Citavi Bibliography Entry Zchn"/>
    <w:basedOn w:val="DefaultParagraphFont"/>
    <w:link w:val="CitaviBibliographyEntry"/>
    <w:uiPriority w:val="99"/>
    <w:rsid w:val="002E3D96"/>
    <w:rPr>
      <w:rFonts w:asciiTheme="minorHAnsi" w:eastAsiaTheme="minorHAnsi" w:hAnsiTheme="minorHAnsi" w:cstheme="minorBidi"/>
      <w:color w:val="auto"/>
      <w:kern w:val="2"/>
      <w:sz w:val="22"/>
      <w:szCs w:val="22"/>
      <w:lang w:eastAsia="en-US"/>
      <w14:ligatures w14:val="standardContextual"/>
    </w:rPr>
  </w:style>
  <w:style w:type="paragraph" w:customStyle="1" w:styleId="CitaviBibliographyHeading">
    <w:name w:val="Citavi Bibliography Heading"/>
    <w:basedOn w:val="Heading1"/>
    <w:link w:val="CitaviBibliographyHeadingZchn"/>
    <w:uiPriority w:val="99"/>
    <w:rsid w:val="002E3D96"/>
    <w:pPr>
      <w:tabs>
        <w:tab w:val="clear" w:pos="360"/>
      </w:tabs>
      <w:spacing w:before="360" w:after="80" w:line="278" w:lineRule="auto"/>
      <w:jc w:val="left"/>
    </w:pPr>
    <w:rPr>
      <w:rFonts w:asciiTheme="majorHAnsi" w:eastAsiaTheme="majorEastAsia" w:hAnsiTheme="majorHAnsi" w:cstheme="majorBidi"/>
      <w:b/>
      <w:bCs/>
      <w:color w:val="auto"/>
      <w:kern w:val="2"/>
      <w:sz w:val="32"/>
      <w:szCs w:val="40"/>
      <w:lang w:val="en-US" w:eastAsia="en-US"/>
      <w14:ligatures w14:val="standardContextual"/>
    </w:rPr>
  </w:style>
  <w:style w:type="character" w:customStyle="1" w:styleId="CitaviBibliographyHeadingZchn">
    <w:name w:val="Citavi Bibliography Heading Zchn"/>
    <w:basedOn w:val="DefaultParagraphFont"/>
    <w:link w:val="CitaviBibliographyHeading"/>
    <w:uiPriority w:val="99"/>
    <w:rsid w:val="002E3D96"/>
    <w:rPr>
      <w:rFonts w:asciiTheme="majorHAnsi" w:eastAsiaTheme="majorEastAsia" w:hAnsiTheme="majorHAnsi" w:cstheme="majorBidi"/>
      <w:b/>
      <w:bCs/>
      <w:color w:val="auto"/>
      <w:kern w:val="2"/>
      <w:sz w:val="32"/>
      <w:szCs w:val="40"/>
      <w:lang w:eastAsia="en-US"/>
      <w14:ligatures w14:val="standardContextual"/>
    </w:rPr>
  </w:style>
  <w:style w:type="paragraph" w:customStyle="1" w:styleId="CitaviChapterBibliographyHeading">
    <w:name w:val="Citavi Chapter Bibliography Heading"/>
    <w:basedOn w:val="Heading2"/>
    <w:link w:val="CitaviChapterBibliographyHeadingZchn"/>
    <w:uiPriority w:val="99"/>
    <w:rsid w:val="002E3D96"/>
    <w:pPr>
      <w:numPr>
        <w:numId w:val="0"/>
      </w:numPr>
      <w:tabs>
        <w:tab w:val="clear" w:pos="0"/>
        <w:tab w:val="clear" w:pos="360"/>
      </w:tabs>
      <w:suppressAutoHyphens w:val="0"/>
      <w:spacing w:before="160" w:after="80" w:line="278" w:lineRule="auto"/>
      <w:jc w:val="left"/>
    </w:pPr>
    <w:rPr>
      <w:rFonts w:asciiTheme="majorHAnsi" w:eastAsiaTheme="majorEastAsia" w:hAnsiTheme="majorHAnsi" w:cstheme="majorBidi"/>
      <w:b w:val="0"/>
      <w:color w:val="auto"/>
      <w:kern w:val="2"/>
      <w:szCs w:val="32"/>
      <w:lang w:val="en-US" w:eastAsia="en-US"/>
      <w14:ligatures w14:val="standardContextual"/>
    </w:rPr>
  </w:style>
  <w:style w:type="character" w:customStyle="1" w:styleId="CitaviChapterBibliographyHeadingZchn">
    <w:name w:val="Citavi Chapter Bibliography Heading Zchn"/>
    <w:basedOn w:val="DefaultParagraphFont"/>
    <w:link w:val="CitaviChapterBibliographyHeading"/>
    <w:uiPriority w:val="99"/>
    <w:rsid w:val="002E3D96"/>
    <w:rPr>
      <w:rFonts w:asciiTheme="majorHAnsi" w:eastAsiaTheme="majorEastAsia" w:hAnsiTheme="majorHAnsi" w:cstheme="majorBidi"/>
      <w:b/>
      <w:bCs/>
      <w:color w:val="auto"/>
      <w:kern w:val="2"/>
      <w:sz w:val="28"/>
      <w:szCs w:val="32"/>
      <w:lang w:eastAsia="en-US"/>
      <w14:ligatures w14:val="standardContextual"/>
    </w:rPr>
  </w:style>
  <w:style w:type="paragraph" w:customStyle="1" w:styleId="CitaviBibliographySubheading1">
    <w:name w:val="Citavi Bibliography Subheading 1"/>
    <w:basedOn w:val="Heading2"/>
    <w:link w:val="CitaviBibliographySubheading1Zchn"/>
    <w:uiPriority w:val="99"/>
    <w:rsid w:val="002E3D96"/>
    <w:pPr>
      <w:numPr>
        <w:numId w:val="0"/>
      </w:numPr>
      <w:tabs>
        <w:tab w:val="clear" w:pos="0"/>
        <w:tab w:val="clear" w:pos="360"/>
      </w:tabs>
      <w:suppressAutoHyphens w:val="0"/>
      <w:spacing w:before="160" w:after="80" w:line="278" w:lineRule="auto"/>
      <w:jc w:val="left"/>
      <w:outlineLvl w:val="9"/>
    </w:pPr>
    <w:rPr>
      <w:rFonts w:asciiTheme="majorHAnsi" w:eastAsiaTheme="majorEastAsia" w:hAnsiTheme="majorHAnsi" w:cstheme="majorBidi"/>
      <w:b w:val="0"/>
      <w:color w:val="auto"/>
      <w:kern w:val="2"/>
      <w:szCs w:val="32"/>
      <w:lang w:val="en-US" w:eastAsia="en-US"/>
      <w14:ligatures w14:val="standardContextual"/>
    </w:rPr>
  </w:style>
  <w:style w:type="character" w:customStyle="1" w:styleId="CitaviBibliographySubheading1Zchn">
    <w:name w:val="Citavi Bibliography Subheading 1 Zchn"/>
    <w:basedOn w:val="DefaultParagraphFont"/>
    <w:link w:val="CitaviBibliographySubheading1"/>
    <w:uiPriority w:val="99"/>
    <w:rsid w:val="002E3D96"/>
    <w:rPr>
      <w:rFonts w:asciiTheme="majorHAnsi" w:eastAsiaTheme="majorEastAsia" w:hAnsiTheme="majorHAnsi" w:cstheme="majorBidi"/>
      <w:b/>
      <w:bCs/>
      <w:color w:val="auto"/>
      <w:kern w:val="2"/>
      <w:sz w:val="28"/>
      <w:szCs w:val="32"/>
      <w:lang w:eastAsia="en-US"/>
      <w14:ligatures w14:val="standardContextual"/>
    </w:rPr>
  </w:style>
  <w:style w:type="paragraph" w:customStyle="1" w:styleId="CitaviBibliographySubheading2">
    <w:name w:val="Citavi Bibliography Subheading 2"/>
    <w:basedOn w:val="Heading3"/>
    <w:link w:val="CitaviBibliographySubheading2Zchn"/>
    <w:uiPriority w:val="99"/>
    <w:rsid w:val="002E3D96"/>
    <w:pPr>
      <w:suppressAutoHyphens w:val="0"/>
      <w:spacing w:before="160" w:after="80" w:line="278" w:lineRule="auto"/>
      <w:ind w:firstLine="0"/>
      <w:jc w:val="left"/>
      <w:outlineLvl w:val="9"/>
    </w:pPr>
    <w:rPr>
      <w:rFonts w:asciiTheme="minorHAnsi" w:hAnsiTheme="minorHAnsi" w:cstheme="majorBidi"/>
      <w:b/>
      <w:color w:val="auto"/>
      <w:kern w:val="2"/>
      <w:sz w:val="28"/>
      <w:szCs w:val="28"/>
      <w:lang w:val="en-US" w:eastAsia="en-US"/>
      <w14:ligatures w14:val="standardContextual"/>
    </w:rPr>
  </w:style>
  <w:style w:type="character" w:customStyle="1" w:styleId="CitaviBibliographySubheading2Zchn">
    <w:name w:val="Citavi Bibliography Subheading 2 Zchn"/>
    <w:basedOn w:val="DefaultParagraphFont"/>
    <w:link w:val="CitaviBibliographySubheading2"/>
    <w:uiPriority w:val="99"/>
    <w:rsid w:val="002E3D96"/>
    <w:rPr>
      <w:rFonts w:asciiTheme="minorHAnsi" w:eastAsiaTheme="majorEastAsia" w:hAnsiTheme="minorHAnsi" w:cstheme="majorBidi"/>
      <w:b/>
      <w:bCs/>
      <w:color w:val="auto"/>
      <w:kern w:val="2"/>
      <w:sz w:val="28"/>
      <w:szCs w:val="28"/>
      <w:lang w:eastAsia="en-US"/>
      <w14:ligatures w14:val="standardContextual"/>
    </w:rPr>
  </w:style>
  <w:style w:type="paragraph" w:customStyle="1" w:styleId="CitaviBibliographySubheading3">
    <w:name w:val="Citavi Bibliography Subheading 3"/>
    <w:basedOn w:val="Heading4"/>
    <w:link w:val="CitaviBibliographySubheading3Zchn"/>
    <w:uiPriority w:val="99"/>
    <w:rsid w:val="002E3D96"/>
    <w:pPr>
      <w:spacing w:before="80" w:after="40" w:line="278" w:lineRule="auto"/>
      <w:jc w:val="left"/>
      <w:outlineLvl w:val="9"/>
    </w:pPr>
    <w:rPr>
      <w:rFonts w:asciiTheme="minorHAnsi" w:hAnsiTheme="minorHAnsi"/>
      <w:b/>
      <w:bCs/>
      <w:color w:val="365F91" w:themeColor="accent1" w:themeShade="BF"/>
      <w:kern w:val="2"/>
      <w:sz w:val="22"/>
      <w:szCs w:val="22"/>
      <w:lang w:val="en-US" w:eastAsia="en-US"/>
      <w14:ligatures w14:val="standardContextual"/>
    </w:rPr>
  </w:style>
  <w:style w:type="character" w:customStyle="1" w:styleId="CitaviBibliographySubheading3Zchn">
    <w:name w:val="Citavi Bibliography Subheading 3 Zchn"/>
    <w:basedOn w:val="DefaultParagraphFont"/>
    <w:link w:val="CitaviBibliographySubheading3"/>
    <w:uiPriority w:val="99"/>
    <w:rsid w:val="002E3D96"/>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paragraph" w:customStyle="1" w:styleId="CitaviBibliographySubheading4">
    <w:name w:val="Citavi Bibliography Subheading 4"/>
    <w:basedOn w:val="Heading5"/>
    <w:link w:val="CitaviBibliographySubheading4Zchn"/>
    <w:uiPriority w:val="99"/>
    <w:rsid w:val="002E3D96"/>
    <w:pPr>
      <w:numPr>
        <w:ilvl w:val="0"/>
        <w:numId w:val="0"/>
      </w:numPr>
      <w:spacing w:before="80" w:after="40" w:line="278" w:lineRule="auto"/>
      <w:jc w:val="left"/>
      <w:outlineLvl w:val="9"/>
    </w:pPr>
    <w:rPr>
      <w:rFonts w:asciiTheme="minorHAnsi" w:hAnsiTheme="minorHAnsi"/>
      <w:color w:val="365F91" w:themeColor="accent1" w:themeShade="BF"/>
      <w:kern w:val="2"/>
      <w:sz w:val="22"/>
      <w:szCs w:val="22"/>
      <w:lang w:val="en-US" w:eastAsia="en-US"/>
      <w14:ligatures w14:val="standardContextual"/>
    </w:rPr>
  </w:style>
  <w:style w:type="character" w:customStyle="1" w:styleId="CitaviBibliographySubheading4Zchn">
    <w:name w:val="Citavi Bibliography Subheading 4 Zchn"/>
    <w:basedOn w:val="DefaultParagraphFont"/>
    <w:link w:val="CitaviBibliographySubheading4"/>
    <w:uiPriority w:val="99"/>
    <w:rsid w:val="002E3D96"/>
    <w:rPr>
      <w:rFonts w:asciiTheme="minorHAnsi" w:eastAsiaTheme="majorEastAsia" w:hAnsiTheme="minorHAnsi" w:cstheme="majorBidi"/>
      <w:color w:val="365F91" w:themeColor="accent1" w:themeShade="BF"/>
      <w:kern w:val="2"/>
      <w:sz w:val="22"/>
      <w:szCs w:val="22"/>
      <w:lang w:eastAsia="en-US"/>
      <w14:ligatures w14:val="standardContextual"/>
    </w:rPr>
  </w:style>
  <w:style w:type="paragraph" w:customStyle="1" w:styleId="CitaviBibliographySubheading5">
    <w:name w:val="Citavi Bibliography Subheading 5"/>
    <w:basedOn w:val="Heading6"/>
    <w:link w:val="CitaviBibliographySubheading5Zchn"/>
    <w:uiPriority w:val="99"/>
    <w:rsid w:val="002E3D96"/>
    <w:pPr>
      <w:numPr>
        <w:ilvl w:val="0"/>
        <w:numId w:val="0"/>
      </w:numPr>
      <w:spacing w:before="40" w:line="278" w:lineRule="auto"/>
      <w:jc w:val="left"/>
      <w:outlineLvl w:val="9"/>
    </w:pPr>
    <w:rPr>
      <w:rFonts w:asciiTheme="minorHAnsi" w:hAnsiTheme="minorHAnsi"/>
      <w:color w:val="595959" w:themeColor="text1" w:themeTint="A6"/>
      <w:kern w:val="2"/>
      <w:sz w:val="22"/>
      <w:szCs w:val="22"/>
      <w:lang w:val="en-US" w:eastAsia="en-US"/>
      <w14:ligatures w14:val="standardContextual"/>
    </w:rPr>
  </w:style>
  <w:style w:type="character" w:customStyle="1" w:styleId="CitaviBibliographySubheading5Zchn">
    <w:name w:val="Citavi Bibliography Subheading 5 Zchn"/>
    <w:basedOn w:val="DefaultParagraphFont"/>
    <w:link w:val="CitaviBibliographySubheading5"/>
    <w:uiPriority w:val="99"/>
    <w:rsid w:val="002E3D96"/>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customStyle="1" w:styleId="CitaviBibliographySubheading6">
    <w:name w:val="Citavi Bibliography Subheading 6"/>
    <w:basedOn w:val="Heading7"/>
    <w:link w:val="CitaviBibliographySubheading6Zchn"/>
    <w:uiPriority w:val="99"/>
    <w:rsid w:val="002E3D96"/>
    <w:pPr>
      <w:numPr>
        <w:ilvl w:val="0"/>
        <w:numId w:val="0"/>
      </w:numPr>
      <w:spacing w:before="40" w:line="278" w:lineRule="auto"/>
      <w:jc w:val="left"/>
      <w:outlineLvl w:val="9"/>
    </w:pPr>
    <w:rPr>
      <w:rFonts w:asciiTheme="minorHAnsi" w:hAnsiTheme="minorHAnsi"/>
      <w:i w:val="0"/>
      <w:iCs w:val="0"/>
      <w:color w:val="595959" w:themeColor="text1" w:themeTint="A6"/>
      <w:kern w:val="2"/>
      <w:sz w:val="22"/>
      <w:szCs w:val="22"/>
      <w:lang w:val="en-US" w:eastAsia="en-US"/>
      <w14:ligatures w14:val="standardContextual"/>
    </w:rPr>
  </w:style>
  <w:style w:type="character" w:customStyle="1" w:styleId="CitaviBibliographySubheading6Zchn">
    <w:name w:val="Citavi Bibliography Subheading 6 Zchn"/>
    <w:basedOn w:val="DefaultParagraphFont"/>
    <w:link w:val="CitaviBibliographySubheading6"/>
    <w:uiPriority w:val="99"/>
    <w:rsid w:val="002E3D96"/>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customStyle="1" w:styleId="CitaviBibliographySubheading7">
    <w:name w:val="Citavi Bibliography Subheading 7"/>
    <w:basedOn w:val="Heading8"/>
    <w:link w:val="CitaviBibliographySubheading7Zchn"/>
    <w:uiPriority w:val="99"/>
    <w:rsid w:val="002E3D96"/>
    <w:pPr>
      <w:numPr>
        <w:ilvl w:val="0"/>
        <w:numId w:val="0"/>
      </w:numPr>
      <w:spacing w:before="0" w:line="278" w:lineRule="auto"/>
      <w:jc w:val="left"/>
      <w:outlineLvl w:val="9"/>
    </w:pPr>
    <w:rPr>
      <w:rFonts w:asciiTheme="minorHAnsi" w:hAnsiTheme="minorHAnsi"/>
      <w:i/>
      <w:iCs/>
      <w:color w:val="272727" w:themeColor="text1" w:themeTint="D8"/>
      <w:kern w:val="2"/>
      <w:sz w:val="22"/>
      <w:szCs w:val="22"/>
      <w:lang w:val="en-US" w:eastAsia="en-US"/>
      <w14:ligatures w14:val="standardContextual"/>
    </w:rPr>
  </w:style>
  <w:style w:type="character" w:customStyle="1" w:styleId="CitaviBibliographySubheading7Zchn">
    <w:name w:val="Citavi Bibliography Subheading 7 Zchn"/>
    <w:basedOn w:val="DefaultParagraphFont"/>
    <w:link w:val="CitaviBibliographySubheading7"/>
    <w:uiPriority w:val="99"/>
    <w:rsid w:val="002E3D96"/>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customStyle="1" w:styleId="CitaviBibliographySubheading8">
    <w:name w:val="Citavi Bibliography Subheading 8"/>
    <w:basedOn w:val="Heading9"/>
    <w:link w:val="CitaviBibliographySubheading8Zchn"/>
    <w:uiPriority w:val="99"/>
    <w:rsid w:val="002E3D96"/>
    <w:pPr>
      <w:numPr>
        <w:ilvl w:val="0"/>
        <w:numId w:val="0"/>
      </w:numPr>
      <w:spacing w:before="0" w:line="278" w:lineRule="auto"/>
      <w:jc w:val="left"/>
      <w:outlineLvl w:val="9"/>
    </w:pPr>
    <w:rPr>
      <w:rFonts w:asciiTheme="minorHAnsi" w:hAnsiTheme="minorHAnsi"/>
      <w:i w:val="0"/>
      <w:iCs w:val="0"/>
      <w:color w:val="272727" w:themeColor="text1" w:themeTint="D8"/>
      <w:kern w:val="2"/>
      <w:sz w:val="22"/>
      <w:szCs w:val="22"/>
      <w:lang w:val="en-US" w:eastAsia="en-US"/>
      <w14:ligatures w14:val="standardContextual"/>
    </w:rPr>
  </w:style>
  <w:style w:type="character" w:customStyle="1" w:styleId="CitaviBibliographySubheading8Zchn">
    <w:name w:val="Citavi Bibliography Subheading 8 Zchn"/>
    <w:basedOn w:val="DefaultParagraphFont"/>
    <w:link w:val="CitaviBibliographySubheading8"/>
    <w:uiPriority w:val="99"/>
    <w:rsid w:val="002E3D96"/>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Bibliography">
    <w:name w:val="Bibliography"/>
    <w:basedOn w:val="Normal"/>
    <w:next w:val="Normal"/>
    <w:uiPriority w:val="37"/>
    <w:semiHidden/>
    <w:unhideWhenUsed/>
    <w:rsid w:val="002E3D96"/>
    <w:pPr>
      <w:spacing w:after="160" w:line="278" w:lineRule="auto"/>
      <w:jc w:val="left"/>
    </w:pPr>
    <w:rPr>
      <w:rFonts w:asciiTheme="minorHAnsi" w:eastAsiaTheme="minorHAnsi" w:hAnsiTheme="minorHAnsi" w:cstheme="minorBidi"/>
      <w:color w:val="auto"/>
      <w:kern w:val="2"/>
      <w:sz w:val="22"/>
      <w:szCs w:val="22"/>
      <w:lang w:val="en-US" w:eastAsia="en-US"/>
      <w14:ligatures w14:val="standardContextual"/>
    </w:rPr>
  </w:style>
  <w:style w:type="table" w:styleId="MediumList1-Accent1">
    <w:name w:val="Medium List 1 Accent 1"/>
    <w:basedOn w:val="TableNormal"/>
    <w:uiPriority w:val="65"/>
    <w:semiHidden/>
    <w:unhideWhenUsed/>
    <w:rsid w:val="002E3D96"/>
    <w:pPr>
      <w:spacing w:after="0" w:line="240" w:lineRule="auto"/>
    </w:pPr>
    <w:rPr>
      <w:rFonts w:asciiTheme="minorHAnsi" w:eastAsiaTheme="minorHAnsi" w:hAnsiTheme="minorHAnsi" w:cstheme="minorBidi"/>
      <w:kern w:val="2"/>
      <w:lang w:val="de-DE" w:eastAsia="en-US"/>
      <w14:ligatures w14:val="standardContextua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1">
    <w:name w:val="Medium Shading 2 Accent 1"/>
    <w:basedOn w:val="TableNormal"/>
    <w:uiPriority w:val="64"/>
    <w:semiHidden/>
    <w:unhideWhenUsed/>
    <w:rsid w:val="002E3D96"/>
    <w:pPr>
      <w:spacing w:after="0" w:line="240" w:lineRule="auto"/>
    </w:pPr>
    <w:rPr>
      <w:rFonts w:asciiTheme="minorHAnsi" w:eastAsiaTheme="minorHAnsi" w:hAnsiTheme="minorHAnsi" w:cstheme="minorBidi"/>
      <w:color w:val="auto"/>
      <w:kern w:val="2"/>
      <w:lang w:val="de-DE" w:eastAsia="en-US"/>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2E3D96"/>
    <w:pPr>
      <w:spacing w:after="0" w:line="240" w:lineRule="auto"/>
    </w:pPr>
    <w:rPr>
      <w:rFonts w:asciiTheme="minorHAnsi" w:eastAsiaTheme="minorHAnsi" w:hAnsiTheme="minorHAnsi" w:cstheme="minorBidi"/>
      <w:color w:val="auto"/>
      <w:kern w:val="2"/>
      <w:lang w:val="de-DE" w:eastAsia="en-US"/>
      <w14:ligatures w14:val="standardContextu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2E3D96"/>
    <w:pPr>
      <w:spacing w:after="0" w:line="240" w:lineRule="auto"/>
    </w:pPr>
    <w:rPr>
      <w:rFonts w:asciiTheme="minorHAnsi" w:eastAsiaTheme="minorHAnsi" w:hAnsiTheme="minorHAnsi" w:cstheme="minorBidi"/>
      <w:color w:val="auto"/>
      <w:kern w:val="2"/>
      <w:lang w:val="de-DE" w:eastAsia="en-US"/>
      <w14:ligatures w14:val="standardContextu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semiHidden/>
    <w:unhideWhenUsed/>
    <w:rsid w:val="002E3D96"/>
    <w:pPr>
      <w:spacing w:after="0" w:line="240" w:lineRule="auto"/>
    </w:pPr>
    <w:rPr>
      <w:rFonts w:asciiTheme="minorHAnsi" w:eastAsiaTheme="minorHAnsi" w:hAnsiTheme="minorHAnsi" w:cstheme="minorBidi"/>
      <w:color w:val="auto"/>
      <w:kern w:val="2"/>
      <w:lang w:val="de-DE" w:eastAsia="en-US"/>
      <w14:ligatures w14:val="standardContextu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semiHidden/>
    <w:unhideWhenUsed/>
    <w:rsid w:val="002E3D96"/>
    <w:pPr>
      <w:spacing w:after="0" w:line="240" w:lineRule="auto"/>
    </w:pPr>
    <w:rPr>
      <w:rFonts w:asciiTheme="minorHAnsi" w:eastAsiaTheme="minorHAnsi" w:hAnsiTheme="minorHAnsi" w:cstheme="minorBidi"/>
      <w:color w:val="365F91" w:themeColor="accent1" w:themeShade="BF"/>
      <w:kern w:val="2"/>
      <w:lang w:val="de-DE" w:eastAsia="en-US"/>
      <w14:ligatures w14:val="standardContextua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Shading">
    <w:name w:val="Colorful Shading"/>
    <w:basedOn w:val="TableNormal"/>
    <w:uiPriority w:val="71"/>
    <w:semiHidden/>
    <w:unhideWhenUsed/>
    <w:rsid w:val="002E3D96"/>
    <w:pPr>
      <w:spacing w:after="0" w:line="240" w:lineRule="auto"/>
    </w:pPr>
    <w:rPr>
      <w:rFonts w:asciiTheme="minorHAnsi" w:eastAsiaTheme="minorHAnsi" w:hAnsiTheme="minorHAnsi" w:cstheme="minorBidi"/>
      <w:kern w:val="2"/>
      <w:lang w:val="de-DE" w:eastAsia="en-US"/>
      <w14:ligatures w14:val="standardContextua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E3D96"/>
    <w:pPr>
      <w:spacing w:after="0" w:line="240" w:lineRule="auto"/>
    </w:pPr>
    <w:rPr>
      <w:rFonts w:asciiTheme="minorHAnsi" w:eastAsiaTheme="minorHAnsi" w:hAnsiTheme="minorHAnsi" w:cstheme="minorBidi"/>
      <w:color w:val="FFFFFF" w:themeColor="background1"/>
      <w:kern w:val="2"/>
      <w:lang w:val="de-DE" w:eastAsia="en-US"/>
      <w14:ligatures w14:val="standardContextua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2E3D96"/>
    <w:pPr>
      <w:spacing w:after="0" w:line="240" w:lineRule="auto"/>
    </w:pPr>
    <w:rPr>
      <w:rFonts w:asciiTheme="minorHAnsi" w:eastAsiaTheme="minorHAnsi" w:hAnsiTheme="minorHAnsi" w:cstheme="minorBidi"/>
      <w:color w:val="auto"/>
      <w:kern w:val="2"/>
      <w:lang w:val="de-DE" w:eastAsia="en-US"/>
      <w14:ligatures w14:val="standardContextu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1">
    <w:name w:val="Medium Grid 1"/>
    <w:basedOn w:val="TableNormal"/>
    <w:uiPriority w:val="67"/>
    <w:semiHidden/>
    <w:unhideWhenUsed/>
    <w:rsid w:val="002E3D96"/>
    <w:pPr>
      <w:spacing w:after="0" w:line="240" w:lineRule="auto"/>
    </w:pPr>
    <w:rPr>
      <w:rFonts w:asciiTheme="minorHAnsi" w:eastAsiaTheme="minorHAnsi" w:hAnsiTheme="minorHAnsi" w:cstheme="minorBidi"/>
      <w:color w:val="auto"/>
      <w:kern w:val="2"/>
      <w:lang w:val="de-DE" w:eastAsia="en-US"/>
      <w14:ligatures w14:val="standardContextu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1">
    <w:name w:val="Medium List 1"/>
    <w:basedOn w:val="TableNormal"/>
    <w:uiPriority w:val="65"/>
    <w:semiHidden/>
    <w:unhideWhenUsed/>
    <w:rsid w:val="002E3D96"/>
    <w:pPr>
      <w:spacing w:after="0" w:line="240" w:lineRule="auto"/>
    </w:pPr>
    <w:rPr>
      <w:rFonts w:asciiTheme="minorHAnsi" w:eastAsiaTheme="minorHAnsi" w:hAnsiTheme="minorHAnsi" w:cstheme="minorBidi"/>
      <w:kern w:val="2"/>
      <w:lang w:val="de-DE" w:eastAsia="en-US"/>
      <w14:ligatures w14:val="standardContextua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2E3D96"/>
    <w:pPr>
      <w:spacing w:after="0" w:line="240" w:lineRule="auto"/>
    </w:pPr>
    <w:rPr>
      <w:rFonts w:asciiTheme="minorHAnsi" w:eastAsiaTheme="minorHAnsi" w:hAnsiTheme="minorHAnsi" w:cstheme="minorBidi"/>
      <w:color w:val="auto"/>
      <w:kern w:val="2"/>
      <w:lang w:val="de-DE" w:eastAsia="en-US"/>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2E3D96"/>
    <w:pPr>
      <w:spacing w:after="0" w:line="240" w:lineRule="auto"/>
    </w:pPr>
    <w:rPr>
      <w:rFonts w:asciiTheme="minorHAnsi" w:eastAsiaTheme="minorHAnsi" w:hAnsiTheme="minorHAnsi" w:cstheme="minorBidi"/>
      <w:color w:val="auto"/>
      <w:kern w:val="2"/>
      <w:lang w:val="de-DE" w:eastAsia="en-US"/>
      <w14:ligatures w14:val="standardContextu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2E3D96"/>
    <w:pPr>
      <w:spacing w:after="0" w:line="240" w:lineRule="auto"/>
    </w:pPr>
    <w:rPr>
      <w:rFonts w:asciiTheme="minorHAnsi" w:eastAsiaTheme="minorHAnsi" w:hAnsiTheme="minorHAnsi" w:cstheme="minorBidi"/>
      <w:color w:val="auto"/>
      <w:kern w:val="2"/>
      <w:lang w:val="de-DE" w:eastAsia="en-US"/>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2E3D96"/>
    <w:pPr>
      <w:spacing w:after="0" w:line="240" w:lineRule="auto"/>
    </w:pPr>
    <w:rPr>
      <w:rFonts w:asciiTheme="minorHAnsi" w:eastAsiaTheme="minorHAnsi" w:hAnsiTheme="minorHAnsi" w:cstheme="minorBidi"/>
      <w:color w:val="auto"/>
      <w:kern w:val="2"/>
      <w:lang w:val="de-DE" w:eastAsia="en-US"/>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2E3D96"/>
    <w:pPr>
      <w:spacing w:after="0" w:line="240" w:lineRule="auto"/>
    </w:pPr>
    <w:rPr>
      <w:rFonts w:asciiTheme="minorHAnsi" w:eastAsiaTheme="minorHAnsi" w:hAnsiTheme="minorHAnsi" w:cstheme="minorBidi"/>
      <w:color w:val="000000" w:themeColor="text1" w:themeShade="BF"/>
      <w:kern w:val="2"/>
      <w:lang w:val="de-DE" w:eastAsia="en-US"/>
      <w14:ligatures w14:val="standardContextua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2E3D96"/>
    <w:rPr>
      <w:i/>
      <w:iCs/>
    </w:rPr>
  </w:style>
  <w:style w:type="character" w:styleId="HTMLDefinition">
    <w:name w:val="HTML Definition"/>
    <w:basedOn w:val="DefaultParagraphFont"/>
    <w:uiPriority w:val="99"/>
    <w:semiHidden/>
    <w:unhideWhenUsed/>
    <w:rsid w:val="002E3D96"/>
    <w:rPr>
      <w:i/>
      <w:iCs/>
    </w:rPr>
  </w:style>
  <w:style w:type="character" w:styleId="HTMLCite">
    <w:name w:val="HTML Cite"/>
    <w:basedOn w:val="DefaultParagraphFont"/>
    <w:uiPriority w:val="99"/>
    <w:semiHidden/>
    <w:unhideWhenUsed/>
    <w:rsid w:val="002E3D96"/>
    <w:rPr>
      <w:i/>
      <w:iCs/>
    </w:rPr>
  </w:style>
  <w:style w:type="paragraph" w:styleId="HTMLAddress">
    <w:name w:val="HTML Address"/>
    <w:basedOn w:val="Normal"/>
    <w:link w:val="HTMLAddressChar"/>
    <w:uiPriority w:val="99"/>
    <w:semiHidden/>
    <w:unhideWhenUsed/>
    <w:rsid w:val="002E3D96"/>
    <w:pPr>
      <w:spacing w:after="0" w:line="240" w:lineRule="auto"/>
      <w:jc w:val="left"/>
    </w:pPr>
    <w:rPr>
      <w:rFonts w:asciiTheme="minorHAnsi" w:eastAsiaTheme="minorHAnsi" w:hAnsiTheme="minorHAnsi" w:cstheme="minorBidi"/>
      <w:i/>
      <w:iCs/>
      <w:color w:val="auto"/>
      <w:kern w:val="2"/>
      <w:sz w:val="22"/>
      <w:szCs w:val="22"/>
      <w:lang w:val="en-US" w:eastAsia="en-US"/>
      <w14:ligatures w14:val="standardContextual"/>
    </w:rPr>
  </w:style>
  <w:style w:type="character" w:customStyle="1" w:styleId="HTMLAddressChar">
    <w:name w:val="HTML Address Char"/>
    <w:basedOn w:val="DefaultParagraphFont"/>
    <w:link w:val="HTMLAddress"/>
    <w:uiPriority w:val="99"/>
    <w:semiHidden/>
    <w:rsid w:val="002E3D96"/>
    <w:rPr>
      <w:rFonts w:asciiTheme="minorHAnsi" w:eastAsiaTheme="minorHAnsi" w:hAnsiTheme="minorHAnsi" w:cstheme="minorBidi"/>
      <w:i/>
      <w:iCs/>
      <w:color w:val="auto"/>
      <w:kern w:val="2"/>
      <w:sz w:val="22"/>
      <w:szCs w:val="22"/>
      <w:lang w:eastAsia="en-US"/>
      <w14:ligatures w14:val="standardContextual"/>
    </w:rPr>
  </w:style>
  <w:style w:type="character" w:styleId="HTMLAcronym">
    <w:name w:val="HTML Acronym"/>
    <w:basedOn w:val="DefaultParagraphFont"/>
    <w:uiPriority w:val="99"/>
    <w:semiHidden/>
    <w:unhideWhenUsed/>
    <w:rsid w:val="002E3D96"/>
  </w:style>
  <w:style w:type="paragraph" w:styleId="BodyTextIndent3">
    <w:name w:val="Body Text Indent 3"/>
    <w:basedOn w:val="Normal"/>
    <w:link w:val="BodyTextIndent3Char"/>
    <w:uiPriority w:val="99"/>
    <w:semiHidden/>
    <w:unhideWhenUsed/>
    <w:rsid w:val="002E3D96"/>
    <w:pPr>
      <w:spacing w:after="120" w:line="278" w:lineRule="auto"/>
      <w:ind w:left="283"/>
      <w:jc w:val="left"/>
    </w:pPr>
    <w:rPr>
      <w:rFonts w:asciiTheme="minorHAnsi" w:eastAsiaTheme="minorHAnsi" w:hAnsiTheme="minorHAnsi" w:cstheme="minorBidi"/>
      <w:color w:val="auto"/>
      <w:kern w:val="2"/>
      <w:sz w:val="16"/>
      <w:szCs w:val="16"/>
      <w:lang w:val="en-US" w:eastAsia="en-US"/>
      <w14:ligatures w14:val="standardContextual"/>
    </w:rPr>
  </w:style>
  <w:style w:type="character" w:customStyle="1" w:styleId="BodyTextIndent3Char">
    <w:name w:val="Body Text Indent 3 Char"/>
    <w:basedOn w:val="DefaultParagraphFont"/>
    <w:link w:val="BodyTextIndent3"/>
    <w:uiPriority w:val="99"/>
    <w:semiHidden/>
    <w:rsid w:val="002E3D96"/>
    <w:rPr>
      <w:rFonts w:asciiTheme="minorHAnsi" w:eastAsiaTheme="minorHAnsi" w:hAnsiTheme="minorHAnsi" w:cstheme="minorBidi"/>
      <w:color w:val="auto"/>
      <w:kern w:val="2"/>
      <w:sz w:val="16"/>
      <w:szCs w:val="16"/>
      <w:lang w:eastAsia="en-US"/>
      <w14:ligatures w14:val="standardContextual"/>
    </w:rPr>
  </w:style>
  <w:style w:type="paragraph" w:styleId="BodyTextIndent2">
    <w:name w:val="Body Text Indent 2"/>
    <w:basedOn w:val="Normal"/>
    <w:link w:val="BodyTextIndent2Char"/>
    <w:uiPriority w:val="99"/>
    <w:semiHidden/>
    <w:unhideWhenUsed/>
    <w:rsid w:val="002E3D96"/>
    <w:pPr>
      <w:spacing w:after="120" w:line="480" w:lineRule="auto"/>
      <w:ind w:left="283"/>
      <w:jc w:val="left"/>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BodyTextIndent2Char">
    <w:name w:val="Body Text Indent 2 Char"/>
    <w:basedOn w:val="DefaultParagraphFont"/>
    <w:link w:val="BodyTextIndent2"/>
    <w:uiPriority w:val="99"/>
    <w:semiHidden/>
    <w:rsid w:val="002E3D96"/>
    <w:rPr>
      <w:rFonts w:asciiTheme="minorHAnsi" w:eastAsiaTheme="minorHAnsi" w:hAnsiTheme="minorHAnsi" w:cstheme="minorBidi"/>
      <w:color w:val="auto"/>
      <w:kern w:val="2"/>
      <w:sz w:val="22"/>
      <w:szCs w:val="22"/>
      <w:lang w:eastAsia="en-US"/>
      <w14:ligatures w14:val="standardContextual"/>
    </w:rPr>
  </w:style>
  <w:style w:type="paragraph" w:styleId="BodyText3">
    <w:name w:val="Body Text 3"/>
    <w:basedOn w:val="Normal"/>
    <w:link w:val="BodyText3Char"/>
    <w:uiPriority w:val="99"/>
    <w:semiHidden/>
    <w:unhideWhenUsed/>
    <w:rsid w:val="002E3D96"/>
    <w:pPr>
      <w:spacing w:after="120" w:line="278" w:lineRule="auto"/>
      <w:jc w:val="left"/>
    </w:pPr>
    <w:rPr>
      <w:rFonts w:asciiTheme="minorHAnsi" w:eastAsiaTheme="minorHAnsi" w:hAnsiTheme="minorHAnsi" w:cstheme="minorBidi"/>
      <w:color w:val="auto"/>
      <w:kern w:val="2"/>
      <w:sz w:val="16"/>
      <w:szCs w:val="16"/>
      <w:lang w:val="en-US" w:eastAsia="en-US"/>
      <w14:ligatures w14:val="standardContextual"/>
    </w:rPr>
  </w:style>
  <w:style w:type="character" w:customStyle="1" w:styleId="BodyText3Char">
    <w:name w:val="Body Text 3 Char"/>
    <w:basedOn w:val="DefaultParagraphFont"/>
    <w:link w:val="BodyText3"/>
    <w:uiPriority w:val="99"/>
    <w:semiHidden/>
    <w:rsid w:val="002E3D96"/>
    <w:rPr>
      <w:rFonts w:asciiTheme="minorHAnsi" w:eastAsiaTheme="minorHAnsi" w:hAnsiTheme="minorHAnsi" w:cstheme="minorBidi"/>
      <w:color w:val="auto"/>
      <w:kern w:val="2"/>
      <w:sz w:val="16"/>
      <w:szCs w:val="16"/>
      <w:lang w:eastAsia="en-US"/>
      <w14:ligatures w14:val="standardContextual"/>
    </w:rPr>
  </w:style>
  <w:style w:type="paragraph" w:styleId="BodyText2">
    <w:name w:val="Body Text 2"/>
    <w:basedOn w:val="Normal"/>
    <w:link w:val="BodyText2Char"/>
    <w:uiPriority w:val="99"/>
    <w:semiHidden/>
    <w:unhideWhenUsed/>
    <w:rsid w:val="002E3D96"/>
    <w:pPr>
      <w:spacing w:after="120" w:line="480" w:lineRule="auto"/>
      <w:jc w:val="left"/>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BodyText2Char">
    <w:name w:val="Body Text 2 Char"/>
    <w:basedOn w:val="DefaultParagraphFont"/>
    <w:link w:val="BodyText2"/>
    <w:uiPriority w:val="99"/>
    <w:semiHidden/>
    <w:rsid w:val="002E3D96"/>
    <w:rPr>
      <w:rFonts w:asciiTheme="minorHAnsi" w:eastAsiaTheme="minorHAnsi" w:hAnsiTheme="minorHAnsi" w:cstheme="minorBidi"/>
      <w:color w:val="auto"/>
      <w:kern w:val="2"/>
      <w:sz w:val="22"/>
      <w:szCs w:val="22"/>
      <w:lang w:eastAsia="en-US"/>
      <w14:ligatures w14:val="standardContextual"/>
    </w:rPr>
  </w:style>
  <w:style w:type="paragraph" w:styleId="NoteHeading">
    <w:name w:val="Note Heading"/>
    <w:basedOn w:val="Normal"/>
    <w:next w:val="Normal"/>
    <w:link w:val="NoteHeadingChar"/>
    <w:uiPriority w:val="99"/>
    <w:semiHidden/>
    <w:unhideWhenUsed/>
    <w:rsid w:val="002E3D96"/>
    <w:pPr>
      <w:spacing w:after="0" w:line="240" w:lineRule="auto"/>
      <w:jc w:val="left"/>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NoteHeadingChar">
    <w:name w:val="Note Heading Char"/>
    <w:basedOn w:val="DefaultParagraphFont"/>
    <w:link w:val="NoteHeading"/>
    <w:uiPriority w:val="99"/>
    <w:semiHidden/>
    <w:rsid w:val="002E3D96"/>
    <w:rPr>
      <w:rFonts w:asciiTheme="minorHAnsi" w:eastAsiaTheme="minorHAnsi" w:hAnsiTheme="minorHAnsi" w:cstheme="minorBidi"/>
      <w:color w:val="auto"/>
      <w:kern w:val="2"/>
      <w:sz w:val="22"/>
      <w:szCs w:val="22"/>
      <w:lang w:eastAsia="en-US"/>
      <w14:ligatures w14:val="standardContextual"/>
    </w:rPr>
  </w:style>
  <w:style w:type="paragraph" w:styleId="BodyTextIndent">
    <w:name w:val="Body Text Indent"/>
    <w:basedOn w:val="Normal"/>
    <w:link w:val="BodyTextIndentChar"/>
    <w:uiPriority w:val="99"/>
    <w:semiHidden/>
    <w:unhideWhenUsed/>
    <w:rsid w:val="002E3D96"/>
    <w:pPr>
      <w:spacing w:after="120" w:line="278" w:lineRule="auto"/>
      <w:ind w:left="283"/>
      <w:jc w:val="left"/>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BodyTextIndentChar">
    <w:name w:val="Body Text Indent Char"/>
    <w:basedOn w:val="DefaultParagraphFont"/>
    <w:link w:val="BodyTextIndent"/>
    <w:uiPriority w:val="99"/>
    <w:semiHidden/>
    <w:rsid w:val="002E3D96"/>
    <w:rPr>
      <w:rFonts w:asciiTheme="minorHAnsi" w:eastAsiaTheme="minorHAnsi" w:hAnsiTheme="minorHAnsi" w:cstheme="minorBidi"/>
      <w:color w:val="auto"/>
      <w:kern w:val="2"/>
      <w:sz w:val="22"/>
      <w:szCs w:val="22"/>
      <w:lang w:eastAsia="en-US"/>
      <w14:ligatures w14:val="standardContextual"/>
    </w:rPr>
  </w:style>
  <w:style w:type="paragraph" w:styleId="BodyTextFirstIndent2">
    <w:name w:val="Body Text First Indent 2"/>
    <w:basedOn w:val="BodyTextIndent"/>
    <w:link w:val="BodyTextFirstIndent2Char"/>
    <w:uiPriority w:val="99"/>
    <w:semiHidden/>
    <w:unhideWhenUsed/>
    <w:rsid w:val="002E3D9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2E3D96"/>
    <w:rPr>
      <w:rFonts w:asciiTheme="minorHAnsi" w:eastAsiaTheme="minorHAnsi" w:hAnsiTheme="minorHAnsi" w:cstheme="minorBidi"/>
      <w:color w:val="auto"/>
      <w:kern w:val="2"/>
      <w:sz w:val="22"/>
      <w:szCs w:val="22"/>
      <w:lang w:eastAsia="en-US"/>
      <w14:ligatures w14:val="standardContextual"/>
    </w:rPr>
  </w:style>
  <w:style w:type="paragraph" w:styleId="BodyTextFirstIndent">
    <w:name w:val="Body Text First Indent"/>
    <w:basedOn w:val="BodyText"/>
    <w:link w:val="BodyTextFirstIndentChar"/>
    <w:uiPriority w:val="99"/>
    <w:semiHidden/>
    <w:unhideWhenUsed/>
    <w:rsid w:val="002E3D96"/>
    <w:pPr>
      <w:spacing w:after="160" w:line="278" w:lineRule="auto"/>
      <w:ind w:firstLine="360"/>
      <w:jc w:val="left"/>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BodyTextFirstIndentChar">
    <w:name w:val="Body Text First Indent Char"/>
    <w:basedOn w:val="BodyTextChar"/>
    <w:link w:val="BodyTextFirstIndent"/>
    <w:uiPriority w:val="99"/>
    <w:semiHidden/>
    <w:rsid w:val="002E3D96"/>
    <w:rPr>
      <w:rFonts w:asciiTheme="minorHAnsi" w:eastAsiaTheme="minorHAnsi" w:hAnsiTheme="minorHAnsi" w:cstheme="minorBidi"/>
      <w:color w:val="auto"/>
      <w:kern w:val="2"/>
      <w:sz w:val="22"/>
      <w:szCs w:val="22"/>
      <w:lang w:val="en-GB" w:eastAsia="en-US"/>
      <w14:ligatures w14:val="standardContextual"/>
    </w:rPr>
  </w:style>
  <w:style w:type="paragraph" w:styleId="Date">
    <w:name w:val="Date"/>
    <w:basedOn w:val="Normal"/>
    <w:next w:val="Normal"/>
    <w:link w:val="DateChar"/>
    <w:uiPriority w:val="99"/>
    <w:semiHidden/>
    <w:unhideWhenUsed/>
    <w:rsid w:val="002E3D96"/>
    <w:pPr>
      <w:spacing w:after="160" w:line="278" w:lineRule="auto"/>
      <w:jc w:val="left"/>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DateChar">
    <w:name w:val="Date Char"/>
    <w:basedOn w:val="DefaultParagraphFont"/>
    <w:link w:val="Date"/>
    <w:uiPriority w:val="99"/>
    <w:semiHidden/>
    <w:rsid w:val="002E3D96"/>
    <w:rPr>
      <w:rFonts w:asciiTheme="minorHAnsi" w:eastAsiaTheme="minorHAnsi" w:hAnsiTheme="minorHAnsi" w:cstheme="minorBidi"/>
      <w:color w:val="auto"/>
      <w:kern w:val="2"/>
      <w:sz w:val="22"/>
      <w:szCs w:val="22"/>
      <w:lang w:eastAsia="en-US"/>
      <w14:ligatures w14:val="standardContextual"/>
    </w:rPr>
  </w:style>
  <w:style w:type="paragraph" w:styleId="Salutation">
    <w:name w:val="Salutation"/>
    <w:basedOn w:val="Normal"/>
    <w:next w:val="Normal"/>
    <w:link w:val="SalutationChar"/>
    <w:uiPriority w:val="99"/>
    <w:semiHidden/>
    <w:unhideWhenUsed/>
    <w:rsid w:val="002E3D96"/>
    <w:pPr>
      <w:spacing w:after="160" w:line="278" w:lineRule="auto"/>
      <w:jc w:val="left"/>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SalutationChar">
    <w:name w:val="Salutation Char"/>
    <w:basedOn w:val="DefaultParagraphFont"/>
    <w:link w:val="Salutation"/>
    <w:uiPriority w:val="99"/>
    <w:semiHidden/>
    <w:rsid w:val="002E3D96"/>
    <w:rPr>
      <w:rFonts w:asciiTheme="minorHAnsi" w:eastAsiaTheme="minorHAnsi" w:hAnsiTheme="minorHAnsi" w:cstheme="minorBidi"/>
      <w:color w:val="auto"/>
      <w:kern w:val="2"/>
      <w:sz w:val="22"/>
      <w:szCs w:val="22"/>
      <w:lang w:eastAsia="en-US"/>
      <w14:ligatures w14:val="standardContextual"/>
    </w:rPr>
  </w:style>
  <w:style w:type="paragraph" w:styleId="ListContinue5">
    <w:name w:val="List Continue 5"/>
    <w:basedOn w:val="Normal"/>
    <w:uiPriority w:val="99"/>
    <w:semiHidden/>
    <w:unhideWhenUsed/>
    <w:rsid w:val="002E3D96"/>
    <w:pPr>
      <w:spacing w:after="120" w:line="278" w:lineRule="auto"/>
      <w:ind w:left="1415"/>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Continue4">
    <w:name w:val="List Continue 4"/>
    <w:basedOn w:val="Normal"/>
    <w:uiPriority w:val="99"/>
    <w:semiHidden/>
    <w:unhideWhenUsed/>
    <w:rsid w:val="002E3D96"/>
    <w:pPr>
      <w:spacing w:after="120" w:line="278" w:lineRule="auto"/>
      <w:ind w:left="1132"/>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Continue3">
    <w:name w:val="List Continue 3"/>
    <w:basedOn w:val="Normal"/>
    <w:uiPriority w:val="99"/>
    <w:semiHidden/>
    <w:unhideWhenUsed/>
    <w:rsid w:val="002E3D96"/>
    <w:pPr>
      <w:spacing w:after="120" w:line="278" w:lineRule="auto"/>
      <w:ind w:left="849"/>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Continue2">
    <w:name w:val="List Continue 2"/>
    <w:basedOn w:val="Normal"/>
    <w:uiPriority w:val="99"/>
    <w:semiHidden/>
    <w:unhideWhenUsed/>
    <w:rsid w:val="002E3D96"/>
    <w:pPr>
      <w:spacing w:after="120" w:line="278" w:lineRule="auto"/>
      <w:ind w:left="566"/>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Continue">
    <w:name w:val="List Continue"/>
    <w:basedOn w:val="Normal"/>
    <w:uiPriority w:val="99"/>
    <w:semiHidden/>
    <w:unhideWhenUsed/>
    <w:rsid w:val="002E3D96"/>
    <w:pPr>
      <w:spacing w:after="120" w:line="278" w:lineRule="auto"/>
      <w:ind w:left="283"/>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Signature">
    <w:name w:val="Signature"/>
    <w:basedOn w:val="Normal"/>
    <w:link w:val="SignatureChar"/>
    <w:uiPriority w:val="99"/>
    <w:semiHidden/>
    <w:unhideWhenUsed/>
    <w:rsid w:val="002E3D96"/>
    <w:pPr>
      <w:spacing w:after="0" w:line="240" w:lineRule="auto"/>
      <w:ind w:left="4252"/>
      <w:jc w:val="left"/>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SignatureChar">
    <w:name w:val="Signature Char"/>
    <w:basedOn w:val="DefaultParagraphFont"/>
    <w:link w:val="Signature"/>
    <w:uiPriority w:val="99"/>
    <w:semiHidden/>
    <w:rsid w:val="002E3D96"/>
    <w:rPr>
      <w:rFonts w:asciiTheme="minorHAnsi" w:eastAsiaTheme="minorHAnsi" w:hAnsiTheme="minorHAnsi" w:cstheme="minorBidi"/>
      <w:color w:val="auto"/>
      <w:kern w:val="2"/>
      <w:sz w:val="22"/>
      <w:szCs w:val="22"/>
      <w:lang w:eastAsia="en-US"/>
      <w14:ligatures w14:val="standardContextual"/>
    </w:rPr>
  </w:style>
  <w:style w:type="paragraph" w:styleId="Closing">
    <w:name w:val="Closing"/>
    <w:basedOn w:val="Normal"/>
    <w:link w:val="ClosingChar"/>
    <w:uiPriority w:val="99"/>
    <w:semiHidden/>
    <w:unhideWhenUsed/>
    <w:rsid w:val="002E3D96"/>
    <w:pPr>
      <w:spacing w:after="0" w:line="240" w:lineRule="auto"/>
      <w:ind w:left="4252"/>
      <w:jc w:val="left"/>
    </w:pPr>
    <w:rPr>
      <w:rFonts w:asciiTheme="minorHAnsi" w:eastAsiaTheme="minorHAnsi" w:hAnsiTheme="minorHAnsi" w:cstheme="minorBidi"/>
      <w:color w:val="auto"/>
      <w:kern w:val="2"/>
      <w:sz w:val="22"/>
      <w:szCs w:val="22"/>
      <w:lang w:val="en-US" w:eastAsia="en-US"/>
      <w14:ligatures w14:val="standardContextual"/>
    </w:rPr>
  </w:style>
  <w:style w:type="character" w:customStyle="1" w:styleId="ClosingChar">
    <w:name w:val="Closing Char"/>
    <w:basedOn w:val="DefaultParagraphFont"/>
    <w:link w:val="Closing"/>
    <w:uiPriority w:val="99"/>
    <w:semiHidden/>
    <w:rsid w:val="002E3D96"/>
    <w:rPr>
      <w:rFonts w:asciiTheme="minorHAnsi" w:eastAsiaTheme="minorHAnsi" w:hAnsiTheme="minorHAnsi" w:cstheme="minorBidi"/>
      <w:color w:val="auto"/>
      <w:kern w:val="2"/>
      <w:sz w:val="22"/>
      <w:szCs w:val="22"/>
      <w:lang w:eastAsia="en-US"/>
      <w14:ligatures w14:val="standardContextual"/>
    </w:rPr>
  </w:style>
  <w:style w:type="paragraph" w:styleId="ListNumber5">
    <w:name w:val="List Number 5"/>
    <w:basedOn w:val="Normal"/>
    <w:uiPriority w:val="99"/>
    <w:semiHidden/>
    <w:unhideWhenUsed/>
    <w:rsid w:val="002E3D96"/>
    <w:pPr>
      <w:numPr>
        <w:numId w:val="4"/>
      </w:numPr>
      <w:tabs>
        <w:tab w:val="clear" w:pos="1492"/>
      </w:tabs>
      <w:spacing w:after="160" w:line="278" w:lineRule="auto"/>
      <w:ind w:left="0" w:firstLine="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Number4">
    <w:name w:val="List Number 4"/>
    <w:basedOn w:val="Normal"/>
    <w:uiPriority w:val="99"/>
    <w:semiHidden/>
    <w:unhideWhenUsed/>
    <w:rsid w:val="002E3D96"/>
    <w:pPr>
      <w:numPr>
        <w:numId w:val="5"/>
      </w:numPr>
      <w:tabs>
        <w:tab w:val="clear" w:pos="1209"/>
      </w:tabs>
      <w:spacing w:after="160" w:line="278" w:lineRule="auto"/>
      <w:ind w:left="0" w:firstLine="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Number3">
    <w:name w:val="List Number 3"/>
    <w:basedOn w:val="Normal"/>
    <w:uiPriority w:val="99"/>
    <w:semiHidden/>
    <w:unhideWhenUsed/>
    <w:rsid w:val="002E3D96"/>
    <w:pPr>
      <w:numPr>
        <w:numId w:val="6"/>
      </w:numPr>
      <w:tabs>
        <w:tab w:val="clear" w:pos="926"/>
      </w:tabs>
      <w:spacing w:after="160" w:line="278" w:lineRule="auto"/>
      <w:ind w:left="0" w:firstLine="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Number2">
    <w:name w:val="List Number 2"/>
    <w:basedOn w:val="Normal"/>
    <w:uiPriority w:val="99"/>
    <w:semiHidden/>
    <w:unhideWhenUsed/>
    <w:rsid w:val="002E3D96"/>
    <w:pPr>
      <w:numPr>
        <w:numId w:val="7"/>
      </w:numPr>
      <w:tabs>
        <w:tab w:val="clear" w:pos="643"/>
      </w:tabs>
      <w:spacing w:after="160" w:line="278" w:lineRule="auto"/>
      <w:ind w:left="0" w:firstLine="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Bullet5">
    <w:name w:val="List Bullet 5"/>
    <w:basedOn w:val="Normal"/>
    <w:uiPriority w:val="99"/>
    <w:semiHidden/>
    <w:unhideWhenUsed/>
    <w:rsid w:val="002E3D96"/>
    <w:pPr>
      <w:numPr>
        <w:numId w:val="8"/>
      </w:numPr>
      <w:tabs>
        <w:tab w:val="clear" w:pos="1492"/>
      </w:tabs>
      <w:spacing w:after="160" w:line="278" w:lineRule="auto"/>
      <w:ind w:left="0" w:firstLine="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Bullet4">
    <w:name w:val="List Bullet 4"/>
    <w:basedOn w:val="Normal"/>
    <w:uiPriority w:val="99"/>
    <w:semiHidden/>
    <w:unhideWhenUsed/>
    <w:rsid w:val="002E3D96"/>
    <w:pPr>
      <w:numPr>
        <w:numId w:val="9"/>
      </w:numPr>
      <w:tabs>
        <w:tab w:val="clear" w:pos="1209"/>
      </w:tabs>
      <w:spacing w:after="160" w:line="278" w:lineRule="auto"/>
      <w:ind w:left="0" w:firstLine="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Bullet3">
    <w:name w:val="List Bullet 3"/>
    <w:basedOn w:val="Normal"/>
    <w:uiPriority w:val="99"/>
    <w:semiHidden/>
    <w:unhideWhenUsed/>
    <w:rsid w:val="002E3D96"/>
    <w:pPr>
      <w:numPr>
        <w:numId w:val="10"/>
      </w:numPr>
      <w:tabs>
        <w:tab w:val="clear" w:pos="926"/>
      </w:tabs>
      <w:spacing w:after="160" w:line="278" w:lineRule="auto"/>
      <w:ind w:left="0" w:firstLine="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Bullet2">
    <w:name w:val="List Bullet 2"/>
    <w:basedOn w:val="Normal"/>
    <w:uiPriority w:val="99"/>
    <w:semiHidden/>
    <w:unhideWhenUsed/>
    <w:rsid w:val="002E3D96"/>
    <w:pPr>
      <w:numPr>
        <w:numId w:val="11"/>
      </w:numPr>
      <w:tabs>
        <w:tab w:val="clear" w:pos="643"/>
      </w:tabs>
      <w:spacing w:after="160" w:line="278" w:lineRule="auto"/>
      <w:ind w:left="0" w:firstLine="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5">
    <w:name w:val="List 5"/>
    <w:basedOn w:val="Normal"/>
    <w:uiPriority w:val="99"/>
    <w:semiHidden/>
    <w:unhideWhenUsed/>
    <w:rsid w:val="002E3D96"/>
    <w:pPr>
      <w:spacing w:after="160" w:line="278" w:lineRule="auto"/>
      <w:ind w:left="1415" w:hanging="283"/>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4">
    <w:name w:val="List 4"/>
    <w:basedOn w:val="Normal"/>
    <w:uiPriority w:val="99"/>
    <w:semiHidden/>
    <w:unhideWhenUsed/>
    <w:rsid w:val="002E3D96"/>
    <w:pPr>
      <w:spacing w:after="160" w:line="278" w:lineRule="auto"/>
      <w:ind w:left="1132" w:hanging="283"/>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3">
    <w:name w:val="List 3"/>
    <w:basedOn w:val="Normal"/>
    <w:uiPriority w:val="99"/>
    <w:semiHidden/>
    <w:unhideWhenUsed/>
    <w:rsid w:val="002E3D96"/>
    <w:pPr>
      <w:spacing w:after="160" w:line="278" w:lineRule="auto"/>
      <w:ind w:left="849" w:hanging="283"/>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2">
    <w:name w:val="List 2"/>
    <w:basedOn w:val="Normal"/>
    <w:uiPriority w:val="99"/>
    <w:semiHidden/>
    <w:unhideWhenUsed/>
    <w:rsid w:val="002E3D96"/>
    <w:pPr>
      <w:spacing w:after="160" w:line="278" w:lineRule="auto"/>
      <w:ind w:left="566" w:hanging="283"/>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Number">
    <w:name w:val="List Number"/>
    <w:basedOn w:val="Normal"/>
    <w:uiPriority w:val="99"/>
    <w:semiHidden/>
    <w:unhideWhenUsed/>
    <w:rsid w:val="002E3D96"/>
    <w:pPr>
      <w:numPr>
        <w:numId w:val="12"/>
      </w:numPr>
      <w:tabs>
        <w:tab w:val="clear" w:pos="360"/>
      </w:tabs>
      <w:spacing w:after="160" w:line="278" w:lineRule="auto"/>
      <w:ind w:left="0" w:firstLine="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Bullet">
    <w:name w:val="List Bullet"/>
    <w:basedOn w:val="Normal"/>
    <w:uiPriority w:val="99"/>
    <w:semiHidden/>
    <w:unhideWhenUsed/>
    <w:rsid w:val="002E3D96"/>
    <w:pPr>
      <w:numPr>
        <w:numId w:val="13"/>
      </w:numPr>
      <w:tabs>
        <w:tab w:val="clear" w:pos="360"/>
      </w:tabs>
      <w:spacing w:after="160" w:line="278" w:lineRule="auto"/>
      <w:ind w:left="0" w:firstLine="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List">
    <w:name w:val="List"/>
    <w:basedOn w:val="Normal"/>
    <w:uiPriority w:val="99"/>
    <w:semiHidden/>
    <w:unhideWhenUsed/>
    <w:rsid w:val="002E3D96"/>
    <w:pPr>
      <w:spacing w:after="160" w:line="278" w:lineRule="auto"/>
      <w:ind w:left="283" w:hanging="283"/>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TableofAuthorities">
    <w:name w:val="table of authorities"/>
    <w:basedOn w:val="Normal"/>
    <w:next w:val="Normal"/>
    <w:uiPriority w:val="99"/>
    <w:semiHidden/>
    <w:unhideWhenUsed/>
    <w:rsid w:val="002E3D96"/>
    <w:pPr>
      <w:spacing w:after="0" w:line="278" w:lineRule="auto"/>
      <w:ind w:left="240" w:hanging="24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EndnoteText">
    <w:name w:val="endnote text"/>
    <w:basedOn w:val="Normal"/>
    <w:link w:val="EndnoteTextChar"/>
    <w:uiPriority w:val="99"/>
    <w:semiHidden/>
    <w:unhideWhenUsed/>
    <w:rsid w:val="002E3D96"/>
    <w:pPr>
      <w:spacing w:after="0" w:line="240" w:lineRule="auto"/>
      <w:jc w:val="left"/>
    </w:pPr>
    <w:rPr>
      <w:rFonts w:asciiTheme="minorHAnsi" w:eastAsiaTheme="minorHAnsi" w:hAnsiTheme="minorHAnsi" w:cstheme="minorBidi"/>
      <w:color w:val="auto"/>
      <w:kern w:val="2"/>
      <w:sz w:val="20"/>
      <w:szCs w:val="20"/>
      <w:lang w:val="en-US" w:eastAsia="en-US"/>
      <w14:ligatures w14:val="standardContextual"/>
    </w:rPr>
  </w:style>
  <w:style w:type="character" w:customStyle="1" w:styleId="EndnoteTextChar">
    <w:name w:val="Endnote Text Char"/>
    <w:basedOn w:val="DefaultParagraphFont"/>
    <w:link w:val="EndnoteText"/>
    <w:uiPriority w:val="99"/>
    <w:semiHidden/>
    <w:rsid w:val="002E3D96"/>
    <w:rPr>
      <w:rFonts w:asciiTheme="minorHAnsi" w:eastAsiaTheme="minorHAnsi" w:hAnsiTheme="minorHAnsi" w:cstheme="minorBidi"/>
      <w:color w:val="auto"/>
      <w:kern w:val="2"/>
      <w:sz w:val="20"/>
      <w:szCs w:val="20"/>
      <w:lang w:eastAsia="en-US"/>
      <w14:ligatures w14:val="standardContextual"/>
    </w:rPr>
  </w:style>
  <w:style w:type="character" w:styleId="EndnoteReference">
    <w:name w:val="endnote reference"/>
    <w:basedOn w:val="DefaultParagraphFont"/>
    <w:uiPriority w:val="99"/>
    <w:semiHidden/>
    <w:unhideWhenUsed/>
    <w:rsid w:val="002E3D96"/>
    <w:rPr>
      <w:vertAlign w:val="superscript"/>
    </w:rPr>
  </w:style>
  <w:style w:type="character" w:styleId="PageNumber">
    <w:name w:val="page number"/>
    <w:basedOn w:val="DefaultParagraphFont"/>
    <w:uiPriority w:val="99"/>
    <w:semiHidden/>
    <w:unhideWhenUsed/>
    <w:rsid w:val="002E3D96"/>
  </w:style>
  <w:style w:type="character" w:styleId="FootnoteReference">
    <w:name w:val="footnote reference"/>
    <w:basedOn w:val="DefaultParagraphFont"/>
    <w:uiPriority w:val="99"/>
    <w:semiHidden/>
    <w:unhideWhenUsed/>
    <w:rsid w:val="002E3D96"/>
    <w:rPr>
      <w:vertAlign w:val="superscript"/>
    </w:rPr>
  </w:style>
  <w:style w:type="paragraph" w:styleId="FootnoteText">
    <w:name w:val="footnote text"/>
    <w:basedOn w:val="Normal"/>
    <w:link w:val="FootnoteTextChar"/>
    <w:uiPriority w:val="99"/>
    <w:unhideWhenUsed/>
    <w:rsid w:val="002E3D96"/>
    <w:pPr>
      <w:spacing w:after="0" w:line="240" w:lineRule="auto"/>
      <w:jc w:val="left"/>
    </w:pPr>
    <w:rPr>
      <w:rFonts w:asciiTheme="minorHAnsi" w:eastAsiaTheme="minorHAnsi" w:hAnsiTheme="minorHAnsi" w:cstheme="minorBidi"/>
      <w:color w:val="auto"/>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rsid w:val="002E3D96"/>
    <w:rPr>
      <w:rFonts w:asciiTheme="minorHAnsi" w:eastAsiaTheme="minorHAnsi" w:hAnsiTheme="minorHAnsi" w:cstheme="minorBidi"/>
      <w:color w:val="auto"/>
      <w:kern w:val="2"/>
      <w:sz w:val="20"/>
      <w:szCs w:val="20"/>
      <w:lang w:eastAsia="en-US"/>
      <w14:ligatures w14:val="standardContextual"/>
    </w:rPr>
  </w:style>
  <w:style w:type="paragraph" w:styleId="NormalIndent">
    <w:name w:val="Normal Indent"/>
    <w:basedOn w:val="Normal"/>
    <w:uiPriority w:val="99"/>
    <w:semiHidden/>
    <w:unhideWhenUsed/>
    <w:rsid w:val="002E3D96"/>
    <w:pPr>
      <w:spacing w:after="160" w:line="278" w:lineRule="auto"/>
      <w:ind w:left="708"/>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TOC9">
    <w:name w:val="toc 9"/>
    <w:basedOn w:val="Normal"/>
    <w:next w:val="Normal"/>
    <w:autoRedefine/>
    <w:uiPriority w:val="39"/>
    <w:semiHidden/>
    <w:unhideWhenUsed/>
    <w:rsid w:val="002E3D96"/>
    <w:pPr>
      <w:spacing w:after="100" w:line="278" w:lineRule="auto"/>
      <w:ind w:left="192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TOC8">
    <w:name w:val="toc 8"/>
    <w:basedOn w:val="Normal"/>
    <w:next w:val="Normal"/>
    <w:autoRedefine/>
    <w:uiPriority w:val="39"/>
    <w:semiHidden/>
    <w:unhideWhenUsed/>
    <w:rsid w:val="002E3D96"/>
    <w:pPr>
      <w:spacing w:after="100" w:line="278" w:lineRule="auto"/>
      <w:ind w:left="168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TOC7">
    <w:name w:val="toc 7"/>
    <w:basedOn w:val="Normal"/>
    <w:next w:val="Normal"/>
    <w:autoRedefine/>
    <w:uiPriority w:val="39"/>
    <w:semiHidden/>
    <w:unhideWhenUsed/>
    <w:rsid w:val="002E3D96"/>
    <w:pPr>
      <w:spacing w:after="100" w:line="278" w:lineRule="auto"/>
      <w:ind w:left="144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TOC6">
    <w:name w:val="toc 6"/>
    <w:basedOn w:val="Normal"/>
    <w:next w:val="Normal"/>
    <w:autoRedefine/>
    <w:uiPriority w:val="39"/>
    <w:semiHidden/>
    <w:unhideWhenUsed/>
    <w:rsid w:val="002E3D96"/>
    <w:pPr>
      <w:spacing w:after="100" w:line="278" w:lineRule="auto"/>
      <w:ind w:left="120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TOC5">
    <w:name w:val="toc 5"/>
    <w:basedOn w:val="Normal"/>
    <w:next w:val="Normal"/>
    <w:autoRedefine/>
    <w:uiPriority w:val="39"/>
    <w:semiHidden/>
    <w:unhideWhenUsed/>
    <w:rsid w:val="002E3D96"/>
    <w:pPr>
      <w:spacing w:after="100" w:line="278" w:lineRule="auto"/>
      <w:ind w:left="96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TOC4">
    <w:name w:val="toc 4"/>
    <w:basedOn w:val="Normal"/>
    <w:next w:val="Normal"/>
    <w:autoRedefine/>
    <w:uiPriority w:val="39"/>
    <w:semiHidden/>
    <w:unhideWhenUsed/>
    <w:rsid w:val="002E3D96"/>
    <w:pPr>
      <w:spacing w:after="100" w:line="278" w:lineRule="auto"/>
      <w:ind w:left="72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Index9">
    <w:name w:val="index 9"/>
    <w:basedOn w:val="Normal"/>
    <w:next w:val="Normal"/>
    <w:autoRedefine/>
    <w:uiPriority w:val="99"/>
    <w:semiHidden/>
    <w:unhideWhenUsed/>
    <w:rsid w:val="002E3D96"/>
    <w:pPr>
      <w:spacing w:after="0" w:line="240" w:lineRule="auto"/>
      <w:ind w:left="2160" w:hanging="24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Index8">
    <w:name w:val="index 8"/>
    <w:basedOn w:val="Normal"/>
    <w:next w:val="Normal"/>
    <w:autoRedefine/>
    <w:uiPriority w:val="99"/>
    <w:semiHidden/>
    <w:unhideWhenUsed/>
    <w:rsid w:val="002E3D96"/>
    <w:pPr>
      <w:spacing w:after="0" w:line="240" w:lineRule="auto"/>
      <w:ind w:left="1920" w:hanging="24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Index7">
    <w:name w:val="index 7"/>
    <w:basedOn w:val="Normal"/>
    <w:next w:val="Normal"/>
    <w:autoRedefine/>
    <w:uiPriority w:val="99"/>
    <w:semiHidden/>
    <w:unhideWhenUsed/>
    <w:rsid w:val="002E3D96"/>
    <w:pPr>
      <w:spacing w:after="0" w:line="240" w:lineRule="auto"/>
      <w:ind w:left="1680" w:hanging="24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Index6">
    <w:name w:val="index 6"/>
    <w:basedOn w:val="Normal"/>
    <w:next w:val="Normal"/>
    <w:autoRedefine/>
    <w:uiPriority w:val="99"/>
    <w:semiHidden/>
    <w:unhideWhenUsed/>
    <w:rsid w:val="002E3D96"/>
    <w:pPr>
      <w:spacing w:after="0" w:line="240" w:lineRule="auto"/>
      <w:ind w:left="1440" w:hanging="24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Index5">
    <w:name w:val="index 5"/>
    <w:basedOn w:val="Normal"/>
    <w:next w:val="Normal"/>
    <w:autoRedefine/>
    <w:uiPriority w:val="99"/>
    <w:semiHidden/>
    <w:unhideWhenUsed/>
    <w:rsid w:val="002E3D96"/>
    <w:pPr>
      <w:spacing w:after="0" w:line="240" w:lineRule="auto"/>
      <w:ind w:left="1200" w:hanging="24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Index4">
    <w:name w:val="index 4"/>
    <w:basedOn w:val="Normal"/>
    <w:next w:val="Normal"/>
    <w:autoRedefine/>
    <w:uiPriority w:val="99"/>
    <w:semiHidden/>
    <w:unhideWhenUsed/>
    <w:rsid w:val="002E3D96"/>
    <w:pPr>
      <w:spacing w:after="0" w:line="240" w:lineRule="auto"/>
      <w:ind w:left="960" w:hanging="24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Index3">
    <w:name w:val="index 3"/>
    <w:basedOn w:val="Normal"/>
    <w:next w:val="Normal"/>
    <w:autoRedefine/>
    <w:uiPriority w:val="99"/>
    <w:semiHidden/>
    <w:unhideWhenUsed/>
    <w:rsid w:val="002E3D96"/>
    <w:pPr>
      <w:spacing w:after="0" w:line="240" w:lineRule="auto"/>
      <w:ind w:left="720" w:hanging="240"/>
      <w:jc w:val="left"/>
    </w:pPr>
    <w:rPr>
      <w:rFonts w:asciiTheme="minorHAnsi" w:eastAsiaTheme="minorHAnsi" w:hAnsiTheme="minorHAnsi" w:cstheme="minorBidi"/>
      <w:color w:val="auto"/>
      <w:kern w:val="2"/>
      <w:sz w:val="22"/>
      <w:szCs w:val="22"/>
      <w:lang w:val="en-US" w:eastAsia="en-US"/>
      <w14:ligatures w14:val="standardContextual"/>
    </w:rPr>
  </w:style>
  <w:style w:type="paragraph" w:styleId="Index2">
    <w:name w:val="index 2"/>
    <w:basedOn w:val="Normal"/>
    <w:next w:val="Normal"/>
    <w:autoRedefine/>
    <w:uiPriority w:val="99"/>
    <w:semiHidden/>
    <w:unhideWhenUsed/>
    <w:rsid w:val="002E3D96"/>
    <w:pPr>
      <w:spacing w:after="0" w:line="240" w:lineRule="auto"/>
      <w:ind w:left="480" w:hanging="240"/>
      <w:jc w:val="left"/>
    </w:pPr>
    <w:rPr>
      <w:rFonts w:asciiTheme="minorHAnsi" w:eastAsiaTheme="minorHAnsi" w:hAnsiTheme="minorHAnsi" w:cstheme="minorBidi"/>
      <w:color w:val="auto"/>
      <w:kern w:val="2"/>
      <w:sz w:val="22"/>
      <w:szCs w:val="22"/>
      <w:lang w:val="en-US" w:eastAsia="en-US"/>
      <w14:ligatures w14:val="standardContextual"/>
    </w:rPr>
  </w:style>
  <w:style w:type="paragraph" w:customStyle="1" w:styleId="Default">
    <w:name w:val="Default"/>
    <w:rsid w:val="002E3D96"/>
    <w:pPr>
      <w:autoSpaceDE w:val="0"/>
      <w:autoSpaceDN w:val="0"/>
      <w:adjustRightInd w:val="0"/>
      <w:spacing w:after="0" w:line="240" w:lineRule="auto"/>
    </w:pPr>
    <w:rPr>
      <w:rFonts w:eastAsiaTheme="minorHAnsi"/>
      <w:color w:val="000000"/>
      <w:lang w:val="de-DE" w:eastAsia="en-US"/>
      <w14:ligatures w14:val="standardContextual"/>
    </w:rPr>
  </w:style>
  <w:style w:type="paragraph" w:customStyle="1" w:styleId="Textbody">
    <w:name w:val="Text body"/>
    <w:basedOn w:val="Normal"/>
    <w:rsid w:val="002E3D96"/>
    <w:pPr>
      <w:suppressAutoHyphens/>
      <w:autoSpaceDN w:val="0"/>
      <w:spacing w:after="140" w:line="276" w:lineRule="auto"/>
      <w:jc w:val="left"/>
      <w:textAlignment w:val="baseline"/>
    </w:pPr>
    <w:rPr>
      <w:rFonts w:ascii="Liberation Serif" w:eastAsia="NSimSun" w:hAnsi="Liberation Serif" w:cs="Lucida Sans"/>
      <w:color w:val="auto"/>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830">
      <w:marLeft w:val="480"/>
      <w:marRight w:val="0"/>
      <w:marTop w:val="0"/>
      <w:marBottom w:val="0"/>
      <w:divBdr>
        <w:top w:val="none" w:sz="0" w:space="0" w:color="auto"/>
        <w:left w:val="none" w:sz="0" w:space="0" w:color="auto"/>
        <w:bottom w:val="none" w:sz="0" w:space="0" w:color="auto"/>
        <w:right w:val="none" w:sz="0" w:space="0" w:color="auto"/>
      </w:divBdr>
    </w:div>
    <w:div w:id="7372755">
      <w:bodyDiv w:val="1"/>
      <w:marLeft w:val="0"/>
      <w:marRight w:val="0"/>
      <w:marTop w:val="0"/>
      <w:marBottom w:val="0"/>
      <w:divBdr>
        <w:top w:val="none" w:sz="0" w:space="0" w:color="auto"/>
        <w:left w:val="none" w:sz="0" w:space="0" w:color="auto"/>
        <w:bottom w:val="none" w:sz="0" w:space="0" w:color="auto"/>
        <w:right w:val="none" w:sz="0" w:space="0" w:color="auto"/>
      </w:divBdr>
    </w:div>
    <w:div w:id="8992462">
      <w:marLeft w:val="480"/>
      <w:marRight w:val="0"/>
      <w:marTop w:val="0"/>
      <w:marBottom w:val="0"/>
      <w:divBdr>
        <w:top w:val="none" w:sz="0" w:space="0" w:color="auto"/>
        <w:left w:val="none" w:sz="0" w:space="0" w:color="auto"/>
        <w:bottom w:val="none" w:sz="0" w:space="0" w:color="auto"/>
        <w:right w:val="none" w:sz="0" w:space="0" w:color="auto"/>
      </w:divBdr>
    </w:div>
    <w:div w:id="10690416">
      <w:marLeft w:val="480"/>
      <w:marRight w:val="0"/>
      <w:marTop w:val="0"/>
      <w:marBottom w:val="0"/>
      <w:divBdr>
        <w:top w:val="none" w:sz="0" w:space="0" w:color="auto"/>
        <w:left w:val="none" w:sz="0" w:space="0" w:color="auto"/>
        <w:bottom w:val="none" w:sz="0" w:space="0" w:color="auto"/>
        <w:right w:val="none" w:sz="0" w:space="0" w:color="auto"/>
      </w:divBdr>
    </w:div>
    <w:div w:id="11107207">
      <w:marLeft w:val="480"/>
      <w:marRight w:val="0"/>
      <w:marTop w:val="0"/>
      <w:marBottom w:val="0"/>
      <w:divBdr>
        <w:top w:val="none" w:sz="0" w:space="0" w:color="auto"/>
        <w:left w:val="none" w:sz="0" w:space="0" w:color="auto"/>
        <w:bottom w:val="none" w:sz="0" w:space="0" w:color="auto"/>
        <w:right w:val="none" w:sz="0" w:space="0" w:color="auto"/>
      </w:divBdr>
    </w:div>
    <w:div w:id="17002583">
      <w:marLeft w:val="480"/>
      <w:marRight w:val="0"/>
      <w:marTop w:val="0"/>
      <w:marBottom w:val="0"/>
      <w:divBdr>
        <w:top w:val="none" w:sz="0" w:space="0" w:color="auto"/>
        <w:left w:val="none" w:sz="0" w:space="0" w:color="auto"/>
        <w:bottom w:val="none" w:sz="0" w:space="0" w:color="auto"/>
        <w:right w:val="none" w:sz="0" w:space="0" w:color="auto"/>
      </w:divBdr>
    </w:div>
    <w:div w:id="17582501">
      <w:marLeft w:val="480"/>
      <w:marRight w:val="0"/>
      <w:marTop w:val="0"/>
      <w:marBottom w:val="0"/>
      <w:divBdr>
        <w:top w:val="none" w:sz="0" w:space="0" w:color="auto"/>
        <w:left w:val="none" w:sz="0" w:space="0" w:color="auto"/>
        <w:bottom w:val="none" w:sz="0" w:space="0" w:color="auto"/>
        <w:right w:val="none" w:sz="0" w:space="0" w:color="auto"/>
      </w:divBdr>
    </w:div>
    <w:div w:id="17968753">
      <w:marLeft w:val="480"/>
      <w:marRight w:val="0"/>
      <w:marTop w:val="0"/>
      <w:marBottom w:val="0"/>
      <w:divBdr>
        <w:top w:val="none" w:sz="0" w:space="0" w:color="auto"/>
        <w:left w:val="none" w:sz="0" w:space="0" w:color="auto"/>
        <w:bottom w:val="none" w:sz="0" w:space="0" w:color="auto"/>
        <w:right w:val="none" w:sz="0" w:space="0" w:color="auto"/>
      </w:divBdr>
    </w:div>
    <w:div w:id="28334466">
      <w:marLeft w:val="480"/>
      <w:marRight w:val="0"/>
      <w:marTop w:val="0"/>
      <w:marBottom w:val="0"/>
      <w:divBdr>
        <w:top w:val="none" w:sz="0" w:space="0" w:color="auto"/>
        <w:left w:val="none" w:sz="0" w:space="0" w:color="auto"/>
        <w:bottom w:val="none" w:sz="0" w:space="0" w:color="auto"/>
        <w:right w:val="none" w:sz="0" w:space="0" w:color="auto"/>
      </w:divBdr>
    </w:div>
    <w:div w:id="28846140">
      <w:marLeft w:val="480"/>
      <w:marRight w:val="0"/>
      <w:marTop w:val="0"/>
      <w:marBottom w:val="0"/>
      <w:divBdr>
        <w:top w:val="none" w:sz="0" w:space="0" w:color="auto"/>
        <w:left w:val="none" w:sz="0" w:space="0" w:color="auto"/>
        <w:bottom w:val="none" w:sz="0" w:space="0" w:color="auto"/>
        <w:right w:val="none" w:sz="0" w:space="0" w:color="auto"/>
      </w:divBdr>
    </w:div>
    <w:div w:id="38434065">
      <w:marLeft w:val="480"/>
      <w:marRight w:val="0"/>
      <w:marTop w:val="0"/>
      <w:marBottom w:val="0"/>
      <w:divBdr>
        <w:top w:val="none" w:sz="0" w:space="0" w:color="auto"/>
        <w:left w:val="none" w:sz="0" w:space="0" w:color="auto"/>
        <w:bottom w:val="none" w:sz="0" w:space="0" w:color="auto"/>
        <w:right w:val="none" w:sz="0" w:space="0" w:color="auto"/>
      </w:divBdr>
    </w:div>
    <w:div w:id="46297407">
      <w:marLeft w:val="480"/>
      <w:marRight w:val="0"/>
      <w:marTop w:val="0"/>
      <w:marBottom w:val="0"/>
      <w:divBdr>
        <w:top w:val="none" w:sz="0" w:space="0" w:color="auto"/>
        <w:left w:val="none" w:sz="0" w:space="0" w:color="auto"/>
        <w:bottom w:val="none" w:sz="0" w:space="0" w:color="auto"/>
        <w:right w:val="none" w:sz="0" w:space="0" w:color="auto"/>
      </w:divBdr>
    </w:div>
    <w:div w:id="59254501">
      <w:marLeft w:val="480"/>
      <w:marRight w:val="0"/>
      <w:marTop w:val="0"/>
      <w:marBottom w:val="0"/>
      <w:divBdr>
        <w:top w:val="none" w:sz="0" w:space="0" w:color="auto"/>
        <w:left w:val="none" w:sz="0" w:space="0" w:color="auto"/>
        <w:bottom w:val="none" w:sz="0" w:space="0" w:color="auto"/>
        <w:right w:val="none" w:sz="0" w:space="0" w:color="auto"/>
      </w:divBdr>
    </w:div>
    <w:div w:id="60829179">
      <w:marLeft w:val="480"/>
      <w:marRight w:val="0"/>
      <w:marTop w:val="0"/>
      <w:marBottom w:val="0"/>
      <w:divBdr>
        <w:top w:val="none" w:sz="0" w:space="0" w:color="auto"/>
        <w:left w:val="none" w:sz="0" w:space="0" w:color="auto"/>
        <w:bottom w:val="none" w:sz="0" w:space="0" w:color="auto"/>
        <w:right w:val="none" w:sz="0" w:space="0" w:color="auto"/>
      </w:divBdr>
    </w:div>
    <w:div w:id="72632973">
      <w:marLeft w:val="480"/>
      <w:marRight w:val="0"/>
      <w:marTop w:val="0"/>
      <w:marBottom w:val="0"/>
      <w:divBdr>
        <w:top w:val="none" w:sz="0" w:space="0" w:color="auto"/>
        <w:left w:val="none" w:sz="0" w:space="0" w:color="auto"/>
        <w:bottom w:val="none" w:sz="0" w:space="0" w:color="auto"/>
        <w:right w:val="none" w:sz="0" w:space="0" w:color="auto"/>
      </w:divBdr>
    </w:div>
    <w:div w:id="80027106">
      <w:marLeft w:val="480"/>
      <w:marRight w:val="0"/>
      <w:marTop w:val="0"/>
      <w:marBottom w:val="0"/>
      <w:divBdr>
        <w:top w:val="none" w:sz="0" w:space="0" w:color="auto"/>
        <w:left w:val="none" w:sz="0" w:space="0" w:color="auto"/>
        <w:bottom w:val="none" w:sz="0" w:space="0" w:color="auto"/>
        <w:right w:val="none" w:sz="0" w:space="0" w:color="auto"/>
      </w:divBdr>
    </w:div>
    <w:div w:id="82724741">
      <w:marLeft w:val="480"/>
      <w:marRight w:val="0"/>
      <w:marTop w:val="0"/>
      <w:marBottom w:val="0"/>
      <w:divBdr>
        <w:top w:val="none" w:sz="0" w:space="0" w:color="auto"/>
        <w:left w:val="none" w:sz="0" w:space="0" w:color="auto"/>
        <w:bottom w:val="none" w:sz="0" w:space="0" w:color="auto"/>
        <w:right w:val="none" w:sz="0" w:space="0" w:color="auto"/>
      </w:divBdr>
    </w:div>
    <w:div w:id="87696331">
      <w:marLeft w:val="480"/>
      <w:marRight w:val="0"/>
      <w:marTop w:val="0"/>
      <w:marBottom w:val="0"/>
      <w:divBdr>
        <w:top w:val="none" w:sz="0" w:space="0" w:color="auto"/>
        <w:left w:val="none" w:sz="0" w:space="0" w:color="auto"/>
        <w:bottom w:val="none" w:sz="0" w:space="0" w:color="auto"/>
        <w:right w:val="none" w:sz="0" w:space="0" w:color="auto"/>
      </w:divBdr>
    </w:div>
    <w:div w:id="94909358">
      <w:marLeft w:val="480"/>
      <w:marRight w:val="0"/>
      <w:marTop w:val="0"/>
      <w:marBottom w:val="0"/>
      <w:divBdr>
        <w:top w:val="none" w:sz="0" w:space="0" w:color="auto"/>
        <w:left w:val="none" w:sz="0" w:space="0" w:color="auto"/>
        <w:bottom w:val="none" w:sz="0" w:space="0" w:color="auto"/>
        <w:right w:val="none" w:sz="0" w:space="0" w:color="auto"/>
      </w:divBdr>
    </w:div>
    <w:div w:id="96685234">
      <w:marLeft w:val="480"/>
      <w:marRight w:val="0"/>
      <w:marTop w:val="0"/>
      <w:marBottom w:val="0"/>
      <w:divBdr>
        <w:top w:val="none" w:sz="0" w:space="0" w:color="auto"/>
        <w:left w:val="none" w:sz="0" w:space="0" w:color="auto"/>
        <w:bottom w:val="none" w:sz="0" w:space="0" w:color="auto"/>
        <w:right w:val="none" w:sz="0" w:space="0" w:color="auto"/>
      </w:divBdr>
    </w:div>
    <w:div w:id="107431479">
      <w:marLeft w:val="480"/>
      <w:marRight w:val="0"/>
      <w:marTop w:val="0"/>
      <w:marBottom w:val="0"/>
      <w:divBdr>
        <w:top w:val="none" w:sz="0" w:space="0" w:color="auto"/>
        <w:left w:val="none" w:sz="0" w:space="0" w:color="auto"/>
        <w:bottom w:val="none" w:sz="0" w:space="0" w:color="auto"/>
        <w:right w:val="none" w:sz="0" w:space="0" w:color="auto"/>
      </w:divBdr>
    </w:div>
    <w:div w:id="111018977">
      <w:marLeft w:val="480"/>
      <w:marRight w:val="0"/>
      <w:marTop w:val="0"/>
      <w:marBottom w:val="0"/>
      <w:divBdr>
        <w:top w:val="none" w:sz="0" w:space="0" w:color="auto"/>
        <w:left w:val="none" w:sz="0" w:space="0" w:color="auto"/>
        <w:bottom w:val="none" w:sz="0" w:space="0" w:color="auto"/>
        <w:right w:val="none" w:sz="0" w:space="0" w:color="auto"/>
      </w:divBdr>
    </w:div>
    <w:div w:id="113405566">
      <w:marLeft w:val="480"/>
      <w:marRight w:val="0"/>
      <w:marTop w:val="0"/>
      <w:marBottom w:val="0"/>
      <w:divBdr>
        <w:top w:val="none" w:sz="0" w:space="0" w:color="auto"/>
        <w:left w:val="none" w:sz="0" w:space="0" w:color="auto"/>
        <w:bottom w:val="none" w:sz="0" w:space="0" w:color="auto"/>
        <w:right w:val="none" w:sz="0" w:space="0" w:color="auto"/>
      </w:divBdr>
    </w:div>
    <w:div w:id="121005165">
      <w:marLeft w:val="480"/>
      <w:marRight w:val="0"/>
      <w:marTop w:val="0"/>
      <w:marBottom w:val="0"/>
      <w:divBdr>
        <w:top w:val="none" w:sz="0" w:space="0" w:color="auto"/>
        <w:left w:val="none" w:sz="0" w:space="0" w:color="auto"/>
        <w:bottom w:val="none" w:sz="0" w:space="0" w:color="auto"/>
        <w:right w:val="none" w:sz="0" w:space="0" w:color="auto"/>
      </w:divBdr>
    </w:div>
    <w:div w:id="124860237">
      <w:bodyDiv w:val="1"/>
      <w:marLeft w:val="0"/>
      <w:marRight w:val="0"/>
      <w:marTop w:val="0"/>
      <w:marBottom w:val="0"/>
      <w:divBdr>
        <w:top w:val="none" w:sz="0" w:space="0" w:color="auto"/>
        <w:left w:val="none" w:sz="0" w:space="0" w:color="auto"/>
        <w:bottom w:val="none" w:sz="0" w:space="0" w:color="auto"/>
        <w:right w:val="none" w:sz="0" w:space="0" w:color="auto"/>
      </w:divBdr>
    </w:div>
    <w:div w:id="126171343">
      <w:marLeft w:val="480"/>
      <w:marRight w:val="0"/>
      <w:marTop w:val="0"/>
      <w:marBottom w:val="0"/>
      <w:divBdr>
        <w:top w:val="none" w:sz="0" w:space="0" w:color="auto"/>
        <w:left w:val="none" w:sz="0" w:space="0" w:color="auto"/>
        <w:bottom w:val="none" w:sz="0" w:space="0" w:color="auto"/>
        <w:right w:val="none" w:sz="0" w:space="0" w:color="auto"/>
      </w:divBdr>
    </w:div>
    <w:div w:id="128474044">
      <w:marLeft w:val="480"/>
      <w:marRight w:val="0"/>
      <w:marTop w:val="0"/>
      <w:marBottom w:val="0"/>
      <w:divBdr>
        <w:top w:val="none" w:sz="0" w:space="0" w:color="auto"/>
        <w:left w:val="none" w:sz="0" w:space="0" w:color="auto"/>
        <w:bottom w:val="none" w:sz="0" w:space="0" w:color="auto"/>
        <w:right w:val="none" w:sz="0" w:space="0" w:color="auto"/>
      </w:divBdr>
    </w:div>
    <w:div w:id="130638770">
      <w:marLeft w:val="480"/>
      <w:marRight w:val="0"/>
      <w:marTop w:val="0"/>
      <w:marBottom w:val="0"/>
      <w:divBdr>
        <w:top w:val="none" w:sz="0" w:space="0" w:color="auto"/>
        <w:left w:val="none" w:sz="0" w:space="0" w:color="auto"/>
        <w:bottom w:val="none" w:sz="0" w:space="0" w:color="auto"/>
        <w:right w:val="none" w:sz="0" w:space="0" w:color="auto"/>
      </w:divBdr>
    </w:div>
    <w:div w:id="131485776">
      <w:marLeft w:val="480"/>
      <w:marRight w:val="0"/>
      <w:marTop w:val="0"/>
      <w:marBottom w:val="0"/>
      <w:divBdr>
        <w:top w:val="none" w:sz="0" w:space="0" w:color="auto"/>
        <w:left w:val="none" w:sz="0" w:space="0" w:color="auto"/>
        <w:bottom w:val="none" w:sz="0" w:space="0" w:color="auto"/>
        <w:right w:val="none" w:sz="0" w:space="0" w:color="auto"/>
      </w:divBdr>
    </w:div>
    <w:div w:id="136067541">
      <w:marLeft w:val="480"/>
      <w:marRight w:val="0"/>
      <w:marTop w:val="0"/>
      <w:marBottom w:val="0"/>
      <w:divBdr>
        <w:top w:val="none" w:sz="0" w:space="0" w:color="auto"/>
        <w:left w:val="none" w:sz="0" w:space="0" w:color="auto"/>
        <w:bottom w:val="none" w:sz="0" w:space="0" w:color="auto"/>
        <w:right w:val="none" w:sz="0" w:space="0" w:color="auto"/>
      </w:divBdr>
    </w:div>
    <w:div w:id="137460188">
      <w:marLeft w:val="480"/>
      <w:marRight w:val="0"/>
      <w:marTop w:val="0"/>
      <w:marBottom w:val="0"/>
      <w:divBdr>
        <w:top w:val="none" w:sz="0" w:space="0" w:color="auto"/>
        <w:left w:val="none" w:sz="0" w:space="0" w:color="auto"/>
        <w:bottom w:val="none" w:sz="0" w:space="0" w:color="auto"/>
        <w:right w:val="none" w:sz="0" w:space="0" w:color="auto"/>
      </w:divBdr>
    </w:div>
    <w:div w:id="144056188">
      <w:bodyDiv w:val="1"/>
      <w:marLeft w:val="0"/>
      <w:marRight w:val="0"/>
      <w:marTop w:val="0"/>
      <w:marBottom w:val="0"/>
      <w:divBdr>
        <w:top w:val="none" w:sz="0" w:space="0" w:color="auto"/>
        <w:left w:val="none" w:sz="0" w:space="0" w:color="auto"/>
        <w:bottom w:val="none" w:sz="0" w:space="0" w:color="auto"/>
        <w:right w:val="none" w:sz="0" w:space="0" w:color="auto"/>
      </w:divBdr>
    </w:div>
    <w:div w:id="145364429">
      <w:marLeft w:val="480"/>
      <w:marRight w:val="0"/>
      <w:marTop w:val="0"/>
      <w:marBottom w:val="0"/>
      <w:divBdr>
        <w:top w:val="none" w:sz="0" w:space="0" w:color="auto"/>
        <w:left w:val="none" w:sz="0" w:space="0" w:color="auto"/>
        <w:bottom w:val="none" w:sz="0" w:space="0" w:color="auto"/>
        <w:right w:val="none" w:sz="0" w:space="0" w:color="auto"/>
      </w:divBdr>
    </w:div>
    <w:div w:id="152649302">
      <w:marLeft w:val="480"/>
      <w:marRight w:val="0"/>
      <w:marTop w:val="0"/>
      <w:marBottom w:val="0"/>
      <w:divBdr>
        <w:top w:val="none" w:sz="0" w:space="0" w:color="auto"/>
        <w:left w:val="none" w:sz="0" w:space="0" w:color="auto"/>
        <w:bottom w:val="none" w:sz="0" w:space="0" w:color="auto"/>
        <w:right w:val="none" w:sz="0" w:space="0" w:color="auto"/>
      </w:divBdr>
    </w:div>
    <w:div w:id="155465055">
      <w:marLeft w:val="480"/>
      <w:marRight w:val="0"/>
      <w:marTop w:val="0"/>
      <w:marBottom w:val="0"/>
      <w:divBdr>
        <w:top w:val="none" w:sz="0" w:space="0" w:color="auto"/>
        <w:left w:val="none" w:sz="0" w:space="0" w:color="auto"/>
        <w:bottom w:val="none" w:sz="0" w:space="0" w:color="auto"/>
        <w:right w:val="none" w:sz="0" w:space="0" w:color="auto"/>
      </w:divBdr>
    </w:div>
    <w:div w:id="159927234">
      <w:marLeft w:val="480"/>
      <w:marRight w:val="0"/>
      <w:marTop w:val="0"/>
      <w:marBottom w:val="0"/>
      <w:divBdr>
        <w:top w:val="none" w:sz="0" w:space="0" w:color="auto"/>
        <w:left w:val="none" w:sz="0" w:space="0" w:color="auto"/>
        <w:bottom w:val="none" w:sz="0" w:space="0" w:color="auto"/>
        <w:right w:val="none" w:sz="0" w:space="0" w:color="auto"/>
      </w:divBdr>
    </w:div>
    <w:div w:id="165828416">
      <w:marLeft w:val="480"/>
      <w:marRight w:val="0"/>
      <w:marTop w:val="0"/>
      <w:marBottom w:val="0"/>
      <w:divBdr>
        <w:top w:val="none" w:sz="0" w:space="0" w:color="auto"/>
        <w:left w:val="none" w:sz="0" w:space="0" w:color="auto"/>
        <w:bottom w:val="none" w:sz="0" w:space="0" w:color="auto"/>
        <w:right w:val="none" w:sz="0" w:space="0" w:color="auto"/>
      </w:divBdr>
    </w:div>
    <w:div w:id="166136393">
      <w:marLeft w:val="480"/>
      <w:marRight w:val="0"/>
      <w:marTop w:val="0"/>
      <w:marBottom w:val="0"/>
      <w:divBdr>
        <w:top w:val="none" w:sz="0" w:space="0" w:color="auto"/>
        <w:left w:val="none" w:sz="0" w:space="0" w:color="auto"/>
        <w:bottom w:val="none" w:sz="0" w:space="0" w:color="auto"/>
        <w:right w:val="none" w:sz="0" w:space="0" w:color="auto"/>
      </w:divBdr>
    </w:div>
    <w:div w:id="167134796">
      <w:marLeft w:val="480"/>
      <w:marRight w:val="0"/>
      <w:marTop w:val="0"/>
      <w:marBottom w:val="0"/>
      <w:divBdr>
        <w:top w:val="none" w:sz="0" w:space="0" w:color="auto"/>
        <w:left w:val="none" w:sz="0" w:space="0" w:color="auto"/>
        <w:bottom w:val="none" w:sz="0" w:space="0" w:color="auto"/>
        <w:right w:val="none" w:sz="0" w:space="0" w:color="auto"/>
      </w:divBdr>
    </w:div>
    <w:div w:id="168302780">
      <w:marLeft w:val="480"/>
      <w:marRight w:val="0"/>
      <w:marTop w:val="0"/>
      <w:marBottom w:val="0"/>
      <w:divBdr>
        <w:top w:val="none" w:sz="0" w:space="0" w:color="auto"/>
        <w:left w:val="none" w:sz="0" w:space="0" w:color="auto"/>
        <w:bottom w:val="none" w:sz="0" w:space="0" w:color="auto"/>
        <w:right w:val="none" w:sz="0" w:space="0" w:color="auto"/>
      </w:divBdr>
    </w:div>
    <w:div w:id="170024829">
      <w:marLeft w:val="480"/>
      <w:marRight w:val="0"/>
      <w:marTop w:val="0"/>
      <w:marBottom w:val="0"/>
      <w:divBdr>
        <w:top w:val="none" w:sz="0" w:space="0" w:color="auto"/>
        <w:left w:val="none" w:sz="0" w:space="0" w:color="auto"/>
        <w:bottom w:val="none" w:sz="0" w:space="0" w:color="auto"/>
        <w:right w:val="none" w:sz="0" w:space="0" w:color="auto"/>
      </w:divBdr>
    </w:div>
    <w:div w:id="177276031">
      <w:marLeft w:val="480"/>
      <w:marRight w:val="0"/>
      <w:marTop w:val="0"/>
      <w:marBottom w:val="0"/>
      <w:divBdr>
        <w:top w:val="none" w:sz="0" w:space="0" w:color="auto"/>
        <w:left w:val="none" w:sz="0" w:space="0" w:color="auto"/>
        <w:bottom w:val="none" w:sz="0" w:space="0" w:color="auto"/>
        <w:right w:val="none" w:sz="0" w:space="0" w:color="auto"/>
      </w:divBdr>
    </w:div>
    <w:div w:id="191069711">
      <w:marLeft w:val="480"/>
      <w:marRight w:val="0"/>
      <w:marTop w:val="0"/>
      <w:marBottom w:val="0"/>
      <w:divBdr>
        <w:top w:val="none" w:sz="0" w:space="0" w:color="auto"/>
        <w:left w:val="none" w:sz="0" w:space="0" w:color="auto"/>
        <w:bottom w:val="none" w:sz="0" w:space="0" w:color="auto"/>
        <w:right w:val="none" w:sz="0" w:space="0" w:color="auto"/>
      </w:divBdr>
    </w:div>
    <w:div w:id="206332540">
      <w:marLeft w:val="480"/>
      <w:marRight w:val="0"/>
      <w:marTop w:val="0"/>
      <w:marBottom w:val="0"/>
      <w:divBdr>
        <w:top w:val="none" w:sz="0" w:space="0" w:color="auto"/>
        <w:left w:val="none" w:sz="0" w:space="0" w:color="auto"/>
        <w:bottom w:val="none" w:sz="0" w:space="0" w:color="auto"/>
        <w:right w:val="none" w:sz="0" w:space="0" w:color="auto"/>
      </w:divBdr>
    </w:div>
    <w:div w:id="209922434">
      <w:marLeft w:val="480"/>
      <w:marRight w:val="0"/>
      <w:marTop w:val="0"/>
      <w:marBottom w:val="0"/>
      <w:divBdr>
        <w:top w:val="none" w:sz="0" w:space="0" w:color="auto"/>
        <w:left w:val="none" w:sz="0" w:space="0" w:color="auto"/>
        <w:bottom w:val="none" w:sz="0" w:space="0" w:color="auto"/>
        <w:right w:val="none" w:sz="0" w:space="0" w:color="auto"/>
      </w:divBdr>
    </w:div>
    <w:div w:id="221135383">
      <w:marLeft w:val="480"/>
      <w:marRight w:val="0"/>
      <w:marTop w:val="0"/>
      <w:marBottom w:val="0"/>
      <w:divBdr>
        <w:top w:val="none" w:sz="0" w:space="0" w:color="auto"/>
        <w:left w:val="none" w:sz="0" w:space="0" w:color="auto"/>
        <w:bottom w:val="none" w:sz="0" w:space="0" w:color="auto"/>
        <w:right w:val="none" w:sz="0" w:space="0" w:color="auto"/>
      </w:divBdr>
    </w:div>
    <w:div w:id="222182990">
      <w:marLeft w:val="480"/>
      <w:marRight w:val="0"/>
      <w:marTop w:val="0"/>
      <w:marBottom w:val="0"/>
      <w:divBdr>
        <w:top w:val="none" w:sz="0" w:space="0" w:color="auto"/>
        <w:left w:val="none" w:sz="0" w:space="0" w:color="auto"/>
        <w:bottom w:val="none" w:sz="0" w:space="0" w:color="auto"/>
        <w:right w:val="none" w:sz="0" w:space="0" w:color="auto"/>
      </w:divBdr>
    </w:div>
    <w:div w:id="233899331">
      <w:marLeft w:val="480"/>
      <w:marRight w:val="0"/>
      <w:marTop w:val="0"/>
      <w:marBottom w:val="0"/>
      <w:divBdr>
        <w:top w:val="none" w:sz="0" w:space="0" w:color="auto"/>
        <w:left w:val="none" w:sz="0" w:space="0" w:color="auto"/>
        <w:bottom w:val="none" w:sz="0" w:space="0" w:color="auto"/>
        <w:right w:val="none" w:sz="0" w:space="0" w:color="auto"/>
      </w:divBdr>
    </w:div>
    <w:div w:id="234171040">
      <w:marLeft w:val="480"/>
      <w:marRight w:val="0"/>
      <w:marTop w:val="0"/>
      <w:marBottom w:val="0"/>
      <w:divBdr>
        <w:top w:val="none" w:sz="0" w:space="0" w:color="auto"/>
        <w:left w:val="none" w:sz="0" w:space="0" w:color="auto"/>
        <w:bottom w:val="none" w:sz="0" w:space="0" w:color="auto"/>
        <w:right w:val="none" w:sz="0" w:space="0" w:color="auto"/>
      </w:divBdr>
    </w:div>
    <w:div w:id="236482333">
      <w:marLeft w:val="480"/>
      <w:marRight w:val="0"/>
      <w:marTop w:val="0"/>
      <w:marBottom w:val="0"/>
      <w:divBdr>
        <w:top w:val="none" w:sz="0" w:space="0" w:color="auto"/>
        <w:left w:val="none" w:sz="0" w:space="0" w:color="auto"/>
        <w:bottom w:val="none" w:sz="0" w:space="0" w:color="auto"/>
        <w:right w:val="none" w:sz="0" w:space="0" w:color="auto"/>
      </w:divBdr>
    </w:div>
    <w:div w:id="238254675">
      <w:bodyDiv w:val="1"/>
      <w:marLeft w:val="0"/>
      <w:marRight w:val="0"/>
      <w:marTop w:val="0"/>
      <w:marBottom w:val="0"/>
      <w:divBdr>
        <w:top w:val="none" w:sz="0" w:space="0" w:color="auto"/>
        <w:left w:val="none" w:sz="0" w:space="0" w:color="auto"/>
        <w:bottom w:val="none" w:sz="0" w:space="0" w:color="auto"/>
        <w:right w:val="none" w:sz="0" w:space="0" w:color="auto"/>
      </w:divBdr>
      <w:divsChild>
        <w:div w:id="1563709809">
          <w:marLeft w:val="0"/>
          <w:marRight w:val="0"/>
          <w:marTop w:val="0"/>
          <w:marBottom w:val="0"/>
          <w:divBdr>
            <w:top w:val="none" w:sz="0" w:space="0" w:color="auto"/>
            <w:left w:val="none" w:sz="0" w:space="0" w:color="auto"/>
            <w:bottom w:val="none" w:sz="0" w:space="0" w:color="auto"/>
            <w:right w:val="none" w:sz="0" w:space="0" w:color="auto"/>
          </w:divBdr>
          <w:divsChild>
            <w:div w:id="193169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178">
      <w:marLeft w:val="480"/>
      <w:marRight w:val="0"/>
      <w:marTop w:val="0"/>
      <w:marBottom w:val="0"/>
      <w:divBdr>
        <w:top w:val="none" w:sz="0" w:space="0" w:color="auto"/>
        <w:left w:val="none" w:sz="0" w:space="0" w:color="auto"/>
        <w:bottom w:val="none" w:sz="0" w:space="0" w:color="auto"/>
        <w:right w:val="none" w:sz="0" w:space="0" w:color="auto"/>
      </w:divBdr>
    </w:div>
    <w:div w:id="247084383">
      <w:marLeft w:val="480"/>
      <w:marRight w:val="0"/>
      <w:marTop w:val="0"/>
      <w:marBottom w:val="0"/>
      <w:divBdr>
        <w:top w:val="none" w:sz="0" w:space="0" w:color="auto"/>
        <w:left w:val="none" w:sz="0" w:space="0" w:color="auto"/>
        <w:bottom w:val="none" w:sz="0" w:space="0" w:color="auto"/>
        <w:right w:val="none" w:sz="0" w:space="0" w:color="auto"/>
      </w:divBdr>
    </w:div>
    <w:div w:id="251089041">
      <w:marLeft w:val="480"/>
      <w:marRight w:val="0"/>
      <w:marTop w:val="0"/>
      <w:marBottom w:val="0"/>
      <w:divBdr>
        <w:top w:val="none" w:sz="0" w:space="0" w:color="auto"/>
        <w:left w:val="none" w:sz="0" w:space="0" w:color="auto"/>
        <w:bottom w:val="none" w:sz="0" w:space="0" w:color="auto"/>
        <w:right w:val="none" w:sz="0" w:space="0" w:color="auto"/>
      </w:divBdr>
    </w:div>
    <w:div w:id="252976984">
      <w:marLeft w:val="480"/>
      <w:marRight w:val="0"/>
      <w:marTop w:val="0"/>
      <w:marBottom w:val="0"/>
      <w:divBdr>
        <w:top w:val="none" w:sz="0" w:space="0" w:color="auto"/>
        <w:left w:val="none" w:sz="0" w:space="0" w:color="auto"/>
        <w:bottom w:val="none" w:sz="0" w:space="0" w:color="auto"/>
        <w:right w:val="none" w:sz="0" w:space="0" w:color="auto"/>
      </w:divBdr>
    </w:div>
    <w:div w:id="260533286">
      <w:bodyDiv w:val="1"/>
      <w:marLeft w:val="0"/>
      <w:marRight w:val="0"/>
      <w:marTop w:val="0"/>
      <w:marBottom w:val="0"/>
      <w:divBdr>
        <w:top w:val="none" w:sz="0" w:space="0" w:color="auto"/>
        <w:left w:val="none" w:sz="0" w:space="0" w:color="auto"/>
        <w:bottom w:val="none" w:sz="0" w:space="0" w:color="auto"/>
        <w:right w:val="none" w:sz="0" w:space="0" w:color="auto"/>
      </w:divBdr>
    </w:div>
    <w:div w:id="267154669">
      <w:marLeft w:val="480"/>
      <w:marRight w:val="0"/>
      <w:marTop w:val="0"/>
      <w:marBottom w:val="0"/>
      <w:divBdr>
        <w:top w:val="none" w:sz="0" w:space="0" w:color="auto"/>
        <w:left w:val="none" w:sz="0" w:space="0" w:color="auto"/>
        <w:bottom w:val="none" w:sz="0" w:space="0" w:color="auto"/>
        <w:right w:val="none" w:sz="0" w:space="0" w:color="auto"/>
      </w:divBdr>
    </w:div>
    <w:div w:id="271327610">
      <w:marLeft w:val="480"/>
      <w:marRight w:val="0"/>
      <w:marTop w:val="0"/>
      <w:marBottom w:val="0"/>
      <w:divBdr>
        <w:top w:val="none" w:sz="0" w:space="0" w:color="auto"/>
        <w:left w:val="none" w:sz="0" w:space="0" w:color="auto"/>
        <w:bottom w:val="none" w:sz="0" w:space="0" w:color="auto"/>
        <w:right w:val="none" w:sz="0" w:space="0" w:color="auto"/>
      </w:divBdr>
    </w:div>
    <w:div w:id="272516541">
      <w:marLeft w:val="480"/>
      <w:marRight w:val="0"/>
      <w:marTop w:val="0"/>
      <w:marBottom w:val="0"/>
      <w:divBdr>
        <w:top w:val="none" w:sz="0" w:space="0" w:color="auto"/>
        <w:left w:val="none" w:sz="0" w:space="0" w:color="auto"/>
        <w:bottom w:val="none" w:sz="0" w:space="0" w:color="auto"/>
        <w:right w:val="none" w:sz="0" w:space="0" w:color="auto"/>
      </w:divBdr>
    </w:div>
    <w:div w:id="273093898">
      <w:marLeft w:val="480"/>
      <w:marRight w:val="0"/>
      <w:marTop w:val="0"/>
      <w:marBottom w:val="0"/>
      <w:divBdr>
        <w:top w:val="none" w:sz="0" w:space="0" w:color="auto"/>
        <w:left w:val="none" w:sz="0" w:space="0" w:color="auto"/>
        <w:bottom w:val="none" w:sz="0" w:space="0" w:color="auto"/>
        <w:right w:val="none" w:sz="0" w:space="0" w:color="auto"/>
      </w:divBdr>
    </w:div>
    <w:div w:id="283313837">
      <w:marLeft w:val="480"/>
      <w:marRight w:val="0"/>
      <w:marTop w:val="0"/>
      <w:marBottom w:val="0"/>
      <w:divBdr>
        <w:top w:val="none" w:sz="0" w:space="0" w:color="auto"/>
        <w:left w:val="none" w:sz="0" w:space="0" w:color="auto"/>
        <w:bottom w:val="none" w:sz="0" w:space="0" w:color="auto"/>
        <w:right w:val="none" w:sz="0" w:space="0" w:color="auto"/>
      </w:divBdr>
    </w:div>
    <w:div w:id="289019895">
      <w:marLeft w:val="480"/>
      <w:marRight w:val="0"/>
      <w:marTop w:val="0"/>
      <w:marBottom w:val="0"/>
      <w:divBdr>
        <w:top w:val="none" w:sz="0" w:space="0" w:color="auto"/>
        <w:left w:val="none" w:sz="0" w:space="0" w:color="auto"/>
        <w:bottom w:val="none" w:sz="0" w:space="0" w:color="auto"/>
        <w:right w:val="none" w:sz="0" w:space="0" w:color="auto"/>
      </w:divBdr>
    </w:div>
    <w:div w:id="299772282">
      <w:marLeft w:val="480"/>
      <w:marRight w:val="0"/>
      <w:marTop w:val="0"/>
      <w:marBottom w:val="0"/>
      <w:divBdr>
        <w:top w:val="none" w:sz="0" w:space="0" w:color="auto"/>
        <w:left w:val="none" w:sz="0" w:space="0" w:color="auto"/>
        <w:bottom w:val="none" w:sz="0" w:space="0" w:color="auto"/>
        <w:right w:val="none" w:sz="0" w:space="0" w:color="auto"/>
      </w:divBdr>
    </w:div>
    <w:div w:id="303857084">
      <w:marLeft w:val="480"/>
      <w:marRight w:val="0"/>
      <w:marTop w:val="0"/>
      <w:marBottom w:val="0"/>
      <w:divBdr>
        <w:top w:val="none" w:sz="0" w:space="0" w:color="auto"/>
        <w:left w:val="none" w:sz="0" w:space="0" w:color="auto"/>
        <w:bottom w:val="none" w:sz="0" w:space="0" w:color="auto"/>
        <w:right w:val="none" w:sz="0" w:space="0" w:color="auto"/>
      </w:divBdr>
    </w:div>
    <w:div w:id="306477519">
      <w:marLeft w:val="480"/>
      <w:marRight w:val="0"/>
      <w:marTop w:val="0"/>
      <w:marBottom w:val="0"/>
      <w:divBdr>
        <w:top w:val="none" w:sz="0" w:space="0" w:color="auto"/>
        <w:left w:val="none" w:sz="0" w:space="0" w:color="auto"/>
        <w:bottom w:val="none" w:sz="0" w:space="0" w:color="auto"/>
        <w:right w:val="none" w:sz="0" w:space="0" w:color="auto"/>
      </w:divBdr>
    </w:div>
    <w:div w:id="308557153">
      <w:marLeft w:val="480"/>
      <w:marRight w:val="0"/>
      <w:marTop w:val="0"/>
      <w:marBottom w:val="0"/>
      <w:divBdr>
        <w:top w:val="none" w:sz="0" w:space="0" w:color="auto"/>
        <w:left w:val="none" w:sz="0" w:space="0" w:color="auto"/>
        <w:bottom w:val="none" w:sz="0" w:space="0" w:color="auto"/>
        <w:right w:val="none" w:sz="0" w:space="0" w:color="auto"/>
      </w:divBdr>
    </w:div>
    <w:div w:id="310914792">
      <w:marLeft w:val="480"/>
      <w:marRight w:val="0"/>
      <w:marTop w:val="0"/>
      <w:marBottom w:val="0"/>
      <w:divBdr>
        <w:top w:val="none" w:sz="0" w:space="0" w:color="auto"/>
        <w:left w:val="none" w:sz="0" w:space="0" w:color="auto"/>
        <w:bottom w:val="none" w:sz="0" w:space="0" w:color="auto"/>
        <w:right w:val="none" w:sz="0" w:space="0" w:color="auto"/>
      </w:divBdr>
    </w:div>
    <w:div w:id="311258605">
      <w:marLeft w:val="480"/>
      <w:marRight w:val="0"/>
      <w:marTop w:val="0"/>
      <w:marBottom w:val="0"/>
      <w:divBdr>
        <w:top w:val="none" w:sz="0" w:space="0" w:color="auto"/>
        <w:left w:val="none" w:sz="0" w:space="0" w:color="auto"/>
        <w:bottom w:val="none" w:sz="0" w:space="0" w:color="auto"/>
        <w:right w:val="none" w:sz="0" w:space="0" w:color="auto"/>
      </w:divBdr>
    </w:div>
    <w:div w:id="317226774">
      <w:marLeft w:val="480"/>
      <w:marRight w:val="0"/>
      <w:marTop w:val="0"/>
      <w:marBottom w:val="0"/>
      <w:divBdr>
        <w:top w:val="none" w:sz="0" w:space="0" w:color="auto"/>
        <w:left w:val="none" w:sz="0" w:space="0" w:color="auto"/>
        <w:bottom w:val="none" w:sz="0" w:space="0" w:color="auto"/>
        <w:right w:val="none" w:sz="0" w:space="0" w:color="auto"/>
      </w:divBdr>
    </w:div>
    <w:div w:id="319771123">
      <w:marLeft w:val="480"/>
      <w:marRight w:val="0"/>
      <w:marTop w:val="0"/>
      <w:marBottom w:val="0"/>
      <w:divBdr>
        <w:top w:val="none" w:sz="0" w:space="0" w:color="auto"/>
        <w:left w:val="none" w:sz="0" w:space="0" w:color="auto"/>
        <w:bottom w:val="none" w:sz="0" w:space="0" w:color="auto"/>
        <w:right w:val="none" w:sz="0" w:space="0" w:color="auto"/>
      </w:divBdr>
    </w:div>
    <w:div w:id="322706507">
      <w:marLeft w:val="480"/>
      <w:marRight w:val="0"/>
      <w:marTop w:val="0"/>
      <w:marBottom w:val="0"/>
      <w:divBdr>
        <w:top w:val="none" w:sz="0" w:space="0" w:color="auto"/>
        <w:left w:val="none" w:sz="0" w:space="0" w:color="auto"/>
        <w:bottom w:val="none" w:sz="0" w:space="0" w:color="auto"/>
        <w:right w:val="none" w:sz="0" w:space="0" w:color="auto"/>
      </w:divBdr>
    </w:div>
    <w:div w:id="324673097">
      <w:marLeft w:val="480"/>
      <w:marRight w:val="0"/>
      <w:marTop w:val="0"/>
      <w:marBottom w:val="0"/>
      <w:divBdr>
        <w:top w:val="none" w:sz="0" w:space="0" w:color="auto"/>
        <w:left w:val="none" w:sz="0" w:space="0" w:color="auto"/>
        <w:bottom w:val="none" w:sz="0" w:space="0" w:color="auto"/>
        <w:right w:val="none" w:sz="0" w:space="0" w:color="auto"/>
      </w:divBdr>
    </w:div>
    <w:div w:id="325212019">
      <w:marLeft w:val="480"/>
      <w:marRight w:val="0"/>
      <w:marTop w:val="0"/>
      <w:marBottom w:val="0"/>
      <w:divBdr>
        <w:top w:val="none" w:sz="0" w:space="0" w:color="auto"/>
        <w:left w:val="none" w:sz="0" w:space="0" w:color="auto"/>
        <w:bottom w:val="none" w:sz="0" w:space="0" w:color="auto"/>
        <w:right w:val="none" w:sz="0" w:space="0" w:color="auto"/>
      </w:divBdr>
    </w:div>
    <w:div w:id="336032689">
      <w:marLeft w:val="480"/>
      <w:marRight w:val="0"/>
      <w:marTop w:val="0"/>
      <w:marBottom w:val="0"/>
      <w:divBdr>
        <w:top w:val="none" w:sz="0" w:space="0" w:color="auto"/>
        <w:left w:val="none" w:sz="0" w:space="0" w:color="auto"/>
        <w:bottom w:val="none" w:sz="0" w:space="0" w:color="auto"/>
        <w:right w:val="none" w:sz="0" w:space="0" w:color="auto"/>
      </w:divBdr>
    </w:div>
    <w:div w:id="337973144">
      <w:marLeft w:val="480"/>
      <w:marRight w:val="0"/>
      <w:marTop w:val="0"/>
      <w:marBottom w:val="0"/>
      <w:divBdr>
        <w:top w:val="none" w:sz="0" w:space="0" w:color="auto"/>
        <w:left w:val="none" w:sz="0" w:space="0" w:color="auto"/>
        <w:bottom w:val="none" w:sz="0" w:space="0" w:color="auto"/>
        <w:right w:val="none" w:sz="0" w:space="0" w:color="auto"/>
      </w:divBdr>
    </w:div>
    <w:div w:id="340163061">
      <w:marLeft w:val="480"/>
      <w:marRight w:val="0"/>
      <w:marTop w:val="0"/>
      <w:marBottom w:val="0"/>
      <w:divBdr>
        <w:top w:val="none" w:sz="0" w:space="0" w:color="auto"/>
        <w:left w:val="none" w:sz="0" w:space="0" w:color="auto"/>
        <w:bottom w:val="none" w:sz="0" w:space="0" w:color="auto"/>
        <w:right w:val="none" w:sz="0" w:space="0" w:color="auto"/>
      </w:divBdr>
    </w:div>
    <w:div w:id="342166868">
      <w:marLeft w:val="480"/>
      <w:marRight w:val="0"/>
      <w:marTop w:val="0"/>
      <w:marBottom w:val="0"/>
      <w:divBdr>
        <w:top w:val="none" w:sz="0" w:space="0" w:color="auto"/>
        <w:left w:val="none" w:sz="0" w:space="0" w:color="auto"/>
        <w:bottom w:val="none" w:sz="0" w:space="0" w:color="auto"/>
        <w:right w:val="none" w:sz="0" w:space="0" w:color="auto"/>
      </w:divBdr>
    </w:div>
    <w:div w:id="344283365">
      <w:marLeft w:val="480"/>
      <w:marRight w:val="0"/>
      <w:marTop w:val="0"/>
      <w:marBottom w:val="0"/>
      <w:divBdr>
        <w:top w:val="none" w:sz="0" w:space="0" w:color="auto"/>
        <w:left w:val="none" w:sz="0" w:space="0" w:color="auto"/>
        <w:bottom w:val="none" w:sz="0" w:space="0" w:color="auto"/>
        <w:right w:val="none" w:sz="0" w:space="0" w:color="auto"/>
      </w:divBdr>
    </w:div>
    <w:div w:id="350492423">
      <w:marLeft w:val="480"/>
      <w:marRight w:val="0"/>
      <w:marTop w:val="0"/>
      <w:marBottom w:val="0"/>
      <w:divBdr>
        <w:top w:val="none" w:sz="0" w:space="0" w:color="auto"/>
        <w:left w:val="none" w:sz="0" w:space="0" w:color="auto"/>
        <w:bottom w:val="none" w:sz="0" w:space="0" w:color="auto"/>
        <w:right w:val="none" w:sz="0" w:space="0" w:color="auto"/>
      </w:divBdr>
    </w:div>
    <w:div w:id="355470836">
      <w:marLeft w:val="480"/>
      <w:marRight w:val="0"/>
      <w:marTop w:val="0"/>
      <w:marBottom w:val="0"/>
      <w:divBdr>
        <w:top w:val="none" w:sz="0" w:space="0" w:color="auto"/>
        <w:left w:val="none" w:sz="0" w:space="0" w:color="auto"/>
        <w:bottom w:val="none" w:sz="0" w:space="0" w:color="auto"/>
        <w:right w:val="none" w:sz="0" w:space="0" w:color="auto"/>
      </w:divBdr>
    </w:div>
    <w:div w:id="376858914">
      <w:marLeft w:val="480"/>
      <w:marRight w:val="0"/>
      <w:marTop w:val="0"/>
      <w:marBottom w:val="0"/>
      <w:divBdr>
        <w:top w:val="none" w:sz="0" w:space="0" w:color="auto"/>
        <w:left w:val="none" w:sz="0" w:space="0" w:color="auto"/>
        <w:bottom w:val="none" w:sz="0" w:space="0" w:color="auto"/>
        <w:right w:val="none" w:sz="0" w:space="0" w:color="auto"/>
      </w:divBdr>
    </w:div>
    <w:div w:id="377820772">
      <w:bodyDiv w:val="1"/>
      <w:marLeft w:val="0"/>
      <w:marRight w:val="0"/>
      <w:marTop w:val="0"/>
      <w:marBottom w:val="0"/>
      <w:divBdr>
        <w:top w:val="none" w:sz="0" w:space="0" w:color="auto"/>
        <w:left w:val="none" w:sz="0" w:space="0" w:color="auto"/>
        <w:bottom w:val="none" w:sz="0" w:space="0" w:color="auto"/>
        <w:right w:val="none" w:sz="0" w:space="0" w:color="auto"/>
      </w:divBdr>
    </w:div>
    <w:div w:id="390661170">
      <w:marLeft w:val="480"/>
      <w:marRight w:val="0"/>
      <w:marTop w:val="0"/>
      <w:marBottom w:val="0"/>
      <w:divBdr>
        <w:top w:val="none" w:sz="0" w:space="0" w:color="auto"/>
        <w:left w:val="none" w:sz="0" w:space="0" w:color="auto"/>
        <w:bottom w:val="none" w:sz="0" w:space="0" w:color="auto"/>
        <w:right w:val="none" w:sz="0" w:space="0" w:color="auto"/>
      </w:divBdr>
    </w:div>
    <w:div w:id="400909169">
      <w:marLeft w:val="480"/>
      <w:marRight w:val="0"/>
      <w:marTop w:val="0"/>
      <w:marBottom w:val="0"/>
      <w:divBdr>
        <w:top w:val="none" w:sz="0" w:space="0" w:color="auto"/>
        <w:left w:val="none" w:sz="0" w:space="0" w:color="auto"/>
        <w:bottom w:val="none" w:sz="0" w:space="0" w:color="auto"/>
        <w:right w:val="none" w:sz="0" w:space="0" w:color="auto"/>
      </w:divBdr>
    </w:div>
    <w:div w:id="405765499">
      <w:marLeft w:val="480"/>
      <w:marRight w:val="0"/>
      <w:marTop w:val="0"/>
      <w:marBottom w:val="0"/>
      <w:divBdr>
        <w:top w:val="none" w:sz="0" w:space="0" w:color="auto"/>
        <w:left w:val="none" w:sz="0" w:space="0" w:color="auto"/>
        <w:bottom w:val="none" w:sz="0" w:space="0" w:color="auto"/>
        <w:right w:val="none" w:sz="0" w:space="0" w:color="auto"/>
      </w:divBdr>
    </w:div>
    <w:div w:id="415782338">
      <w:marLeft w:val="480"/>
      <w:marRight w:val="0"/>
      <w:marTop w:val="0"/>
      <w:marBottom w:val="0"/>
      <w:divBdr>
        <w:top w:val="none" w:sz="0" w:space="0" w:color="auto"/>
        <w:left w:val="none" w:sz="0" w:space="0" w:color="auto"/>
        <w:bottom w:val="none" w:sz="0" w:space="0" w:color="auto"/>
        <w:right w:val="none" w:sz="0" w:space="0" w:color="auto"/>
      </w:divBdr>
    </w:div>
    <w:div w:id="420807227">
      <w:bodyDiv w:val="1"/>
      <w:marLeft w:val="0"/>
      <w:marRight w:val="0"/>
      <w:marTop w:val="0"/>
      <w:marBottom w:val="0"/>
      <w:divBdr>
        <w:top w:val="none" w:sz="0" w:space="0" w:color="auto"/>
        <w:left w:val="none" w:sz="0" w:space="0" w:color="auto"/>
        <w:bottom w:val="none" w:sz="0" w:space="0" w:color="auto"/>
        <w:right w:val="none" w:sz="0" w:space="0" w:color="auto"/>
      </w:divBdr>
    </w:div>
    <w:div w:id="424109489">
      <w:marLeft w:val="480"/>
      <w:marRight w:val="0"/>
      <w:marTop w:val="0"/>
      <w:marBottom w:val="0"/>
      <w:divBdr>
        <w:top w:val="none" w:sz="0" w:space="0" w:color="auto"/>
        <w:left w:val="none" w:sz="0" w:space="0" w:color="auto"/>
        <w:bottom w:val="none" w:sz="0" w:space="0" w:color="auto"/>
        <w:right w:val="none" w:sz="0" w:space="0" w:color="auto"/>
      </w:divBdr>
    </w:div>
    <w:div w:id="427968624">
      <w:marLeft w:val="480"/>
      <w:marRight w:val="0"/>
      <w:marTop w:val="0"/>
      <w:marBottom w:val="0"/>
      <w:divBdr>
        <w:top w:val="none" w:sz="0" w:space="0" w:color="auto"/>
        <w:left w:val="none" w:sz="0" w:space="0" w:color="auto"/>
        <w:bottom w:val="none" w:sz="0" w:space="0" w:color="auto"/>
        <w:right w:val="none" w:sz="0" w:space="0" w:color="auto"/>
      </w:divBdr>
    </w:div>
    <w:div w:id="435250723">
      <w:marLeft w:val="480"/>
      <w:marRight w:val="0"/>
      <w:marTop w:val="0"/>
      <w:marBottom w:val="0"/>
      <w:divBdr>
        <w:top w:val="none" w:sz="0" w:space="0" w:color="auto"/>
        <w:left w:val="none" w:sz="0" w:space="0" w:color="auto"/>
        <w:bottom w:val="none" w:sz="0" w:space="0" w:color="auto"/>
        <w:right w:val="none" w:sz="0" w:space="0" w:color="auto"/>
      </w:divBdr>
    </w:div>
    <w:div w:id="439683010">
      <w:marLeft w:val="480"/>
      <w:marRight w:val="0"/>
      <w:marTop w:val="0"/>
      <w:marBottom w:val="0"/>
      <w:divBdr>
        <w:top w:val="none" w:sz="0" w:space="0" w:color="auto"/>
        <w:left w:val="none" w:sz="0" w:space="0" w:color="auto"/>
        <w:bottom w:val="none" w:sz="0" w:space="0" w:color="auto"/>
        <w:right w:val="none" w:sz="0" w:space="0" w:color="auto"/>
      </w:divBdr>
    </w:div>
    <w:div w:id="441924880">
      <w:marLeft w:val="480"/>
      <w:marRight w:val="0"/>
      <w:marTop w:val="0"/>
      <w:marBottom w:val="0"/>
      <w:divBdr>
        <w:top w:val="none" w:sz="0" w:space="0" w:color="auto"/>
        <w:left w:val="none" w:sz="0" w:space="0" w:color="auto"/>
        <w:bottom w:val="none" w:sz="0" w:space="0" w:color="auto"/>
        <w:right w:val="none" w:sz="0" w:space="0" w:color="auto"/>
      </w:divBdr>
    </w:div>
    <w:div w:id="442917916">
      <w:marLeft w:val="480"/>
      <w:marRight w:val="0"/>
      <w:marTop w:val="0"/>
      <w:marBottom w:val="0"/>
      <w:divBdr>
        <w:top w:val="none" w:sz="0" w:space="0" w:color="auto"/>
        <w:left w:val="none" w:sz="0" w:space="0" w:color="auto"/>
        <w:bottom w:val="none" w:sz="0" w:space="0" w:color="auto"/>
        <w:right w:val="none" w:sz="0" w:space="0" w:color="auto"/>
      </w:divBdr>
    </w:div>
    <w:div w:id="444890299">
      <w:marLeft w:val="480"/>
      <w:marRight w:val="0"/>
      <w:marTop w:val="0"/>
      <w:marBottom w:val="0"/>
      <w:divBdr>
        <w:top w:val="none" w:sz="0" w:space="0" w:color="auto"/>
        <w:left w:val="none" w:sz="0" w:space="0" w:color="auto"/>
        <w:bottom w:val="none" w:sz="0" w:space="0" w:color="auto"/>
        <w:right w:val="none" w:sz="0" w:space="0" w:color="auto"/>
      </w:divBdr>
    </w:div>
    <w:div w:id="448085485">
      <w:marLeft w:val="480"/>
      <w:marRight w:val="0"/>
      <w:marTop w:val="0"/>
      <w:marBottom w:val="0"/>
      <w:divBdr>
        <w:top w:val="none" w:sz="0" w:space="0" w:color="auto"/>
        <w:left w:val="none" w:sz="0" w:space="0" w:color="auto"/>
        <w:bottom w:val="none" w:sz="0" w:space="0" w:color="auto"/>
        <w:right w:val="none" w:sz="0" w:space="0" w:color="auto"/>
      </w:divBdr>
    </w:div>
    <w:div w:id="451753669">
      <w:marLeft w:val="480"/>
      <w:marRight w:val="0"/>
      <w:marTop w:val="0"/>
      <w:marBottom w:val="0"/>
      <w:divBdr>
        <w:top w:val="none" w:sz="0" w:space="0" w:color="auto"/>
        <w:left w:val="none" w:sz="0" w:space="0" w:color="auto"/>
        <w:bottom w:val="none" w:sz="0" w:space="0" w:color="auto"/>
        <w:right w:val="none" w:sz="0" w:space="0" w:color="auto"/>
      </w:divBdr>
    </w:div>
    <w:div w:id="455410798">
      <w:marLeft w:val="480"/>
      <w:marRight w:val="0"/>
      <w:marTop w:val="0"/>
      <w:marBottom w:val="0"/>
      <w:divBdr>
        <w:top w:val="none" w:sz="0" w:space="0" w:color="auto"/>
        <w:left w:val="none" w:sz="0" w:space="0" w:color="auto"/>
        <w:bottom w:val="none" w:sz="0" w:space="0" w:color="auto"/>
        <w:right w:val="none" w:sz="0" w:space="0" w:color="auto"/>
      </w:divBdr>
    </w:div>
    <w:div w:id="461506296">
      <w:marLeft w:val="480"/>
      <w:marRight w:val="0"/>
      <w:marTop w:val="0"/>
      <w:marBottom w:val="0"/>
      <w:divBdr>
        <w:top w:val="none" w:sz="0" w:space="0" w:color="auto"/>
        <w:left w:val="none" w:sz="0" w:space="0" w:color="auto"/>
        <w:bottom w:val="none" w:sz="0" w:space="0" w:color="auto"/>
        <w:right w:val="none" w:sz="0" w:space="0" w:color="auto"/>
      </w:divBdr>
    </w:div>
    <w:div w:id="462232000">
      <w:marLeft w:val="480"/>
      <w:marRight w:val="0"/>
      <w:marTop w:val="0"/>
      <w:marBottom w:val="0"/>
      <w:divBdr>
        <w:top w:val="none" w:sz="0" w:space="0" w:color="auto"/>
        <w:left w:val="none" w:sz="0" w:space="0" w:color="auto"/>
        <w:bottom w:val="none" w:sz="0" w:space="0" w:color="auto"/>
        <w:right w:val="none" w:sz="0" w:space="0" w:color="auto"/>
      </w:divBdr>
    </w:div>
    <w:div w:id="469324327">
      <w:marLeft w:val="480"/>
      <w:marRight w:val="0"/>
      <w:marTop w:val="0"/>
      <w:marBottom w:val="0"/>
      <w:divBdr>
        <w:top w:val="none" w:sz="0" w:space="0" w:color="auto"/>
        <w:left w:val="none" w:sz="0" w:space="0" w:color="auto"/>
        <w:bottom w:val="none" w:sz="0" w:space="0" w:color="auto"/>
        <w:right w:val="none" w:sz="0" w:space="0" w:color="auto"/>
      </w:divBdr>
    </w:div>
    <w:div w:id="470561772">
      <w:marLeft w:val="480"/>
      <w:marRight w:val="0"/>
      <w:marTop w:val="0"/>
      <w:marBottom w:val="0"/>
      <w:divBdr>
        <w:top w:val="none" w:sz="0" w:space="0" w:color="auto"/>
        <w:left w:val="none" w:sz="0" w:space="0" w:color="auto"/>
        <w:bottom w:val="none" w:sz="0" w:space="0" w:color="auto"/>
        <w:right w:val="none" w:sz="0" w:space="0" w:color="auto"/>
      </w:divBdr>
    </w:div>
    <w:div w:id="472722946">
      <w:marLeft w:val="480"/>
      <w:marRight w:val="0"/>
      <w:marTop w:val="0"/>
      <w:marBottom w:val="0"/>
      <w:divBdr>
        <w:top w:val="none" w:sz="0" w:space="0" w:color="auto"/>
        <w:left w:val="none" w:sz="0" w:space="0" w:color="auto"/>
        <w:bottom w:val="none" w:sz="0" w:space="0" w:color="auto"/>
        <w:right w:val="none" w:sz="0" w:space="0" w:color="auto"/>
      </w:divBdr>
    </w:div>
    <w:div w:id="472989000">
      <w:marLeft w:val="480"/>
      <w:marRight w:val="0"/>
      <w:marTop w:val="0"/>
      <w:marBottom w:val="0"/>
      <w:divBdr>
        <w:top w:val="none" w:sz="0" w:space="0" w:color="auto"/>
        <w:left w:val="none" w:sz="0" w:space="0" w:color="auto"/>
        <w:bottom w:val="none" w:sz="0" w:space="0" w:color="auto"/>
        <w:right w:val="none" w:sz="0" w:space="0" w:color="auto"/>
      </w:divBdr>
    </w:div>
    <w:div w:id="473259186">
      <w:marLeft w:val="480"/>
      <w:marRight w:val="0"/>
      <w:marTop w:val="0"/>
      <w:marBottom w:val="0"/>
      <w:divBdr>
        <w:top w:val="none" w:sz="0" w:space="0" w:color="auto"/>
        <w:left w:val="none" w:sz="0" w:space="0" w:color="auto"/>
        <w:bottom w:val="none" w:sz="0" w:space="0" w:color="auto"/>
        <w:right w:val="none" w:sz="0" w:space="0" w:color="auto"/>
      </w:divBdr>
    </w:div>
    <w:div w:id="495144576">
      <w:marLeft w:val="480"/>
      <w:marRight w:val="0"/>
      <w:marTop w:val="0"/>
      <w:marBottom w:val="0"/>
      <w:divBdr>
        <w:top w:val="none" w:sz="0" w:space="0" w:color="auto"/>
        <w:left w:val="none" w:sz="0" w:space="0" w:color="auto"/>
        <w:bottom w:val="none" w:sz="0" w:space="0" w:color="auto"/>
        <w:right w:val="none" w:sz="0" w:space="0" w:color="auto"/>
      </w:divBdr>
    </w:div>
    <w:div w:id="496042588">
      <w:marLeft w:val="480"/>
      <w:marRight w:val="0"/>
      <w:marTop w:val="0"/>
      <w:marBottom w:val="0"/>
      <w:divBdr>
        <w:top w:val="none" w:sz="0" w:space="0" w:color="auto"/>
        <w:left w:val="none" w:sz="0" w:space="0" w:color="auto"/>
        <w:bottom w:val="none" w:sz="0" w:space="0" w:color="auto"/>
        <w:right w:val="none" w:sz="0" w:space="0" w:color="auto"/>
      </w:divBdr>
    </w:div>
    <w:div w:id="496579736">
      <w:marLeft w:val="480"/>
      <w:marRight w:val="0"/>
      <w:marTop w:val="0"/>
      <w:marBottom w:val="0"/>
      <w:divBdr>
        <w:top w:val="none" w:sz="0" w:space="0" w:color="auto"/>
        <w:left w:val="none" w:sz="0" w:space="0" w:color="auto"/>
        <w:bottom w:val="none" w:sz="0" w:space="0" w:color="auto"/>
        <w:right w:val="none" w:sz="0" w:space="0" w:color="auto"/>
      </w:divBdr>
    </w:div>
    <w:div w:id="496924853">
      <w:bodyDiv w:val="1"/>
      <w:marLeft w:val="0"/>
      <w:marRight w:val="0"/>
      <w:marTop w:val="0"/>
      <w:marBottom w:val="0"/>
      <w:divBdr>
        <w:top w:val="none" w:sz="0" w:space="0" w:color="auto"/>
        <w:left w:val="none" w:sz="0" w:space="0" w:color="auto"/>
        <w:bottom w:val="none" w:sz="0" w:space="0" w:color="auto"/>
        <w:right w:val="none" w:sz="0" w:space="0" w:color="auto"/>
      </w:divBdr>
    </w:div>
    <w:div w:id="499273714">
      <w:marLeft w:val="480"/>
      <w:marRight w:val="0"/>
      <w:marTop w:val="0"/>
      <w:marBottom w:val="0"/>
      <w:divBdr>
        <w:top w:val="none" w:sz="0" w:space="0" w:color="auto"/>
        <w:left w:val="none" w:sz="0" w:space="0" w:color="auto"/>
        <w:bottom w:val="none" w:sz="0" w:space="0" w:color="auto"/>
        <w:right w:val="none" w:sz="0" w:space="0" w:color="auto"/>
      </w:divBdr>
    </w:div>
    <w:div w:id="506872735">
      <w:marLeft w:val="480"/>
      <w:marRight w:val="0"/>
      <w:marTop w:val="0"/>
      <w:marBottom w:val="0"/>
      <w:divBdr>
        <w:top w:val="none" w:sz="0" w:space="0" w:color="auto"/>
        <w:left w:val="none" w:sz="0" w:space="0" w:color="auto"/>
        <w:bottom w:val="none" w:sz="0" w:space="0" w:color="auto"/>
        <w:right w:val="none" w:sz="0" w:space="0" w:color="auto"/>
      </w:divBdr>
    </w:div>
    <w:div w:id="511260476">
      <w:marLeft w:val="480"/>
      <w:marRight w:val="0"/>
      <w:marTop w:val="0"/>
      <w:marBottom w:val="0"/>
      <w:divBdr>
        <w:top w:val="none" w:sz="0" w:space="0" w:color="auto"/>
        <w:left w:val="none" w:sz="0" w:space="0" w:color="auto"/>
        <w:bottom w:val="none" w:sz="0" w:space="0" w:color="auto"/>
        <w:right w:val="none" w:sz="0" w:space="0" w:color="auto"/>
      </w:divBdr>
    </w:div>
    <w:div w:id="516770734">
      <w:marLeft w:val="480"/>
      <w:marRight w:val="0"/>
      <w:marTop w:val="0"/>
      <w:marBottom w:val="0"/>
      <w:divBdr>
        <w:top w:val="none" w:sz="0" w:space="0" w:color="auto"/>
        <w:left w:val="none" w:sz="0" w:space="0" w:color="auto"/>
        <w:bottom w:val="none" w:sz="0" w:space="0" w:color="auto"/>
        <w:right w:val="none" w:sz="0" w:space="0" w:color="auto"/>
      </w:divBdr>
    </w:div>
    <w:div w:id="517355071">
      <w:marLeft w:val="480"/>
      <w:marRight w:val="0"/>
      <w:marTop w:val="0"/>
      <w:marBottom w:val="0"/>
      <w:divBdr>
        <w:top w:val="none" w:sz="0" w:space="0" w:color="auto"/>
        <w:left w:val="none" w:sz="0" w:space="0" w:color="auto"/>
        <w:bottom w:val="none" w:sz="0" w:space="0" w:color="auto"/>
        <w:right w:val="none" w:sz="0" w:space="0" w:color="auto"/>
      </w:divBdr>
    </w:div>
    <w:div w:id="520436977">
      <w:marLeft w:val="480"/>
      <w:marRight w:val="0"/>
      <w:marTop w:val="0"/>
      <w:marBottom w:val="0"/>
      <w:divBdr>
        <w:top w:val="none" w:sz="0" w:space="0" w:color="auto"/>
        <w:left w:val="none" w:sz="0" w:space="0" w:color="auto"/>
        <w:bottom w:val="none" w:sz="0" w:space="0" w:color="auto"/>
        <w:right w:val="none" w:sz="0" w:space="0" w:color="auto"/>
      </w:divBdr>
    </w:div>
    <w:div w:id="535655014">
      <w:marLeft w:val="480"/>
      <w:marRight w:val="0"/>
      <w:marTop w:val="0"/>
      <w:marBottom w:val="0"/>
      <w:divBdr>
        <w:top w:val="none" w:sz="0" w:space="0" w:color="auto"/>
        <w:left w:val="none" w:sz="0" w:space="0" w:color="auto"/>
        <w:bottom w:val="none" w:sz="0" w:space="0" w:color="auto"/>
        <w:right w:val="none" w:sz="0" w:space="0" w:color="auto"/>
      </w:divBdr>
    </w:div>
    <w:div w:id="537357399">
      <w:marLeft w:val="480"/>
      <w:marRight w:val="0"/>
      <w:marTop w:val="0"/>
      <w:marBottom w:val="0"/>
      <w:divBdr>
        <w:top w:val="none" w:sz="0" w:space="0" w:color="auto"/>
        <w:left w:val="none" w:sz="0" w:space="0" w:color="auto"/>
        <w:bottom w:val="none" w:sz="0" w:space="0" w:color="auto"/>
        <w:right w:val="none" w:sz="0" w:space="0" w:color="auto"/>
      </w:divBdr>
    </w:div>
    <w:div w:id="542013475">
      <w:marLeft w:val="480"/>
      <w:marRight w:val="0"/>
      <w:marTop w:val="0"/>
      <w:marBottom w:val="0"/>
      <w:divBdr>
        <w:top w:val="none" w:sz="0" w:space="0" w:color="auto"/>
        <w:left w:val="none" w:sz="0" w:space="0" w:color="auto"/>
        <w:bottom w:val="none" w:sz="0" w:space="0" w:color="auto"/>
        <w:right w:val="none" w:sz="0" w:space="0" w:color="auto"/>
      </w:divBdr>
    </w:div>
    <w:div w:id="547381452">
      <w:marLeft w:val="480"/>
      <w:marRight w:val="0"/>
      <w:marTop w:val="0"/>
      <w:marBottom w:val="0"/>
      <w:divBdr>
        <w:top w:val="none" w:sz="0" w:space="0" w:color="auto"/>
        <w:left w:val="none" w:sz="0" w:space="0" w:color="auto"/>
        <w:bottom w:val="none" w:sz="0" w:space="0" w:color="auto"/>
        <w:right w:val="none" w:sz="0" w:space="0" w:color="auto"/>
      </w:divBdr>
    </w:div>
    <w:div w:id="554124669">
      <w:marLeft w:val="480"/>
      <w:marRight w:val="0"/>
      <w:marTop w:val="0"/>
      <w:marBottom w:val="0"/>
      <w:divBdr>
        <w:top w:val="none" w:sz="0" w:space="0" w:color="auto"/>
        <w:left w:val="none" w:sz="0" w:space="0" w:color="auto"/>
        <w:bottom w:val="none" w:sz="0" w:space="0" w:color="auto"/>
        <w:right w:val="none" w:sz="0" w:space="0" w:color="auto"/>
      </w:divBdr>
    </w:div>
    <w:div w:id="556282084">
      <w:marLeft w:val="480"/>
      <w:marRight w:val="0"/>
      <w:marTop w:val="0"/>
      <w:marBottom w:val="0"/>
      <w:divBdr>
        <w:top w:val="none" w:sz="0" w:space="0" w:color="auto"/>
        <w:left w:val="none" w:sz="0" w:space="0" w:color="auto"/>
        <w:bottom w:val="none" w:sz="0" w:space="0" w:color="auto"/>
        <w:right w:val="none" w:sz="0" w:space="0" w:color="auto"/>
      </w:divBdr>
    </w:div>
    <w:div w:id="563764227">
      <w:marLeft w:val="480"/>
      <w:marRight w:val="0"/>
      <w:marTop w:val="0"/>
      <w:marBottom w:val="0"/>
      <w:divBdr>
        <w:top w:val="none" w:sz="0" w:space="0" w:color="auto"/>
        <w:left w:val="none" w:sz="0" w:space="0" w:color="auto"/>
        <w:bottom w:val="none" w:sz="0" w:space="0" w:color="auto"/>
        <w:right w:val="none" w:sz="0" w:space="0" w:color="auto"/>
      </w:divBdr>
    </w:div>
    <w:div w:id="578558049">
      <w:marLeft w:val="480"/>
      <w:marRight w:val="0"/>
      <w:marTop w:val="0"/>
      <w:marBottom w:val="0"/>
      <w:divBdr>
        <w:top w:val="none" w:sz="0" w:space="0" w:color="auto"/>
        <w:left w:val="none" w:sz="0" w:space="0" w:color="auto"/>
        <w:bottom w:val="none" w:sz="0" w:space="0" w:color="auto"/>
        <w:right w:val="none" w:sz="0" w:space="0" w:color="auto"/>
      </w:divBdr>
    </w:div>
    <w:div w:id="589004745">
      <w:marLeft w:val="480"/>
      <w:marRight w:val="0"/>
      <w:marTop w:val="0"/>
      <w:marBottom w:val="0"/>
      <w:divBdr>
        <w:top w:val="none" w:sz="0" w:space="0" w:color="auto"/>
        <w:left w:val="none" w:sz="0" w:space="0" w:color="auto"/>
        <w:bottom w:val="none" w:sz="0" w:space="0" w:color="auto"/>
        <w:right w:val="none" w:sz="0" w:space="0" w:color="auto"/>
      </w:divBdr>
    </w:div>
    <w:div w:id="592587922">
      <w:marLeft w:val="480"/>
      <w:marRight w:val="0"/>
      <w:marTop w:val="0"/>
      <w:marBottom w:val="0"/>
      <w:divBdr>
        <w:top w:val="none" w:sz="0" w:space="0" w:color="auto"/>
        <w:left w:val="none" w:sz="0" w:space="0" w:color="auto"/>
        <w:bottom w:val="none" w:sz="0" w:space="0" w:color="auto"/>
        <w:right w:val="none" w:sz="0" w:space="0" w:color="auto"/>
      </w:divBdr>
    </w:div>
    <w:div w:id="599023527">
      <w:marLeft w:val="480"/>
      <w:marRight w:val="0"/>
      <w:marTop w:val="0"/>
      <w:marBottom w:val="0"/>
      <w:divBdr>
        <w:top w:val="none" w:sz="0" w:space="0" w:color="auto"/>
        <w:left w:val="none" w:sz="0" w:space="0" w:color="auto"/>
        <w:bottom w:val="none" w:sz="0" w:space="0" w:color="auto"/>
        <w:right w:val="none" w:sz="0" w:space="0" w:color="auto"/>
      </w:divBdr>
    </w:div>
    <w:div w:id="602881351">
      <w:marLeft w:val="480"/>
      <w:marRight w:val="0"/>
      <w:marTop w:val="0"/>
      <w:marBottom w:val="0"/>
      <w:divBdr>
        <w:top w:val="none" w:sz="0" w:space="0" w:color="auto"/>
        <w:left w:val="none" w:sz="0" w:space="0" w:color="auto"/>
        <w:bottom w:val="none" w:sz="0" w:space="0" w:color="auto"/>
        <w:right w:val="none" w:sz="0" w:space="0" w:color="auto"/>
      </w:divBdr>
    </w:div>
    <w:div w:id="618296227">
      <w:marLeft w:val="480"/>
      <w:marRight w:val="0"/>
      <w:marTop w:val="0"/>
      <w:marBottom w:val="0"/>
      <w:divBdr>
        <w:top w:val="none" w:sz="0" w:space="0" w:color="auto"/>
        <w:left w:val="none" w:sz="0" w:space="0" w:color="auto"/>
        <w:bottom w:val="none" w:sz="0" w:space="0" w:color="auto"/>
        <w:right w:val="none" w:sz="0" w:space="0" w:color="auto"/>
      </w:divBdr>
    </w:div>
    <w:div w:id="623198194">
      <w:marLeft w:val="480"/>
      <w:marRight w:val="0"/>
      <w:marTop w:val="0"/>
      <w:marBottom w:val="0"/>
      <w:divBdr>
        <w:top w:val="none" w:sz="0" w:space="0" w:color="auto"/>
        <w:left w:val="none" w:sz="0" w:space="0" w:color="auto"/>
        <w:bottom w:val="none" w:sz="0" w:space="0" w:color="auto"/>
        <w:right w:val="none" w:sz="0" w:space="0" w:color="auto"/>
      </w:divBdr>
    </w:div>
    <w:div w:id="634524918">
      <w:marLeft w:val="480"/>
      <w:marRight w:val="0"/>
      <w:marTop w:val="0"/>
      <w:marBottom w:val="0"/>
      <w:divBdr>
        <w:top w:val="none" w:sz="0" w:space="0" w:color="auto"/>
        <w:left w:val="none" w:sz="0" w:space="0" w:color="auto"/>
        <w:bottom w:val="none" w:sz="0" w:space="0" w:color="auto"/>
        <w:right w:val="none" w:sz="0" w:space="0" w:color="auto"/>
      </w:divBdr>
    </w:div>
    <w:div w:id="635070536">
      <w:marLeft w:val="480"/>
      <w:marRight w:val="0"/>
      <w:marTop w:val="0"/>
      <w:marBottom w:val="0"/>
      <w:divBdr>
        <w:top w:val="none" w:sz="0" w:space="0" w:color="auto"/>
        <w:left w:val="none" w:sz="0" w:space="0" w:color="auto"/>
        <w:bottom w:val="none" w:sz="0" w:space="0" w:color="auto"/>
        <w:right w:val="none" w:sz="0" w:space="0" w:color="auto"/>
      </w:divBdr>
    </w:div>
    <w:div w:id="640157635">
      <w:marLeft w:val="480"/>
      <w:marRight w:val="0"/>
      <w:marTop w:val="0"/>
      <w:marBottom w:val="0"/>
      <w:divBdr>
        <w:top w:val="none" w:sz="0" w:space="0" w:color="auto"/>
        <w:left w:val="none" w:sz="0" w:space="0" w:color="auto"/>
        <w:bottom w:val="none" w:sz="0" w:space="0" w:color="auto"/>
        <w:right w:val="none" w:sz="0" w:space="0" w:color="auto"/>
      </w:divBdr>
    </w:div>
    <w:div w:id="645476859">
      <w:marLeft w:val="480"/>
      <w:marRight w:val="0"/>
      <w:marTop w:val="0"/>
      <w:marBottom w:val="0"/>
      <w:divBdr>
        <w:top w:val="none" w:sz="0" w:space="0" w:color="auto"/>
        <w:left w:val="none" w:sz="0" w:space="0" w:color="auto"/>
        <w:bottom w:val="none" w:sz="0" w:space="0" w:color="auto"/>
        <w:right w:val="none" w:sz="0" w:space="0" w:color="auto"/>
      </w:divBdr>
    </w:div>
    <w:div w:id="647443095">
      <w:marLeft w:val="480"/>
      <w:marRight w:val="0"/>
      <w:marTop w:val="0"/>
      <w:marBottom w:val="0"/>
      <w:divBdr>
        <w:top w:val="none" w:sz="0" w:space="0" w:color="auto"/>
        <w:left w:val="none" w:sz="0" w:space="0" w:color="auto"/>
        <w:bottom w:val="none" w:sz="0" w:space="0" w:color="auto"/>
        <w:right w:val="none" w:sz="0" w:space="0" w:color="auto"/>
      </w:divBdr>
    </w:div>
    <w:div w:id="649405421">
      <w:marLeft w:val="480"/>
      <w:marRight w:val="0"/>
      <w:marTop w:val="0"/>
      <w:marBottom w:val="0"/>
      <w:divBdr>
        <w:top w:val="none" w:sz="0" w:space="0" w:color="auto"/>
        <w:left w:val="none" w:sz="0" w:space="0" w:color="auto"/>
        <w:bottom w:val="none" w:sz="0" w:space="0" w:color="auto"/>
        <w:right w:val="none" w:sz="0" w:space="0" w:color="auto"/>
      </w:divBdr>
    </w:div>
    <w:div w:id="652178600">
      <w:marLeft w:val="480"/>
      <w:marRight w:val="0"/>
      <w:marTop w:val="0"/>
      <w:marBottom w:val="0"/>
      <w:divBdr>
        <w:top w:val="none" w:sz="0" w:space="0" w:color="auto"/>
        <w:left w:val="none" w:sz="0" w:space="0" w:color="auto"/>
        <w:bottom w:val="none" w:sz="0" w:space="0" w:color="auto"/>
        <w:right w:val="none" w:sz="0" w:space="0" w:color="auto"/>
      </w:divBdr>
    </w:div>
    <w:div w:id="653143636">
      <w:marLeft w:val="480"/>
      <w:marRight w:val="0"/>
      <w:marTop w:val="0"/>
      <w:marBottom w:val="0"/>
      <w:divBdr>
        <w:top w:val="none" w:sz="0" w:space="0" w:color="auto"/>
        <w:left w:val="none" w:sz="0" w:space="0" w:color="auto"/>
        <w:bottom w:val="none" w:sz="0" w:space="0" w:color="auto"/>
        <w:right w:val="none" w:sz="0" w:space="0" w:color="auto"/>
      </w:divBdr>
    </w:div>
    <w:div w:id="655915819">
      <w:marLeft w:val="480"/>
      <w:marRight w:val="0"/>
      <w:marTop w:val="0"/>
      <w:marBottom w:val="0"/>
      <w:divBdr>
        <w:top w:val="none" w:sz="0" w:space="0" w:color="auto"/>
        <w:left w:val="none" w:sz="0" w:space="0" w:color="auto"/>
        <w:bottom w:val="none" w:sz="0" w:space="0" w:color="auto"/>
        <w:right w:val="none" w:sz="0" w:space="0" w:color="auto"/>
      </w:divBdr>
    </w:div>
    <w:div w:id="662586472">
      <w:marLeft w:val="480"/>
      <w:marRight w:val="0"/>
      <w:marTop w:val="0"/>
      <w:marBottom w:val="0"/>
      <w:divBdr>
        <w:top w:val="none" w:sz="0" w:space="0" w:color="auto"/>
        <w:left w:val="none" w:sz="0" w:space="0" w:color="auto"/>
        <w:bottom w:val="none" w:sz="0" w:space="0" w:color="auto"/>
        <w:right w:val="none" w:sz="0" w:space="0" w:color="auto"/>
      </w:divBdr>
    </w:div>
    <w:div w:id="662589819">
      <w:marLeft w:val="480"/>
      <w:marRight w:val="0"/>
      <w:marTop w:val="0"/>
      <w:marBottom w:val="0"/>
      <w:divBdr>
        <w:top w:val="none" w:sz="0" w:space="0" w:color="auto"/>
        <w:left w:val="none" w:sz="0" w:space="0" w:color="auto"/>
        <w:bottom w:val="none" w:sz="0" w:space="0" w:color="auto"/>
        <w:right w:val="none" w:sz="0" w:space="0" w:color="auto"/>
      </w:divBdr>
    </w:div>
    <w:div w:id="671687999">
      <w:marLeft w:val="480"/>
      <w:marRight w:val="0"/>
      <w:marTop w:val="0"/>
      <w:marBottom w:val="0"/>
      <w:divBdr>
        <w:top w:val="none" w:sz="0" w:space="0" w:color="auto"/>
        <w:left w:val="none" w:sz="0" w:space="0" w:color="auto"/>
        <w:bottom w:val="none" w:sz="0" w:space="0" w:color="auto"/>
        <w:right w:val="none" w:sz="0" w:space="0" w:color="auto"/>
      </w:divBdr>
    </w:div>
    <w:div w:id="684943300">
      <w:marLeft w:val="480"/>
      <w:marRight w:val="0"/>
      <w:marTop w:val="0"/>
      <w:marBottom w:val="0"/>
      <w:divBdr>
        <w:top w:val="none" w:sz="0" w:space="0" w:color="auto"/>
        <w:left w:val="none" w:sz="0" w:space="0" w:color="auto"/>
        <w:bottom w:val="none" w:sz="0" w:space="0" w:color="auto"/>
        <w:right w:val="none" w:sz="0" w:space="0" w:color="auto"/>
      </w:divBdr>
    </w:div>
    <w:div w:id="689844315">
      <w:marLeft w:val="480"/>
      <w:marRight w:val="0"/>
      <w:marTop w:val="0"/>
      <w:marBottom w:val="0"/>
      <w:divBdr>
        <w:top w:val="none" w:sz="0" w:space="0" w:color="auto"/>
        <w:left w:val="none" w:sz="0" w:space="0" w:color="auto"/>
        <w:bottom w:val="none" w:sz="0" w:space="0" w:color="auto"/>
        <w:right w:val="none" w:sz="0" w:space="0" w:color="auto"/>
      </w:divBdr>
    </w:div>
    <w:div w:id="697317041">
      <w:marLeft w:val="480"/>
      <w:marRight w:val="0"/>
      <w:marTop w:val="0"/>
      <w:marBottom w:val="0"/>
      <w:divBdr>
        <w:top w:val="none" w:sz="0" w:space="0" w:color="auto"/>
        <w:left w:val="none" w:sz="0" w:space="0" w:color="auto"/>
        <w:bottom w:val="none" w:sz="0" w:space="0" w:color="auto"/>
        <w:right w:val="none" w:sz="0" w:space="0" w:color="auto"/>
      </w:divBdr>
    </w:div>
    <w:div w:id="700325626">
      <w:marLeft w:val="480"/>
      <w:marRight w:val="0"/>
      <w:marTop w:val="0"/>
      <w:marBottom w:val="0"/>
      <w:divBdr>
        <w:top w:val="none" w:sz="0" w:space="0" w:color="auto"/>
        <w:left w:val="none" w:sz="0" w:space="0" w:color="auto"/>
        <w:bottom w:val="none" w:sz="0" w:space="0" w:color="auto"/>
        <w:right w:val="none" w:sz="0" w:space="0" w:color="auto"/>
      </w:divBdr>
    </w:div>
    <w:div w:id="706373717">
      <w:marLeft w:val="480"/>
      <w:marRight w:val="0"/>
      <w:marTop w:val="0"/>
      <w:marBottom w:val="0"/>
      <w:divBdr>
        <w:top w:val="none" w:sz="0" w:space="0" w:color="auto"/>
        <w:left w:val="none" w:sz="0" w:space="0" w:color="auto"/>
        <w:bottom w:val="none" w:sz="0" w:space="0" w:color="auto"/>
        <w:right w:val="none" w:sz="0" w:space="0" w:color="auto"/>
      </w:divBdr>
    </w:div>
    <w:div w:id="707218728">
      <w:bodyDiv w:val="1"/>
      <w:marLeft w:val="0"/>
      <w:marRight w:val="0"/>
      <w:marTop w:val="0"/>
      <w:marBottom w:val="0"/>
      <w:divBdr>
        <w:top w:val="none" w:sz="0" w:space="0" w:color="auto"/>
        <w:left w:val="none" w:sz="0" w:space="0" w:color="auto"/>
        <w:bottom w:val="none" w:sz="0" w:space="0" w:color="auto"/>
        <w:right w:val="none" w:sz="0" w:space="0" w:color="auto"/>
      </w:divBdr>
    </w:div>
    <w:div w:id="710617652">
      <w:marLeft w:val="480"/>
      <w:marRight w:val="0"/>
      <w:marTop w:val="0"/>
      <w:marBottom w:val="0"/>
      <w:divBdr>
        <w:top w:val="none" w:sz="0" w:space="0" w:color="auto"/>
        <w:left w:val="none" w:sz="0" w:space="0" w:color="auto"/>
        <w:bottom w:val="none" w:sz="0" w:space="0" w:color="auto"/>
        <w:right w:val="none" w:sz="0" w:space="0" w:color="auto"/>
      </w:divBdr>
    </w:div>
    <w:div w:id="711423240">
      <w:bodyDiv w:val="1"/>
      <w:marLeft w:val="0"/>
      <w:marRight w:val="0"/>
      <w:marTop w:val="0"/>
      <w:marBottom w:val="0"/>
      <w:divBdr>
        <w:top w:val="none" w:sz="0" w:space="0" w:color="auto"/>
        <w:left w:val="none" w:sz="0" w:space="0" w:color="auto"/>
        <w:bottom w:val="none" w:sz="0" w:space="0" w:color="auto"/>
        <w:right w:val="none" w:sz="0" w:space="0" w:color="auto"/>
      </w:divBdr>
    </w:div>
    <w:div w:id="716930122">
      <w:marLeft w:val="480"/>
      <w:marRight w:val="0"/>
      <w:marTop w:val="0"/>
      <w:marBottom w:val="0"/>
      <w:divBdr>
        <w:top w:val="none" w:sz="0" w:space="0" w:color="auto"/>
        <w:left w:val="none" w:sz="0" w:space="0" w:color="auto"/>
        <w:bottom w:val="none" w:sz="0" w:space="0" w:color="auto"/>
        <w:right w:val="none" w:sz="0" w:space="0" w:color="auto"/>
      </w:divBdr>
    </w:div>
    <w:div w:id="717242796">
      <w:marLeft w:val="480"/>
      <w:marRight w:val="0"/>
      <w:marTop w:val="0"/>
      <w:marBottom w:val="0"/>
      <w:divBdr>
        <w:top w:val="none" w:sz="0" w:space="0" w:color="auto"/>
        <w:left w:val="none" w:sz="0" w:space="0" w:color="auto"/>
        <w:bottom w:val="none" w:sz="0" w:space="0" w:color="auto"/>
        <w:right w:val="none" w:sz="0" w:space="0" w:color="auto"/>
      </w:divBdr>
    </w:div>
    <w:div w:id="721561088">
      <w:marLeft w:val="480"/>
      <w:marRight w:val="0"/>
      <w:marTop w:val="0"/>
      <w:marBottom w:val="0"/>
      <w:divBdr>
        <w:top w:val="none" w:sz="0" w:space="0" w:color="auto"/>
        <w:left w:val="none" w:sz="0" w:space="0" w:color="auto"/>
        <w:bottom w:val="none" w:sz="0" w:space="0" w:color="auto"/>
        <w:right w:val="none" w:sz="0" w:space="0" w:color="auto"/>
      </w:divBdr>
    </w:div>
    <w:div w:id="727800290">
      <w:marLeft w:val="480"/>
      <w:marRight w:val="0"/>
      <w:marTop w:val="0"/>
      <w:marBottom w:val="0"/>
      <w:divBdr>
        <w:top w:val="none" w:sz="0" w:space="0" w:color="auto"/>
        <w:left w:val="none" w:sz="0" w:space="0" w:color="auto"/>
        <w:bottom w:val="none" w:sz="0" w:space="0" w:color="auto"/>
        <w:right w:val="none" w:sz="0" w:space="0" w:color="auto"/>
      </w:divBdr>
    </w:div>
    <w:div w:id="729961002">
      <w:marLeft w:val="480"/>
      <w:marRight w:val="0"/>
      <w:marTop w:val="0"/>
      <w:marBottom w:val="0"/>
      <w:divBdr>
        <w:top w:val="none" w:sz="0" w:space="0" w:color="auto"/>
        <w:left w:val="none" w:sz="0" w:space="0" w:color="auto"/>
        <w:bottom w:val="none" w:sz="0" w:space="0" w:color="auto"/>
        <w:right w:val="none" w:sz="0" w:space="0" w:color="auto"/>
      </w:divBdr>
    </w:div>
    <w:div w:id="730228255">
      <w:marLeft w:val="480"/>
      <w:marRight w:val="0"/>
      <w:marTop w:val="0"/>
      <w:marBottom w:val="0"/>
      <w:divBdr>
        <w:top w:val="none" w:sz="0" w:space="0" w:color="auto"/>
        <w:left w:val="none" w:sz="0" w:space="0" w:color="auto"/>
        <w:bottom w:val="none" w:sz="0" w:space="0" w:color="auto"/>
        <w:right w:val="none" w:sz="0" w:space="0" w:color="auto"/>
      </w:divBdr>
    </w:div>
    <w:div w:id="738946405">
      <w:marLeft w:val="480"/>
      <w:marRight w:val="0"/>
      <w:marTop w:val="0"/>
      <w:marBottom w:val="0"/>
      <w:divBdr>
        <w:top w:val="none" w:sz="0" w:space="0" w:color="auto"/>
        <w:left w:val="none" w:sz="0" w:space="0" w:color="auto"/>
        <w:bottom w:val="none" w:sz="0" w:space="0" w:color="auto"/>
        <w:right w:val="none" w:sz="0" w:space="0" w:color="auto"/>
      </w:divBdr>
    </w:div>
    <w:div w:id="743722106">
      <w:marLeft w:val="480"/>
      <w:marRight w:val="0"/>
      <w:marTop w:val="0"/>
      <w:marBottom w:val="0"/>
      <w:divBdr>
        <w:top w:val="none" w:sz="0" w:space="0" w:color="auto"/>
        <w:left w:val="none" w:sz="0" w:space="0" w:color="auto"/>
        <w:bottom w:val="none" w:sz="0" w:space="0" w:color="auto"/>
        <w:right w:val="none" w:sz="0" w:space="0" w:color="auto"/>
      </w:divBdr>
    </w:div>
    <w:div w:id="746994005">
      <w:marLeft w:val="480"/>
      <w:marRight w:val="0"/>
      <w:marTop w:val="0"/>
      <w:marBottom w:val="0"/>
      <w:divBdr>
        <w:top w:val="none" w:sz="0" w:space="0" w:color="auto"/>
        <w:left w:val="none" w:sz="0" w:space="0" w:color="auto"/>
        <w:bottom w:val="none" w:sz="0" w:space="0" w:color="auto"/>
        <w:right w:val="none" w:sz="0" w:space="0" w:color="auto"/>
      </w:divBdr>
    </w:div>
    <w:div w:id="754668877">
      <w:marLeft w:val="480"/>
      <w:marRight w:val="0"/>
      <w:marTop w:val="0"/>
      <w:marBottom w:val="0"/>
      <w:divBdr>
        <w:top w:val="none" w:sz="0" w:space="0" w:color="auto"/>
        <w:left w:val="none" w:sz="0" w:space="0" w:color="auto"/>
        <w:bottom w:val="none" w:sz="0" w:space="0" w:color="auto"/>
        <w:right w:val="none" w:sz="0" w:space="0" w:color="auto"/>
      </w:divBdr>
    </w:div>
    <w:div w:id="758675934">
      <w:marLeft w:val="480"/>
      <w:marRight w:val="0"/>
      <w:marTop w:val="0"/>
      <w:marBottom w:val="0"/>
      <w:divBdr>
        <w:top w:val="none" w:sz="0" w:space="0" w:color="auto"/>
        <w:left w:val="none" w:sz="0" w:space="0" w:color="auto"/>
        <w:bottom w:val="none" w:sz="0" w:space="0" w:color="auto"/>
        <w:right w:val="none" w:sz="0" w:space="0" w:color="auto"/>
      </w:divBdr>
    </w:div>
    <w:div w:id="761221819">
      <w:marLeft w:val="480"/>
      <w:marRight w:val="0"/>
      <w:marTop w:val="0"/>
      <w:marBottom w:val="0"/>
      <w:divBdr>
        <w:top w:val="none" w:sz="0" w:space="0" w:color="auto"/>
        <w:left w:val="none" w:sz="0" w:space="0" w:color="auto"/>
        <w:bottom w:val="none" w:sz="0" w:space="0" w:color="auto"/>
        <w:right w:val="none" w:sz="0" w:space="0" w:color="auto"/>
      </w:divBdr>
    </w:div>
    <w:div w:id="761805048">
      <w:marLeft w:val="480"/>
      <w:marRight w:val="0"/>
      <w:marTop w:val="0"/>
      <w:marBottom w:val="0"/>
      <w:divBdr>
        <w:top w:val="none" w:sz="0" w:space="0" w:color="auto"/>
        <w:left w:val="none" w:sz="0" w:space="0" w:color="auto"/>
        <w:bottom w:val="none" w:sz="0" w:space="0" w:color="auto"/>
        <w:right w:val="none" w:sz="0" w:space="0" w:color="auto"/>
      </w:divBdr>
    </w:div>
    <w:div w:id="762457475">
      <w:marLeft w:val="480"/>
      <w:marRight w:val="0"/>
      <w:marTop w:val="0"/>
      <w:marBottom w:val="0"/>
      <w:divBdr>
        <w:top w:val="none" w:sz="0" w:space="0" w:color="auto"/>
        <w:left w:val="none" w:sz="0" w:space="0" w:color="auto"/>
        <w:bottom w:val="none" w:sz="0" w:space="0" w:color="auto"/>
        <w:right w:val="none" w:sz="0" w:space="0" w:color="auto"/>
      </w:divBdr>
    </w:div>
    <w:div w:id="769204126">
      <w:marLeft w:val="480"/>
      <w:marRight w:val="0"/>
      <w:marTop w:val="0"/>
      <w:marBottom w:val="0"/>
      <w:divBdr>
        <w:top w:val="none" w:sz="0" w:space="0" w:color="auto"/>
        <w:left w:val="none" w:sz="0" w:space="0" w:color="auto"/>
        <w:bottom w:val="none" w:sz="0" w:space="0" w:color="auto"/>
        <w:right w:val="none" w:sz="0" w:space="0" w:color="auto"/>
      </w:divBdr>
    </w:div>
    <w:div w:id="770324519">
      <w:marLeft w:val="480"/>
      <w:marRight w:val="0"/>
      <w:marTop w:val="0"/>
      <w:marBottom w:val="0"/>
      <w:divBdr>
        <w:top w:val="none" w:sz="0" w:space="0" w:color="auto"/>
        <w:left w:val="none" w:sz="0" w:space="0" w:color="auto"/>
        <w:bottom w:val="none" w:sz="0" w:space="0" w:color="auto"/>
        <w:right w:val="none" w:sz="0" w:space="0" w:color="auto"/>
      </w:divBdr>
    </w:div>
    <w:div w:id="778336411">
      <w:marLeft w:val="480"/>
      <w:marRight w:val="0"/>
      <w:marTop w:val="0"/>
      <w:marBottom w:val="0"/>
      <w:divBdr>
        <w:top w:val="none" w:sz="0" w:space="0" w:color="auto"/>
        <w:left w:val="none" w:sz="0" w:space="0" w:color="auto"/>
        <w:bottom w:val="none" w:sz="0" w:space="0" w:color="auto"/>
        <w:right w:val="none" w:sz="0" w:space="0" w:color="auto"/>
      </w:divBdr>
    </w:div>
    <w:div w:id="779951831">
      <w:bodyDiv w:val="1"/>
      <w:marLeft w:val="0"/>
      <w:marRight w:val="0"/>
      <w:marTop w:val="0"/>
      <w:marBottom w:val="0"/>
      <w:divBdr>
        <w:top w:val="none" w:sz="0" w:space="0" w:color="auto"/>
        <w:left w:val="none" w:sz="0" w:space="0" w:color="auto"/>
        <w:bottom w:val="none" w:sz="0" w:space="0" w:color="auto"/>
        <w:right w:val="none" w:sz="0" w:space="0" w:color="auto"/>
      </w:divBdr>
    </w:div>
    <w:div w:id="787823226">
      <w:marLeft w:val="480"/>
      <w:marRight w:val="0"/>
      <w:marTop w:val="0"/>
      <w:marBottom w:val="0"/>
      <w:divBdr>
        <w:top w:val="none" w:sz="0" w:space="0" w:color="auto"/>
        <w:left w:val="none" w:sz="0" w:space="0" w:color="auto"/>
        <w:bottom w:val="none" w:sz="0" w:space="0" w:color="auto"/>
        <w:right w:val="none" w:sz="0" w:space="0" w:color="auto"/>
      </w:divBdr>
    </w:div>
    <w:div w:id="790443455">
      <w:marLeft w:val="480"/>
      <w:marRight w:val="0"/>
      <w:marTop w:val="0"/>
      <w:marBottom w:val="0"/>
      <w:divBdr>
        <w:top w:val="none" w:sz="0" w:space="0" w:color="auto"/>
        <w:left w:val="none" w:sz="0" w:space="0" w:color="auto"/>
        <w:bottom w:val="none" w:sz="0" w:space="0" w:color="auto"/>
        <w:right w:val="none" w:sz="0" w:space="0" w:color="auto"/>
      </w:divBdr>
    </w:div>
    <w:div w:id="791485292">
      <w:marLeft w:val="480"/>
      <w:marRight w:val="0"/>
      <w:marTop w:val="0"/>
      <w:marBottom w:val="0"/>
      <w:divBdr>
        <w:top w:val="none" w:sz="0" w:space="0" w:color="auto"/>
        <w:left w:val="none" w:sz="0" w:space="0" w:color="auto"/>
        <w:bottom w:val="none" w:sz="0" w:space="0" w:color="auto"/>
        <w:right w:val="none" w:sz="0" w:space="0" w:color="auto"/>
      </w:divBdr>
    </w:div>
    <w:div w:id="801923566">
      <w:marLeft w:val="480"/>
      <w:marRight w:val="0"/>
      <w:marTop w:val="0"/>
      <w:marBottom w:val="0"/>
      <w:divBdr>
        <w:top w:val="none" w:sz="0" w:space="0" w:color="auto"/>
        <w:left w:val="none" w:sz="0" w:space="0" w:color="auto"/>
        <w:bottom w:val="none" w:sz="0" w:space="0" w:color="auto"/>
        <w:right w:val="none" w:sz="0" w:space="0" w:color="auto"/>
      </w:divBdr>
    </w:div>
    <w:div w:id="803668114">
      <w:marLeft w:val="480"/>
      <w:marRight w:val="0"/>
      <w:marTop w:val="0"/>
      <w:marBottom w:val="0"/>
      <w:divBdr>
        <w:top w:val="none" w:sz="0" w:space="0" w:color="auto"/>
        <w:left w:val="none" w:sz="0" w:space="0" w:color="auto"/>
        <w:bottom w:val="none" w:sz="0" w:space="0" w:color="auto"/>
        <w:right w:val="none" w:sz="0" w:space="0" w:color="auto"/>
      </w:divBdr>
    </w:div>
    <w:div w:id="826282234">
      <w:marLeft w:val="480"/>
      <w:marRight w:val="0"/>
      <w:marTop w:val="0"/>
      <w:marBottom w:val="0"/>
      <w:divBdr>
        <w:top w:val="none" w:sz="0" w:space="0" w:color="auto"/>
        <w:left w:val="none" w:sz="0" w:space="0" w:color="auto"/>
        <w:bottom w:val="none" w:sz="0" w:space="0" w:color="auto"/>
        <w:right w:val="none" w:sz="0" w:space="0" w:color="auto"/>
      </w:divBdr>
    </w:div>
    <w:div w:id="826555035">
      <w:marLeft w:val="480"/>
      <w:marRight w:val="0"/>
      <w:marTop w:val="0"/>
      <w:marBottom w:val="0"/>
      <w:divBdr>
        <w:top w:val="none" w:sz="0" w:space="0" w:color="auto"/>
        <w:left w:val="none" w:sz="0" w:space="0" w:color="auto"/>
        <w:bottom w:val="none" w:sz="0" w:space="0" w:color="auto"/>
        <w:right w:val="none" w:sz="0" w:space="0" w:color="auto"/>
      </w:divBdr>
    </w:div>
    <w:div w:id="830944508">
      <w:marLeft w:val="480"/>
      <w:marRight w:val="0"/>
      <w:marTop w:val="0"/>
      <w:marBottom w:val="0"/>
      <w:divBdr>
        <w:top w:val="none" w:sz="0" w:space="0" w:color="auto"/>
        <w:left w:val="none" w:sz="0" w:space="0" w:color="auto"/>
        <w:bottom w:val="none" w:sz="0" w:space="0" w:color="auto"/>
        <w:right w:val="none" w:sz="0" w:space="0" w:color="auto"/>
      </w:divBdr>
    </w:div>
    <w:div w:id="831068458">
      <w:marLeft w:val="480"/>
      <w:marRight w:val="0"/>
      <w:marTop w:val="0"/>
      <w:marBottom w:val="0"/>
      <w:divBdr>
        <w:top w:val="none" w:sz="0" w:space="0" w:color="auto"/>
        <w:left w:val="none" w:sz="0" w:space="0" w:color="auto"/>
        <w:bottom w:val="none" w:sz="0" w:space="0" w:color="auto"/>
        <w:right w:val="none" w:sz="0" w:space="0" w:color="auto"/>
      </w:divBdr>
    </w:div>
    <w:div w:id="835459773">
      <w:marLeft w:val="480"/>
      <w:marRight w:val="0"/>
      <w:marTop w:val="0"/>
      <w:marBottom w:val="0"/>
      <w:divBdr>
        <w:top w:val="none" w:sz="0" w:space="0" w:color="auto"/>
        <w:left w:val="none" w:sz="0" w:space="0" w:color="auto"/>
        <w:bottom w:val="none" w:sz="0" w:space="0" w:color="auto"/>
        <w:right w:val="none" w:sz="0" w:space="0" w:color="auto"/>
      </w:divBdr>
    </w:div>
    <w:div w:id="836968360">
      <w:marLeft w:val="480"/>
      <w:marRight w:val="0"/>
      <w:marTop w:val="0"/>
      <w:marBottom w:val="0"/>
      <w:divBdr>
        <w:top w:val="none" w:sz="0" w:space="0" w:color="auto"/>
        <w:left w:val="none" w:sz="0" w:space="0" w:color="auto"/>
        <w:bottom w:val="none" w:sz="0" w:space="0" w:color="auto"/>
        <w:right w:val="none" w:sz="0" w:space="0" w:color="auto"/>
      </w:divBdr>
    </w:div>
    <w:div w:id="845947793">
      <w:marLeft w:val="480"/>
      <w:marRight w:val="0"/>
      <w:marTop w:val="0"/>
      <w:marBottom w:val="0"/>
      <w:divBdr>
        <w:top w:val="none" w:sz="0" w:space="0" w:color="auto"/>
        <w:left w:val="none" w:sz="0" w:space="0" w:color="auto"/>
        <w:bottom w:val="none" w:sz="0" w:space="0" w:color="auto"/>
        <w:right w:val="none" w:sz="0" w:space="0" w:color="auto"/>
      </w:divBdr>
    </w:div>
    <w:div w:id="848837772">
      <w:marLeft w:val="480"/>
      <w:marRight w:val="0"/>
      <w:marTop w:val="0"/>
      <w:marBottom w:val="0"/>
      <w:divBdr>
        <w:top w:val="none" w:sz="0" w:space="0" w:color="auto"/>
        <w:left w:val="none" w:sz="0" w:space="0" w:color="auto"/>
        <w:bottom w:val="none" w:sz="0" w:space="0" w:color="auto"/>
        <w:right w:val="none" w:sz="0" w:space="0" w:color="auto"/>
      </w:divBdr>
    </w:div>
    <w:div w:id="860363483">
      <w:marLeft w:val="480"/>
      <w:marRight w:val="0"/>
      <w:marTop w:val="0"/>
      <w:marBottom w:val="0"/>
      <w:divBdr>
        <w:top w:val="none" w:sz="0" w:space="0" w:color="auto"/>
        <w:left w:val="none" w:sz="0" w:space="0" w:color="auto"/>
        <w:bottom w:val="none" w:sz="0" w:space="0" w:color="auto"/>
        <w:right w:val="none" w:sz="0" w:space="0" w:color="auto"/>
      </w:divBdr>
    </w:div>
    <w:div w:id="862979121">
      <w:marLeft w:val="480"/>
      <w:marRight w:val="0"/>
      <w:marTop w:val="0"/>
      <w:marBottom w:val="0"/>
      <w:divBdr>
        <w:top w:val="none" w:sz="0" w:space="0" w:color="auto"/>
        <w:left w:val="none" w:sz="0" w:space="0" w:color="auto"/>
        <w:bottom w:val="none" w:sz="0" w:space="0" w:color="auto"/>
        <w:right w:val="none" w:sz="0" w:space="0" w:color="auto"/>
      </w:divBdr>
    </w:div>
    <w:div w:id="867061785">
      <w:marLeft w:val="480"/>
      <w:marRight w:val="0"/>
      <w:marTop w:val="0"/>
      <w:marBottom w:val="0"/>
      <w:divBdr>
        <w:top w:val="none" w:sz="0" w:space="0" w:color="auto"/>
        <w:left w:val="none" w:sz="0" w:space="0" w:color="auto"/>
        <w:bottom w:val="none" w:sz="0" w:space="0" w:color="auto"/>
        <w:right w:val="none" w:sz="0" w:space="0" w:color="auto"/>
      </w:divBdr>
    </w:div>
    <w:div w:id="872809243">
      <w:marLeft w:val="480"/>
      <w:marRight w:val="0"/>
      <w:marTop w:val="0"/>
      <w:marBottom w:val="0"/>
      <w:divBdr>
        <w:top w:val="none" w:sz="0" w:space="0" w:color="auto"/>
        <w:left w:val="none" w:sz="0" w:space="0" w:color="auto"/>
        <w:bottom w:val="none" w:sz="0" w:space="0" w:color="auto"/>
        <w:right w:val="none" w:sz="0" w:space="0" w:color="auto"/>
      </w:divBdr>
    </w:div>
    <w:div w:id="881088465">
      <w:marLeft w:val="480"/>
      <w:marRight w:val="0"/>
      <w:marTop w:val="0"/>
      <w:marBottom w:val="0"/>
      <w:divBdr>
        <w:top w:val="none" w:sz="0" w:space="0" w:color="auto"/>
        <w:left w:val="none" w:sz="0" w:space="0" w:color="auto"/>
        <w:bottom w:val="none" w:sz="0" w:space="0" w:color="auto"/>
        <w:right w:val="none" w:sz="0" w:space="0" w:color="auto"/>
      </w:divBdr>
    </w:div>
    <w:div w:id="883952987">
      <w:marLeft w:val="480"/>
      <w:marRight w:val="0"/>
      <w:marTop w:val="0"/>
      <w:marBottom w:val="0"/>
      <w:divBdr>
        <w:top w:val="none" w:sz="0" w:space="0" w:color="auto"/>
        <w:left w:val="none" w:sz="0" w:space="0" w:color="auto"/>
        <w:bottom w:val="none" w:sz="0" w:space="0" w:color="auto"/>
        <w:right w:val="none" w:sz="0" w:space="0" w:color="auto"/>
      </w:divBdr>
    </w:div>
    <w:div w:id="892346596">
      <w:marLeft w:val="480"/>
      <w:marRight w:val="0"/>
      <w:marTop w:val="0"/>
      <w:marBottom w:val="0"/>
      <w:divBdr>
        <w:top w:val="none" w:sz="0" w:space="0" w:color="auto"/>
        <w:left w:val="none" w:sz="0" w:space="0" w:color="auto"/>
        <w:bottom w:val="none" w:sz="0" w:space="0" w:color="auto"/>
        <w:right w:val="none" w:sz="0" w:space="0" w:color="auto"/>
      </w:divBdr>
    </w:div>
    <w:div w:id="906723042">
      <w:marLeft w:val="480"/>
      <w:marRight w:val="0"/>
      <w:marTop w:val="0"/>
      <w:marBottom w:val="0"/>
      <w:divBdr>
        <w:top w:val="none" w:sz="0" w:space="0" w:color="auto"/>
        <w:left w:val="none" w:sz="0" w:space="0" w:color="auto"/>
        <w:bottom w:val="none" w:sz="0" w:space="0" w:color="auto"/>
        <w:right w:val="none" w:sz="0" w:space="0" w:color="auto"/>
      </w:divBdr>
    </w:div>
    <w:div w:id="911348591">
      <w:marLeft w:val="480"/>
      <w:marRight w:val="0"/>
      <w:marTop w:val="0"/>
      <w:marBottom w:val="0"/>
      <w:divBdr>
        <w:top w:val="none" w:sz="0" w:space="0" w:color="auto"/>
        <w:left w:val="none" w:sz="0" w:space="0" w:color="auto"/>
        <w:bottom w:val="none" w:sz="0" w:space="0" w:color="auto"/>
        <w:right w:val="none" w:sz="0" w:space="0" w:color="auto"/>
      </w:divBdr>
    </w:div>
    <w:div w:id="914898907">
      <w:bodyDiv w:val="1"/>
      <w:marLeft w:val="0"/>
      <w:marRight w:val="0"/>
      <w:marTop w:val="0"/>
      <w:marBottom w:val="0"/>
      <w:divBdr>
        <w:top w:val="none" w:sz="0" w:space="0" w:color="auto"/>
        <w:left w:val="none" w:sz="0" w:space="0" w:color="auto"/>
        <w:bottom w:val="none" w:sz="0" w:space="0" w:color="auto"/>
        <w:right w:val="none" w:sz="0" w:space="0" w:color="auto"/>
      </w:divBdr>
    </w:div>
    <w:div w:id="915092310">
      <w:marLeft w:val="480"/>
      <w:marRight w:val="0"/>
      <w:marTop w:val="0"/>
      <w:marBottom w:val="0"/>
      <w:divBdr>
        <w:top w:val="none" w:sz="0" w:space="0" w:color="auto"/>
        <w:left w:val="none" w:sz="0" w:space="0" w:color="auto"/>
        <w:bottom w:val="none" w:sz="0" w:space="0" w:color="auto"/>
        <w:right w:val="none" w:sz="0" w:space="0" w:color="auto"/>
      </w:divBdr>
    </w:div>
    <w:div w:id="924150485">
      <w:marLeft w:val="480"/>
      <w:marRight w:val="0"/>
      <w:marTop w:val="0"/>
      <w:marBottom w:val="0"/>
      <w:divBdr>
        <w:top w:val="none" w:sz="0" w:space="0" w:color="auto"/>
        <w:left w:val="none" w:sz="0" w:space="0" w:color="auto"/>
        <w:bottom w:val="none" w:sz="0" w:space="0" w:color="auto"/>
        <w:right w:val="none" w:sz="0" w:space="0" w:color="auto"/>
      </w:divBdr>
    </w:div>
    <w:div w:id="930118001">
      <w:marLeft w:val="480"/>
      <w:marRight w:val="0"/>
      <w:marTop w:val="0"/>
      <w:marBottom w:val="0"/>
      <w:divBdr>
        <w:top w:val="none" w:sz="0" w:space="0" w:color="auto"/>
        <w:left w:val="none" w:sz="0" w:space="0" w:color="auto"/>
        <w:bottom w:val="none" w:sz="0" w:space="0" w:color="auto"/>
        <w:right w:val="none" w:sz="0" w:space="0" w:color="auto"/>
      </w:divBdr>
    </w:div>
    <w:div w:id="933977877">
      <w:marLeft w:val="480"/>
      <w:marRight w:val="0"/>
      <w:marTop w:val="0"/>
      <w:marBottom w:val="0"/>
      <w:divBdr>
        <w:top w:val="none" w:sz="0" w:space="0" w:color="auto"/>
        <w:left w:val="none" w:sz="0" w:space="0" w:color="auto"/>
        <w:bottom w:val="none" w:sz="0" w:space="0" w:color="auto"/>
        <w:right w:val="none" w:sz="0" w:space="0" w:color="auto"/>
      </w:divBdr>
    </w:div>
    <w:div w:id="935868774">
      <w:marLeft w:val="480"/>
      <w:marRight w:val="0"/>
      <w:marTop w:val="0"/>
      <w:marBottom w:val="0"/>
      <w:divBdr>
        <w:top w:val="none" w:sz="0" w:space="0" w:color="auto"/>
        <w:left w:val="none" w:sz="0" w:space="0" w:color="auto"/>
        <w:bottom w:val="none" w:sz="0" w:space="0" w:color="auto"/>
        <w:right w:val="none" w:sz="0" w:space="0" w:color="auto"/>
      </w:divBdr>
    </w:div>
    <w:div w:id="940185155">
      <w:marLeft w:val="480"/>
      <w:marRight w:val="0"/>
      <w:marTop w:val="0"/>
      <w:marBottom w:val="0"/>
      <w:divBdr>
        <w:top w:val="none" w:sz="0" w:space="0" w:color="auto"/>
        <w:left w:val="none" w:sz="0" w:space="0" w:color="auto"/>
        <w:bottom w:val="none" w:sz="0" w:space="0" w:color="auto"/>
        <w:right w:val="none" w:sz="0" w:space="0" w:color="auto"/>
      </w:divBdr>
    </w:div>
    <w:div w:id="941759901">
      <w:marLeft w:val="480"/>
      <w:marRight w:val="0"/>
      <w:marTop w:val="0"/>
      <w:marBottom w:val="0"/>
      <w:divBdr>
        <w:top w:val="none" w:sz="0" w:space="0" w:color="auto"/>
        <w:left w:val="none" w:sz="0" w:space="0" w:color="auto"/>
        <w:bottom w:val="none" w:sz="0" w:space="0" w:color="auto"/>
        <w:right w:val="none" w:sz="0" w:space="0" w:color="auto"/>
      </w:divBdr>
    </w:div>
    <w:div w:id="946079411">
      <w:marLeft w:val="480"/>
      <w:marRight w:val="0"/>
      <w:marTop w:val="0"/>
      <w:marBottom w:val="0"/>
      <w:divBdr>
        <w:top w:val="none" w:sz="0" w:space="0" w:color="auto"/>
        <w:left w:val="none" w:sz="0" w:space="0" w:color="auto"/>
        <w:bottom w:val="none" w:sz="0" w:space="0" w:color="auto"/>
        <w:right w:val="none" w:sz="0" w:space="0" w:color="auto"/>
      </w:divBdr>
    </w:div>
    <w:div w:id="948510580">
      <w:marLeft w:val="480"/>
      <w:marRight w:val="0"/>
      <w:marTop w:val="0"/>
      <w:marBottom w:val="0"/>
      <w:divBdr>
        <w:top w:val="none" w:sz="0" w:space="0" w:color="auto"/>
        <w:left w:val="none" w:sz="0" w:space="0" w:color="auto"/>
        <w:bottom w:val="none" w:sz="0" w:space="0" w:color="auto"/>
        <w:right w:val="none" w:sz="0" w:space="0" w:color="auto"/>
      </w:divBdr>
    </w:div>
    <w:div w:id="960497530">
      <w:marLeft w:val="480"/>
      <w:marRight w:val="0"/>
      <w:marTop w:val="0"/>
      <w:marBottom w:val="0"/>
      <w:divBdr>
        <w:top w:val="none" w:sz="0" w:space="0" w:color="auto"/>
        <w:left w:val="none" w:sz="0" w:space="0" w:color="auto"/>
        <w:bottom w:val="none" w:sz="0" w:space="0" w:color="auto"/>
        <w:right w:val="none" w:sz="0" w:space="0" w:color="auto"/>
      </w:divBdr>
    </w:div>
    <w:div w:id="960571193">
      <w:marLeft w:val="480"/>
      <w:marRight w:val="0"/>
      <w:marTop w:val="0"/>
      <w:marBottom w:val="0"/>
      <w:divBdr>
        <w:top w:val="none" w:sz="0" w:space="0" w:color="auto"/>
        <w:left w:val="none" w:sz="0" w:space="0" w:color="auto"/>
        <w:bottom w:val="none" w:sz="0" w:space="0" w:color="auto"/>
        <w:right w:val="none" w:sz="0" w:space="0" w:color="auto"/>
      </w:divBdr>
    </w:div>
    <w:div w:id="963080390">
      <w:marLeft w:val="480"/>
      <w:marRight w:val="0"/>
      <w:marTop w:val="0"/>
      <w:marBottom w:val="0"/>
      <w:divBdr>
        <w:top w:val="none" w:sz="0" w:space="0" w:color="auto"/>
        <w:left w:val="none" w:sz="0" w:space="0" w:color="auto"/>
        <w:bottom w:val="none" w:sz="0" w:space="0" w:color="auto"/>
        <w:right w:val="none" w:sz="0" w:space="0" w:color="auto"/>
      </w:divBdr>
    </w:div>
    <w:div w:id="966084751">
      <w:marLeft w:val="480"/>
      <w:marRight w:val="0"/>
      <w:marTop w:val="0"/>
      <w:marBottom w:val="0"/>
      <w:divBdr>
        <w:top w:val="none" w:sz="0" w:space="0" w:color="auto"/>
        <w:left w:val="none" w:sz="0" w:space="0" w:color="auto"/>
        <w:bottom w:val="none" w:sz="0" w:space="0" w:color="auto"/>
        <w:right w:val="none" w:sz="0" w:space="0" w:color="auto"/>
      </w:divBdr>
    </w:div>
    <w:div w:id="967390779">
      <w:marLeft w:val="480"/>
      <w:marRight w:val="0"/>
      <w:marTop w:val="0"/>
      <w:marBottom w:val="0"/>
      <w:divBdr>
        <w:top w:val="none" w:sz="0" w:space="0" w:color="auto"/>
        <w:left w:val="none" w:sz="0" w:space="0" w:color="auto"/>
        <w:bottom w:val="none" w:sz="0" w:space="0" w:color="auto"/>
        <w:right w:val="none" w:sz="0" w:space="0" w:color="auto"/>
      </w:divBdr>
    </w:div>
    <w:div w:id="970597088">
      <w:marLeft w:val="480"/>
      <w:marRight w:val="0"/>
      <w:marTop w:val="0"/>
      <w:marBottom w:val="0"/>
      <w:divBdr>
        <w:top w:val="none" w:sz="0" w:space="0" w:color="auto"/>
        <w:left w:val="none" w:sz="0" w:space="0" w:color="auto"/>
        <w:bottom w:val="none" w:sz="0" w:space="0" w:color="auto"/>
        <w:right w:val="none" w:sz="0" w:space="0" w:color="auto"/>
      </w:divBdr>
    </w:div>
    <w:div w:id="972439265">
      <w:marLeft w:val="480"/>
      <w:marRight w:val="0"/>
      <w:marTop w:val="0"/>
      <w:marBottom w:val="0"/>
      <w:divBdr>
        <w:top w:val="none" w:sz="0" w:space="0" w:color="auto"/>
        <w:left w:val="none" w:sz="0" w:space="0" w:color="auto"/>
        <w:bottom w:val="none" w:sz="0" w:space="0" w:color="auto"/>
        <w:right w:val="none" w:sz="0" w:space="0" w:color="auto"/>
      </w:divBdr>
    </w:div>
    <w:div w:id="973366739">
      <w:marLeft w:val="480"/>
      <w:marRight w:val="0"/>
      <w:marTop w:val="0"/>
      <w:marBottom w:val="0"/>
      <w:divBdr>
        <w:top w:val="none" w:sz="0" w:space="0" w:color="auto"/>
        <w:left w:val="none" w:sz="0" w:space="0" w:color="auto"/>
        <w:bottom w:val="none" w:sz="0" w:space="0" w:color="auto"/>
        <w:right w:val="none" w:sz="0" w:space="0" w:color="auto"/>
      </w:divBdr>
    </w:div>
    <w:div w:id="980311117">
      <w:marLeft w:val="480"/>
      <w:marRight w:val="0"/>
      <w:marTop w:val="0"/>
      <w:marBottom w:val="0"/>
      <w:divBdr>
        <w:top w:val="none" w:sz="0" w:space="0" w:color="auto"/>
        <w:left w:val="none" w:sz="0" w:space="0" w:color="auto"/>
        <w:bottom w:val="none" w:sz="0" w:space="0" w:color="auto"/>
        <w:right w:val="none" w:sz="0" w:space="0" w:color="auto"/>
      </w:divBdr>
    </w:div>
    <w:div w:id="980698109">
      <w:marLeft w:val="480"/>
      <w:marRight w:val="0"/>
      <w:marTop w:val="0"/>
      <w:marBottom w:val="0"/>
      <w:divBdr>
        <w:top w:val="none" w:sz="0" w:space="0" w:color="auto"/>
        <w:left w:val="none" w:sz="0" w:space="0" w:color="auto"/>
        <w:bottom w:val="none" w:sz="0" w:space="0" w:color="auto"/>
        <w:right w:val="none" w:sz="0" w:space="0" w:color="auto"/>
      </w:divBdr>
    </w:div>
    <w:div w:id="983895533">
      <w:marLeft w:val="480"/>
      <w:marRight w:val="0"/>
      <w:marTop w:val="0"/>
      <w:marBottom w:val="0"/>
      <w:divBdr>
        <w:top w:val="none" w:sz="0" w:space="0" w:color="auto"/>
        <w:left w:val="none" w:sz="0" w:space="0" w:color="auto"/>
        <w:bottom w:val="none" w:sz="0" w:space="0" w:color="auto"/>
        <w:right w:val="none" w:sz="0" w:space="0" w:color="auto"/>
      </w:divBdr>
    </w:div>
    <w:div w:id="986399410">
      <w:marLeft w:val="480"/>
      <w:marRight w:val="0"/>
      <w:marTop w:val="0"/>
      <w:marBottom w:val="0"/>
      <w:divBdr>
        <w:top w:val="none" w:sz="0" w:space="0" w:color="auto"/>
        <w:left w:val="none" w:sz="0" w:space="0" w:color="auto"/>
        <w:bottom w:val="none" w:sz="0" w:space="0" w:color="auto"/>
        <w:right w:val="none" w:sz="0" w:space="0" w:color="auto"/>
      </w:divBdr>
    </w:div>
    <w:div w:id="993141227">
      <w:marLeft w:val="480"/>
      <w:marRight w:val="0"/>
      <w:marTop w:val="0"/>
      <w:marBottom w:val="0"/>
      <w:divBdr>
        <w:top w:val="none" w:sz="0" w:space="0" w:color="auto"/>
        <w:left w:val="none" w:sz="0" w:space="0" w:color="auto"/>
        <w:bottom w:val="none" w:sz="0" w:space="0" w:color="auto"/>
        <w:right w:val="none" w:sz="0" w:space="0" w:color="auto"/>
      </w:divBdr>
    </w:div>
    <w:div w:id="995910999">
      <w:marLeft w:val="480"/>
      <w:marRight w:val="0"/>
      <w:marTop w:val="0"/>
      <w:marBottom w:val="0"/>
      <w:divBdr>
        <w:top w:val="none" w:sz="0" w:space="0" w:color="auto"/>
        <w:left w:val="none" w:sz="0" w:space="0" w:color="auto"/>
        <w:bottom w:val="none" w:sz="0" w:space="0" w:color="auto"/>
        <w:right w:val="none" w:sz="0" w:space="0" w:color="auto"/>
      </w:divBdr>
    </w:div>
    <w:div w:id="1003437930">
      <w:marLeft w:val="480"/>
      <w:marRight w:val="0"/>
      <w:marTop w:val="0"/>
      <w:marBottom w:val="0"/>
      <w:divBdr>
        <w:top w:val="none" w:sz="0" w:space="0" w:color="auto"/>
        <w:left w:val="none" w:sz="0" w:space="0" w:color="auto"/>
        <w:bottom w:val="none" w:sz="0" w:space="0" w:color="auto"/>
        <w:right w:val="none" w:sz="0" w:space="0" w:color="auto"/>
      </w:divBdr>
    </w:div>
    <w:div w:id="1008823153">
      <w:marLeft w:val="480"/>
      <w:marRight w:val="0"/>
      <w:marTop w:val="0"/>
      <w:marBottom w:val="0"/>
      <w:divBdr>
        <w:top w:val="none" w:sz="0" w:space="0" w:color="auto"/>
        <w:left w:val="none" w:sz="0" w:space="0" w:color="auto"/>
        <w:bottom w:val="none" w:sz="0" w:space="0" w:color="auto"/>
        <w:right w:val="none" w:sz="0" w:space="0" w:color="auto"/>
      </w:divBdr>
    </w:div>
    <w:div w:id="1010136965">
      <w:marLeft w:val="480"/>
      <w:marRight w:val="0"/>
      <w:marTop w:val="0"/>
      <w:marBottom w:val="0"/>
      <w:divBdr>
        <w:top w:val="none" w:sz="0" w:space="0" w:color="auto"/>
        <w:left w:val="none" w:sz="0" w:space="0" w:color="auto"/>
        <w:bottom w:val="none" w:sz="0" w:space="0" w:color="auto"/>
        <w:right w:val="none" w:sz="0" w:space="0" w:color="auto"/>
      </w:divBdr>
    </w:div>
    <w:div w:id="1014107902">
      <w:marLeft w:val="480"/>
      <w:marRight w:val="0"/>
      <w:marTop w:val="0"/>
      <w:marBottom w:val="0"/>
      <w:divBdr>
        <w:top w:val="none" w:sz="0" w:space="0" w:color="auto"/>
        <w:left w:val="none" w:sz="0" w:space="0" w:color="auto"/>
        <w:bottom w:val="none" w:sz="0" w:space="0" w:color="auto"/>
        <w:right w:val="none" w:sz="0" w:space="0" w:color="auto"/>
      </w:divBdr>
    </w:div>
    <w:div w:id="1027604767">
      <w:marLeft w:val="480"/>
      <w:marRight w:val="0"/>
      <w:marTop w:val="0"/>
      <w:marBottom w:val="0"/>
      <w:divBdr>
        <w:top w:val="none" w:sz="0" w:space="0" w:color="auto"/>
        <w:left w:val="none" w:sz="0" w:space="0" w:color="auto"/>
        <w:bottom w:val="none" w:sz="0" w:space="0" w:color="auto"/>
        <w:right w:val="none" w:sz="0" w:space="0" w:color="auto"/>
      </w:divBdr>
    </w:div>
    <w:div w:id="1039284356">
      <w:marLeft w:val="480"/>
      <w:marRight w:val="0"/>
      <w:marTop w:val="0"/>
      <w:marBottom w:val="0"/>
      <w:divBdr>
        <w:top w:val="none" w:sz="0" w:space="0" w:color="auto"/>
        <w:left w:val="none" w:sz="0" w:space="0" w:color="auto"/>
        <w:bottom w:val="none" w:sz="0" w:space="0" w:color="auto"/>
        <w:right w:val="none" w:sz="0" w:space="0" w:color="auto"/>
      </w:divBdr>
    </w:div>
    <w:div w:id="1041784768">
      <w:marLeft w:val="480"/>
      <w:marRight w:val="0"/>
      <w:marTop w:val="0"/>
      <w:marBottom w:val="0"/>
      <w:divBdr>
        <w:top w:val="none" w:sz="0" w:space="0" w:color="auto"/>
        <w:left w:val="none" w:sz="0" w:space="0" w:color="auto"/>
        <w:bottom w:val="none" w:sz="0" w:space="0" w:color="auto"/>
        <w:right w:val="none" w:sz="0" w:space="0" w:color="auto"/>
      </w:divBdr>
    </w:div>
    <w:div w:id="1042561363">
      <w:marLeft w:val="480"/>
      <w:marRight w:val="0"/>
      <w:marTop w:val="0"/>
      <w:marBottom w:val="0"/>
      <w:divBdr>
        <w:top w:val="none" w:sz="0" w:space="0" w:color="auto"/>
        <w:left w:val="none" w:sz="0" w:space="0" w:color="auto"/>
        <w:bottom w:val="none" w:sz="0" w:space="0" w:color="auto"/>
        <w:right w:val="none" w:sz="0" w:space="0" w:color="auto"/>
      </w:divBdr>
    </w:div>
    <w:div w:id="1044716036">
      <w:marLeft w:val="480"/>
      <w:marRight w:val="0"/>
      <w:marTop w:val="0"/>
      <w:marBottom w:val="0"/>
      <w:divBdr>
        <w:top w:val="none" w:sz="0" w:space="0" w:color="auto"/>
        <w:left w:val="none" w:sz="0" w:space="0" w:color="auto"/>
        <w:bottom w:val="none" w:sz="0" w:space="0" w:color="auto"/>
        <w:right w:val="none" w:sz="0" w:space="0" w:color="auto"/>
      </w:divBdr>
    </w:div>
    <w:div w:id="1059785138">
      <w:marLeft w:val="480"/>
      <w:marRight w:val="0"/>
      <w:marTop w:val="0"/>
      <w:marBottom w:val="0"/>
      <w:divBdr>
        <w:top w:val="none" w:sz="0" w:space="0" w:color="auto"/>
        <w:left w:val="none" w:sz="0" w:space="0" w:color="auto"/>
        <w:bottom w:val="none" w:sz="0" w:space="0" w:color="auto"/>
        <w:right w:val="none" w:sz="0" w:space="0" w:color="auto"/>
      </w:divBdr>
    </w:div>
    <w:div w:id="1062944389">
      <w:marLeft w:val="480"/>
      <w:marRight w:val="0"/>
      <w:marTop w:val="0"/>
      <w:marBottom w:val="0"/>
      <w:divBdr>
        <w:top w:val="none" w:sz="0" w:space="0" w:color="auto"/>
        <w:left w:val="none" w:sz="0" w:space="0" w:color="auto"/>
        <w:bottom w:val="none" w:sz="0" w:space="0" w:color="auto"/>
        <w:right w:val="none" w:sz="0" w:space="0" w:color="auto"/>
      </w:divBdr>
    </w:div>
    <w:div w:id="1064066800">
      <w:marLeft w:val="480"/>
      <w:marRight w:val="0"/>
      <w:marTop w:val="0"/>
      <w:marBottom w:val="0"/>
      <w:divBdr>
        <w:top w:val="none" w:sz="0" w:space="0" w:color="auto"/>
        <w:left w:val="none" w:sz="0" w:space="0" w:color="auto"/>
        <w:bottom w:val="none" w:sz="0" w:space="0" w:color="auto"/>
        <w:right w:val="none" w:sz="0" w:space="0" w:color="auto"/>
      </w:divBdr>
    </w:div>
    <w:div w:id="1066688230">
      <w:marLeft w:val="480"/>
      <w:marRight w:val="0"/>
      <w:marTop w:val="0"/>
      <w:marBottom w:val="0"/>
      <w:divBdr>
        <w:top w:val="none" w:sz="0" w:space="0" w:color="auto"/>
        <w:left w:val="none" w:sz="0" w:space="0" w:color="auto"/>
        <w:bottom w:val="none" w:sz="0" w:space="0" w:color="auto"/>
        <w:right w:val="none" w:sz="0" w:space="0" w:color="auto"/>
      </w:divBdr>
    </w:div>
    <w:div w:id="1067337709">
      <w:marLeft w:val="480"/>
      <w:marRight w:val="0"/>
      <w:marTop w:val="0"/>
      <w:marBottom w:val="0"/>
      <w:divBdr>
        <w:top w:val="none" w:sz="0" w:space="0" w:color="auto"/>
        <w:left w:val="none" w:sz="0" w:space="0" w:color="auto"/>
        <w:bottom w:val="none" w:sz="0" w:space="0" w:color="auto"/>
        <w:right w:val="none" w:sz="0" w:space="0" w:color="auto"/>
      </w:divBdr>
    </w:div>
    <w:div w:id="1069157045">
      <w:marLeft w:val="480"/>
      <w:marRight w:val="0"/>
      <w:marTop w:val="0"/>
      <w:marBottom w:val="0"/>
      <w:divBdr>
        <w:top w:val="none" w:sz="0" w:space="0" w:color="auto"/>
        <w:left w:val="none" w:sz="0" w:space="0" w:color="auto"/>
        <w:bottom w:val="none" w:sz="0" w:space="0" w:color="auto"/>
        <w:right w:val="none" w:sz="0" w:space="0" w:color="auto"/>
      </w:divBdr>
    </w:div>
    <w:div w:id="1076823453">
      <w:marLeft w:val="480"/>
      <w:marRight w:val="0"/>
      <w:marTop w:val="0"/>
      <w:marBottom w:val="0"/>
      <w:divBdr>
        <w:top w:val="none" w:sz="0" w:space="0" w:color="auto"/>
        <w:left w:val="none" w:sz="0" w:space="0" w:color="auto"/>
        <w:bottom w:val="none" w:sz="0" w:space="0" w:color="auto"/>
        <w:right w:val="none" w:sz="0" w:space="0" w:color="auto"/>
      </w:divBdr>
    </w:div>
    <w:div w:id="1078213415">
      <w:marLeft w:val="480"/>
      <w:marRight w:val="0"/>
      <w:marTop w:val="0"/>
      <w:marBottom w:val="0"/>
      <w:divBdr>
        <w:top w:val="none" w:sz="0" w:space="0" w:color="auto"/>
        <w:left w:val="none" w:sz="0" w:space="0" w:color="auto"/>
        <w:bottom w:val="none" w:sz="0" w:space="0" w:color="auto"/>
        <w:right w:val="none" w:sz="0" w:space="0" w:color="auto"/>
      </w:divBdr>
    </w:div>
    <w:div w:id="1089814410">
      <w:marLeft w:val="480"/>
      <w:marRight w:val="0"/>
      <w:marTop w:val="0"/>
      <w:marBottom w:val="0"/>
      <w:divBdr>
        <w:top w:val="none" w:sz="0" w:space="0" w:color="auto"/>
        <w:left w:val="none" w:sz="0" w:space="0" w:color="auto"/>
        <w:bottom w:val="none" w:sz="0" w:space="0" w:color="auto"/>
        <w:right w:val="none" w:sz="0" w:space="0" w:color="auto"/>
      </w:divBdr>
    </w:div>
    <w:div w:id="1091855216">
      <w:marLeft w:val="480"/>
      <w:marRight w:val="0"/>
      <w:marTop w:val="0"/>
      <w:marBottom w:val="0"/>
      <w:divBdr>
        <w:top w:val="none" w:sz="0" w:space="0" w:color="auto"/>
        <w:left w:val="none" w:sz="0" w:space="0" w:color="auto"/>
        <w:bottom w:val="none" w:sz="0" w:space="0" w:color="auto"/>
        <w:right w:val="none" w:sz="0" w:space="0" w:color="auto"/>
      </w:divBdr>
    </w:div>
    <w:div w:id="1092819132">
      <w:marLeft w:val="480"/>
      <w:marRight w:val="0"/>
      <w:marTop w:val="0"/>
      <w:marBottom w:val="0"/>
      <w:divBdr>
        <w:top w:val="none" w:sz="0" w:space="0" w:color="auto"/>
        <w:left w:val="none" w:sz="0" w:space="0" w:color="auto"/>
        <w:bottom w:val="none" w:sz="0" w:space="0" w:color="auto"/>
        <w:right w:val="none" w:sz="0" w:space="0" w:color="auto"/>
      </w:divBdr>
    </w:div>
    <w:div w:id="1108352713">
      <w:marLeft w:val="480"/>
      <w:marRight w:val="0"/>
      <w:marTop w:val="0"/>
      <w:marBottom w:val="0"/>
      <w:divBdr>
        <w:top w:val="none" w:sz="0" w:space="0" w:color="auto"/>
        <w:left w:val="none" w:sz="0" w:space="0" w:color="auto"/>
        <w:bottom w:val="none" w:sz="0" w:space="0" w:color="auto"/>
        <w:right w:val="none" w:sz="0" w:space="0" w:color="auto"/>
      </w:divBdr>
    </w:div>
    <w:div w:id="1109202972">
      <w:marLeft w:val="480"/>
      <w:marRight w:val="0"/>
      <w:marTop w:val="0"/>
      <w:marBottom w:val="0"/>
      <w:divBdr>
        <w:top w:val="none" w:sz="0" w:space="0" w:color="auto"/>
        <w:left w:val="none" w:sz="0" w:space="0" w:color="auto"/>
        <w:bottom w:val="none" w:sz="0" w:space="0" w:color="auto"/>
        <w:right w:val="none" w:sz="0" w:space="0" w:color="auto"/>
      </w:divBdr>
    </w:div>
    <w:div w:id="1113088509">
      <w:bodyDiv w:val="1"/>
      <w:marLeft w:val="0"/>
      <w:marRight w:val="0"/>
      <w:marTop w:val="0"/>
      <w:marBottom w:val="0"/>
      <w:divBdr>
        <w:top w:val="none" w:sz="0" w:space="0" w:color="auto"/>
        <w:left w:val="none" w:sz="0" w:space="0" w:color="auto"/>
        <w:bottom w:val="none" w:sz="0" w:space="0" w:color="auto"/>
        <w:right w:val="none" w:sz="0" w:space="0" w:color="auto"/>
      </w:divBdr>
    </w:div>
    <w:div w:id="1114708397">
      <w:marLeft w:val="480"/>
      <w:marRight w:val="0"/>
      <w:marTop w:val="0"/>
      <w:marBottom w:val="0"/>
      <w:divBdr>
        <w:top w:val="none" w:sz="0" w:space="0" w:color="auto"/>
        <w:left w:val="none" w:sz="0" w:space="0" w:color="auto"/>
        <w:bottom w:val="none" w:sz="0" w:space="0" w:color="auto"/>
        <w:right w:val="none" w:sz="0" w:space="0" w:color="auto"/>
      </w:divBdr>
    </w:div>
    <w:div w:id="1115292512">
      <w:bodyDiv w:val="1"/>
      <w:marLeft w:val="0"/>
      <w:marRight w:val="0"/>
      <w:marTop w:val="0"/>
      <w:marBottom w:val="0"/>
      <w:divBdr>
        <w:top w:val="none" w:sz="0" w:space="0" w:color="auto"/>
        <w:left w:val="none" w:sz="0" w:space="0" w:color="auto"/>
        <w:bottom w:val="none" w:sz="0" w:space="0" w:color="auto"/>
        <w:right w:val="none" w:sz="0" w:space="0" w:color="auto"/>
      </w:divBdr>
    </w:div>
    <w:div w:id="1123231484">
      <w:marLeft w:val="480"/>
      <w:marRight w:val="0"/>
      <w:marTop w:val="0"/>
      <w:marBottom w:val="0"/>
      <w:divBdr>
        <w:top w:val="none" w:sz="0" w:space="0" w:color="auto"/>
        <w:left w:val="none" w:sz="0" w:space="0" w:color="auto"/>
        <w:bottom w:val="none" w:sz="0" w:space="0" w:color="auto"/>
        <w:right w:val="none" w:sz="0" w:space="0" w:color="auto"/>
      </w:divBdr>
    </w:div>
    <w:div w:id="1134757193">
      <w:marLeft w:val="480"/>
      <w:marRight w:val="0"/>
      <w:marTop w:val="0"/>
      <w:marBottom w:val="0"/>
      <w:divBdr>
        <w:top w:val="none" w:sz="0" w:space="0" w:color="auto"/>
        <w:left w:val="none" w:sz="0" w:space="0" w:color="auto"/>
        <w:bottom w:val="none" w:sz="0" w:space="0" w:color="auto"/>
        <w:right w:val="none" w:sz="0" w:space="0" w:color="auto"/>
      </w:divBdr>
    </w:div>
    <w:div w:id="1136681981">
      <w:marLeft w:val="480"/>
      <w:marRight w:val="0"/>
      <w:marTop w:val="0"/>
      <w:marBottom w:val="0"/>
      <w:divBdr>
        <w:top w:val="none" w:sz="0" w:space="0" w:color="auto"/>
        <w:left w:val="none" w:sz="0" w:space="0" w:color="auto"/>
        <w:bottom w:val="none" w:sz="0" w:space="0" w:color="auto"/>
        <w:right w:val="none" w:sz="0" w:space="0" w:color="auto"/>
      </w:divBdr>
    </w:div>
    <w:div w:id="1143618928">
      <w:marLeft w:val="480"/>
      <w:marRight w:val="0"/>
      <w:marTop w:val="0"/>
      <w:marBottom w:val="0"/>
      <w:divBdr>
        <w:top w:val="none" w:sz="0" w:space="0" w:color="auto"/>
        <w:left w:val="none" w:sz="0" w:space="0" w:color="auto"/>
        <w:bottom w:val="none" w:sz="0" w:space="0" w:color="auto"/>
        <w:right w:val="none" w:sz="0" w:space="0" w:color="auto"/>
      </w:divBdr>
    </w:div>
    <w:div w:id="1147282398">
      <w:marLeft w:val="480"/>
      <w:marRight w:val="0"/>
      <w:marTop w:val="0"/>
      <w:marBottom w:val="0"/>
      <w:divBdr>
        <w:top w:val="none" w:sz="0" w:space="0" w:color="auto"/>
        <w:left w:val="none" w:sz="0" w:space="0" w:color="auto"/>
        <w:bottom w:val="none" w:sz="0" w:space="0" w:color="auto"/>
        <w:right w:val="none" w:sz="0" w:space="0" w:color="auto"/>
      </w:divBdr>
    </w:div>
    <w:div w:id="1164390781">
      <w:marLeft w:val="480"/>
      <w:marRight w:val="0"/>
      <w:marTop w:val="0"/>
      <w:marBottom w:val="0"/>
      <w:divBdr>
        <w:top w:val="none" w:sz="0" w:space="0" w:color="auto"/>
        <w:left w:val="none" w:sz="0" w:space="0" w:color="auto"/>
        <w:bottom w:val="none" w:sz="0" w:space="0" w:color="auto"/>
        <w:right w:val="none" w:sz="0" w:space="0" w:color="auto"/>
      </w:divBdr>
    </w:div>
    <w:div w:id="1170413452">
      <w:marLeft w:val="480"/>
      <w:marRight w:val="0"/>
      <w:marTop w:val="0"/>
      <w:marBottom w:val="0"/>
      <w:divBdr>
        <w:top w:val="none" w:sz="0" w:space="0" w:color="auto"/>
        <w:left w:val="none" w:sz="0" w:space="0" w:color="auto"/>
        <w:bottom w:val="none" w:sz="0" w:space="0" w:color="auto"/>
        <w:right w:val="none" w:sz="0" w:space="0" w:color="auto"/>
      </w:divBdr>
    </w:div>
    <w:div w:id="1172649255">
      <w:marLeft w:val="480"/>
      <w:marRight w:val="0"/>
      <w:marTop w:val="0"/>
      <w:marBottom w:val="0"/>
      <w:divBdr>
        <w:top w:val="none" w:sz="0" w:space="0" w:color="auto"/>
        <w:left w:val="none" w:sz="0" w:space="0" w:color="auto"/>
        <w:bottom w:val="none" w:sz="0" w:space="0" w:color="auto"/>
        <w:right w:val="none" w:sz="0" w:space="0" w:color="auto"/>
      </w:divBdr>
    </w:div>
    <w:div w:id="1179006690">
      <w:marLeft w:val="480"/>
      <w:marRight w:val="0"/>
      <w:marTop w:val="0"/>
      <w:marBottom w:val="0"/>
      <w:divBdr>
        <w:top w:val="none" w:sz="0" w:space="0" w:color="auto"/>
        <w:left w:val="none" w:sz="0" w:space="0" w:color="auto"/>
        <w:bottom w:val="none" w:sz="0" w:space="0" w:color="auto"/>
        <w:right w:val="none" w:sz="0" w:space="0" w:color="auto"/>
      </w:divBdr>
    </w:div>
    <w:div w:id="1179925380">
      <w:marLeft w:val="480"/>
      <w:marRight w:val="0"/>
      <w:marTop w:val="0"/>
      <w:marBottom w:val="0"/>
      <w:divBdr>
        <w:top w:val="none" w:sz="0" w:space="0" w:color="auto"/>
        <w:left w:val="none" w:sz="0" w:space="0" w:color="auto"/>
        <w:bottom w:val="none" w:sz="0" w:space="0" w:color="auto"/>
        <w:right w:val="none" w:sz="0" w:space="0" w:color="auto"/>
      </w:divBdr>
    </w:div>
    <w:div w:id="1181626331">
      <w:marLeft w:val="480"/>
      <w:marRight w:val="0"/>
      <w:marTop w:val="0"/>
      <w:marBottom w:val="0"/>
      <w:divBdr>
        <w:top w:val="none" w:sz="0" w:space="0" w:color="auto"/>
        <w:left w:val="none" w:sz="0" w:space="0" w:color="auto"/>
        <w:bottom w:val="none" w:sz="0" w:space="0" w:color="auto"/>
        <w:right w:val="none" w:sz="0" w:space="0" w:color="auto"/>
      </w:divBdr>
    </w:div>
    <w:div w:id="1187796448">
      <w:marLeft w:val="480"/>
      <w:marRight w:val="0"/>
      <w:marTop w:val="0"/>
      <w:marBottom w:val="0"/>
      <w:divBdr>
        <w:top w:val="none" w:sz="0" w:space="0" w:color="auto"/>
        <w:left w:val="none" w:sz="0" w:space="0" w:color="auto"/>
        <w:bottom w:val="none" w:sz="0" w:space="0" w:color="auto"/>
        <w:right w:val="none" w:sz="0" w:space="0" w:color="auto"/>
      </w:divBdr>
    </w:div>
    <w:div w:id="1193767270">
      <w:marLeft w:val="480"/>
      <w:marRight w:val="0"/>
      <w:marTop w:val="0"/>
      <w:marBottom w:val="0"/>
      <w:divBdr>
        <w:top w:val="none" w:sz="0" w:space="0" w:color="auto"/>
        <w:left w:val="none" w:sz="0" w:space="0" w:color="auto"/>
        <w:bottom w:val="none" w:sz="0" w:space="0" w:color="auto"/>
        <w:right w:val="none" w:sz="0" w:space="0" w:color="auto"/>
      </w:divBdr>
    </w:div>
    <w:div w:id="1197305812">
      <w:marLeft w:val="480"/>
      <w:marRight w:val="0"/>
      <w:marTop w:val="0"/>
      <w:marBottom w:val="0"/>
      <w:divBdr>
        <w:top w:val="none" w:sz="0" w:space="0" w:color="auto"/>
        <w:left w:val="none" w:sz="0" w:space="0" w:color="auto"/>
        <w:bottom w:val="none" w:sz="0" w:space="0" w:color="auto"/>
        <w:right w:val="none" w:sz="0" w:space="0" w:color="auto"/>
      </w:divBdr>
    </w:div>
    <w:div w:id="1199663100">
      <w:marLeft w:val="480"/>
      <w:marRight w:val="0"/>
      <w:marTop w:val="0"/>
      <w:marBottom w:val="0"/>
      <w:divBdr>
        <w:top w:val="none" w:sz="0" w:space="0" w:color="auto"/>
        <w:left w:val="none" w:sz="0" w:space="0" w:color="auto"/>
        <w:bottom w:val="none" w:sz="0" w:space="0" w:color="auto"/>
        <w:right w:val="none" w:sz="0" w:space="0" w:color="auto"/>
      </w:divBdr>
    </w:div>
    <w:div w:id="1204292743">
      <w:marLeft w:val="480"/>
      <w:marRight w:val="0"/>
      <w:marTop w:val="0"/>
      <w:marBottom w:val="0"/>
      <w:divBdr>
        <w:top w:val="none" w:sz="0" w:space="0" w:color="auto"/>
        <w:left w:val="none" w:sz="0" w:space="0" w:color="auto"/>
        <w:bottom w:val="none" w:sz="0" w:space="0" w:color="auto"/>
        <w:right w:val="none" w:sz="0" w:space="0" w:color="auto"/>
      </w:divBdr>
    </w:div>
    <w:div w:id="1206019099">
      <w:marLeft w:val="480"/>
      <w:marRight w:val="0"/>
      <w:marTop w:val="0"/>
      <w:marBottom w:val="0"/>
      <w:divBdr>
        <w:top w:val="none" w:sz="0" w:space="0" w:color="auto"/>
        <w:left w:val="none" w:sz="0" w:space="0" w:color="auto"/>
        <w:bottom w:val="none" w:sz="0" w:space="0" w:color="auto"/>
        <w:right w:val="none" w:sz="0" w:space="0" w:color="auto"/>
      </w:divBdr>
    </w:div>
    <w:div w:id="1207568076">
      <w:marLeft w:val="480"/>
      <w:marRight w:val="0"/>
      <w:marTop w:val="0"/>
      <w:marBottom w:val="0"/>
      <w:divBdr>
        <w:top w:val="none" w:sz="0" w:space="0" w:color="auto"/>
        <w:left w:val="none" w:sz="0" w:space="0" w:color="auto"/>
        <w:bottom w:val="none" w:sz="0" w:space="0" w:color="auto"/>
        <w:right w:val="none" w:sz="0" w:space="0" w:color="auto"/>
      </w:divBdr>
    </w:div>
    <w:div w:id="1207595876">
      <w:marLeft w:val="480"/>
      <w:marRight w:val="0"/>
      <w:marTop w:val="0"/>
      <w:marBottom w:val="0"/>
      <w:divBdr>
        <w:top w:val="none" w:sz="0" w:space="0" w:color="auto"/>
        <w:left w:val="none" w:sz="0" w:space="0" w:color="auto"/>
        <w:bottom w:val="none" w:sz="0" w:space="0" w:color="auto"/>
        <w:right w:val="none" w:sz="0" w:space="0" w:color="auto"/>
      </w:divBdr>
    </w:div>
    <w:div w:id="1209683708">
      <w:marLeft w:val="480"/>
      <w:marRight w:val="0"/>
      <w:marTop w:val="0"/>
      <w:marBottom w:val="0"/>
      <w:divBdr>
        <w:top w:val="none" w:sz="0" w:space="0" w:color="auto"/>
        <w:left w:val="none" w:sz="0" w:space="0" w:color="auto"/>
        <w:bottom w:val="none" w:sz="0" w:space="0" w:color="auto"/>
        <w:right w:val="none" w:sz="0" w:space="0" w:color="auto"/>
      </w:divBdr>
    </w:div>
    <w:div w:id="1214536637">
      <w:marLeft w:val="480"/>
      <w:marRight w:val="0"/>
      <w:marTop w:val="0"/>
      <w:marBottom w:val="0"/>
      <w:divBdr>
        <w:top w:val="none" w:sz="0" w:space="0" w:color="auto"/>
        <w:left w:val="none" w:sz="0" w:space="0" w:color="auto"/>
        <w:bottom w:val="none" w:sz="0" w:space="0" w:color="auto"/>
        <w:right w:val="none" w:sz="0" w:space="0" w:color="auto"/>
      </w:divBdr>
    </w:div>
    <w:div w:id="1215238524">
      <w:marLeft w:val="480"/>
      <w:marRight w:val="0"/>
      <w:marTop w:val="0"/>
      <w:marBottom w:val="0"/>
      <w:divBdr>
        <w:top w:val="none" w:sz="0" w:space="0" w:color="auto"/>
        <w:left w:val="none" w:sz="0" w:space="0" w:color="auto"/>
        <w:bottom w:val="none" w:sz="0" w:space="0" w:color="auto"/>
        <w:right w:val="none" w:sz="0" w:space="0" w:color="auto"/>
      </w:divBdr>
    </w:div>
    <w:div w:id="1218006363">
      <w:marLeft w:val="480"/>
      <w:marRight w:val="0"/>
      <w:marTop w:val="0"/>
      <w:marBottom w:val="0"/>
      <w:divBdr>
        <w:top w:val="none" w:sz="0" w:space="0" w:color="auto"/>
        <w:left w:val="none" w:sz="0" w:space="0" w:color="auto"/>
        <w:bottom w:val="none" w:sz="0" w:space="0" w:color="auto"/>
        <w:right w:val="none" w:sz="0" w:space="0" w:color="auto"/>
      </w:divBdr>
    </w:div>
    <w:div w:id="1235048538">
      <w:marLeft w:val="480"/>
      <w:marRight w:val="0"/>
      <w:marTop w:val="0"/>
      <w:marBottom w:val="0"/>
      <w:divBdr>
        <w:top w:val="none" w:sz="0" w:space="0" w:color="auto"/>
        <w:left w:val="none" w:sz="0" w:space="0" w:color="auto"/>
        <w:bottom w:val="none" w:sz="0" w:space="0" w:color="auto"/>
        <w:right w:val="none" w:sz="0" w:space="0" w:color="auto"/>
      </w:divBdr>
    </w:div>
    <w:div w:id="1237596557">
      <w:marLeft w:val="480"/>
      <w:marRight w:val="0"/>
      <w:marTop w:val="0"/>
      <w:marBottom w:val="0"/>
      <w:divBdr>
        <w:top w:val="none" w:sz="0" w:space="0" w:color="auto"/>
        <w:left w:val="none" w:sz="0" w:space="0" w:color="auto"/>
        <w:bottom w:val="none" w:sz="0" w:space="0" w:color="auto"/>
        <w:right w:val="none" w:sz="0" w:space="0" w:color="auto"/>
      </w:divBdr>
    </w:div>
    <w:div w:id="1238133691">
      <w:marLeft w:val="480"/>
      <w:marRight w:val="0"/>
      <w:marTop w:val="0"/>
      <w:marBottom w:val="0"/>
      <w:divBdr>
        <w:top w:val="none" w:sz="0" w:space="0" w:color="auto"/>
        <w:left w:val="none" w:sz="0" w:space="0" w:color="auto"/>
        <w:bottom w:val="none" w:sz="0" w:space="0" w:color="auto"/>
        <w:right w:val="none" w:sz="0" w:space="0" w:color="auto"/>
      </w:divBdr>
    </w:div>
    <w:div w:id="1242527099">
      <w:marLeft w:val="480"/>
      <w:marRight w:val="0"/>
      <w:marTop w:val="0"/>
      <w:marBottom w:val="0"/>
      <w:divBdr>
        <w:top w:val="none" w:sz="0" w:space="0" w:color="auto"/>
        <w:left w:val="none" w:sz="0" w:space="0" w:color="auto"/>
        <w:bottom w:val="none" w:sz="0" w:space="0" w:color="auto"/>
        <w:right w:val="none" w:sz="0" w:space="0" w:color="auto"/>
      </w:divBdr>
    </w:div>
    <w:div w:id="1246499917">
      <w:marLeft w:val="480"/>
      <w:marRight w:val="0"/>
      <w:marTop w:val="0"/>
      <w:marBottom w:val="0"/>
      <w:divBdr>
        <w:top w:val="none" w:sz="0" w:space="0" w:color="auto"/>
        <w:left w:val="none" w:sz="0" w:space="0" w:color="auto"/>
        <w:bottom w:val="none" w:sz="0" w:space="0" w:color="auto"/>
        <w:right w:val="none" w:sz="0" w:space="0" w:color="auto"/>
      </w:divBdr>
    </w:div>
    <w:div w:id="1246721652">
      <w:marLeft w:val="480"/>
      <w:marRight w:val="0"/>
      <w:marTop w:val="0"/>
      <w:marBottom w:val="0"/>
      <w:divBdr>
        <w:top w:val="none" w:sz="0" w:space="0" w:color="auto"/>
        <w:left w:val="none" w:sz="0" w:space="0" w:color="auto"/>
        <w:bottom w:val="none" w:sz="0" w:space="0" w:color="auto"/>
        <w:right w:val="none" w:sz="0" w:space="0" w:color="auto"/>
      </w:divBdr>
    </w:div>
    <w:div w:id="1247181503">
      <w:marLeft w:val="480"/>
      <w:marRight w:val="0"/>
      <w:marTop w:val="0"/>
      <w:marBottom w:val="0"/>
      <w:divBdr>
        <w:top w:val="none" w:sz="0" w:space="0" w:color="auto"/>
        <w:left w:val="none" w:sz="0" w:space="0" w:color="auto"/>
        <w:bottom w:val="none" w:sz="0" w:space="0" w:color="auto"/>
        <w:right w:val="none" w:sz="0" w:space="0" w:color="auto"/>
      </w:divBdr>
    </w:div>
    <w:div w:id="1247230241">
      <w:marLeft w:val="480"/>
      <w:marRight w:val="0"/>
      <w:marTop w:val="0"/>
      <w:marBottom w:val="0"/>
      <w:divBdr>
        <w:top w:val="none" w:sz="0" w:space="0" w:color="auto"/>
        <w:left w:val="none" w:sz="0" w:space="0" w:color="auto"/>
        <w:bottom w:val="none" w:sz="0" w:space="0" w:color="auto"/>
        <w:right w:val="none" w:sz="0" w:space="0" w:color="auto"/>
      </w:divBdr>
    </w:div>
    <w:div w:id="1252280873">
      <w:marLeft w:val="480"/>
      <w:marRight w:val="0"/>
      <w:marTop w:val="0"/>
      <w:marBottom w:val="0"/>
      <w:divBdr>
        <w:top w:val="none" w:sz="0" w:space="0" w:color="auto"/>
        <w:left w:val="none" w:sz="0" w:space="0" w:color="auto"/>
        <w:bottom w:val="none" w:sz="0" w:space="0" w:color="auto"/>
        <w:right w:val="none" w:sz="0" w:space="0" w:color="auto"/>
      </w:divBdr>
    </w:div>
    <w:div w:id="1257711727">
      <w:marLeft w:val="480"/>
      <w:marRight w:val="0"/>
      <w:marTop w:val="0"/>
      <w:marBottom w:val="0"/>
      <w:divBdr>
        <w:top w:val="none" w:sz="0" w:space="0" w:color="auto"/>
        <w:left w:val="none" w:sz="0" w:space="0" w:color="auto"/>
        <w:bottom w:val="none" w:sz="0" w:space="0" w:color="auto"/>
        <w:right w:val="none" w:sz="0" w:space="0" w:color="auto"/>
      </w:divBdr>
    </w:div>
    <w:div w:id="1258170524">
      <w:marLeft w:val="480"/>
      <w:marRight w:val="0"/>
      <w:marTop w:val="0"/>
      <w:marBottom w:val="0"/>
      <w:divBdr>
        <w:top w:val="none" w:sz="0" w:space="0" w:color="auto"/>
        <w:left w:val="none" w:sz="0" w:space="0" w:color="auto"/>
        <w:bottom w:val="none" w:sz="0" w:space="0" w:color="auto"/>
        <w:right w:val="none" w:sz="0" w:space="0" w:color="auto"/>
      </w:divBdr>
    </w:div>
    <w:div w:id="1258515694">
      <w:marLeft w:val="480"/>
      <w:marRight w:val="0"/>
      <w:marTop w:val="0"/>
      <w:marBottom w:val="0"/>
      <w:divBdr>
        <w:top w:val="none" w:sz="0" w:space="0" w:color="auto"/>
        <w:left w:val="none" w:sz="0" w:space="0" w:color="auto"/>
        <w:bottom w:val="none" w:sz="0" w:space="0" w:color="auto"/>
        <w:right w:val="none" w:sz="0" w:space="0" w:color="auto"/>
      </w:divBdr>
    </w:div>
    <w:div w:id="1261109928">
      <w:marLeft w:val="480"/>
      <w:marRight w:val="0"/>
      <w:marTop w:val="0"/>
      <w:marBottom w:val="0"/>
      <w:divBdr>
        <w:top w:val="none" w:sz="0" w:space="0" w:color="auto"/>
        <w:left w:val="none" w:sz="0" w:space="0" w:color="auto"/>
        <w:bottom w:val="none" w:sz="0" w:space="0" w:color="auto"/>
        <w:right w:val="none" w:sz="0" w:space="0" w:color="auto"/>
      </w:divBdr>
    </w:div>
    <w:div w:id="1261988331">
      <w:marLeft w:val="480"/>
      <w:marRight w:val="0"/>
      <w:marTop w:val="0"/>
      <w:marBottom w:val="0"/>
      <w:divBdr>
        <w:top w:val="none" w:sz="0" w:space="0" w:color="auto"/>
        <w:left w:val="none" w:sz="0" w:space="0" w:color="auto"/>
        <w:bottom w:val="none" w:sz="0" w:space="0" w:color="auto"/>
        <w:right w:val="none" w:sz="0" w:space="0" w:color="auto"/>
      </w:divBdr>
    </w:div>
    <w:div w:id="1264607096">
      <w:marLeft w:val="480"/>
      <w:marRight w:val="0"/>
      <w:marTop w:val="0"/>
      <w:marBottom w:val="0"/>
      <w:divBdr>
        <w:top w:val="none" w:sz="0" w:space="0" w:color="auto"/>
        <w:left w:val="none" w:sz="0" w:space="0" w:color="auto"/>
        <w:bottom w:val="none" w:sz="0" w:space="0" w:color="auto"/>
        <w:right w:val="none" w:sz="0" w:space="0" w:color="auto"/>
      </w:divBdr>
    </w:div>
    <w:div w:id="1266380368">
      <w:marLeft w:val="480"/>
      <w:marRight w:val="0"/>
      <w:marTop w:val="0"/>
      <w:marBottom w:val="0"/>
      <w:divBdr>
        <w:top w:val="none" w:sz="0" w:space="0" w:color="auto"/>
        <w:left w:val="none" w:sz="0" w:space="0" w:color="auto"/>
        <w:bottom w:val="none" w:sz="0" w:space="0" w:color="auto"/>
        <w:right w:val="none" w:sz="0" w:space="0" w:color="auto"/>
      </w:divBdr>
    </w:div>
    <w:div w:id="1268153104">
      <w:marLeft w:val="480"/>
      <w:marRight w:val="0"/>
      <w:marTop w:val="0"/>
      <w:marBottom w:val="0"/>
      <w:divBdr>
        <w:top w:val="none" w:sz="0" w:space="0" w:color="auto"/>
        <w:left w:val="none" w:sz="0" w:space="0" w:color="auto"/>
        <w:bottom w:val="none" w:sz="0" w:space="0" w:color="auto"/>
        <w:right w:val="none" w:sz="0" w:space="0" w:color="auto"/>
      </w:divBdr>
    </w:div>
    <w:div w:id="1269123368">
      <w:marLeft w:val="480"/>
      <w:marRight w:val="0"/>
      <w:marTop w:val="0"/>
      <w:marBottom w:val="0"/>
      <w:divBdr>
        <w:top w:val="none" w:sz="0" w:space="0" w:color="auto"/>
        <w:left w:val="none" w:sz="0" w:space="0" w:color="auto"/>
        <w:bottom w:val="none" w:sz="0" w:space="0" w:color="auto"/>
        <w:right w:val="none" w:sz="0" w:space="0" w:color="auto"/>
      </w:divBdr>
    </w:div>
    <w:div w:id="1273317036">
      <w:marLeft w:val="480"/>
      <w:marRight w:val="0"/>
      <w:marTop w:val="0"/>
      <w:marBottom w:val="0"/>
      <w:divBdr>
        <w:top w:val="none" w:sz="0" w:space="0" w:color="auto"/>
        <w:left w:val="none" w:sz="0" w:space="0" w:color="auto"/>
        <w:bottom w:val="none" w:sz="0" w:space="0" w:color="auto"/>
        <w:right w:val="none" w:sz="0" w:space="0" w:color="auto"/>
      </w:divBdr>
    </w:div>
    <w:div w:id="1276058717">
      <w:marLeft w:val="480"/>
      <w:marRight w:val="0"/>
      <w:marTop w:val="0"/>
      <w:marBottom w:val="0"/>
      <w:divBdr>
        <w:top w:val="none" w:sz="0" w:space="0" w:color="auto"/>
        <w:left w:val="none" w:sz="0" w:space="0" w:color="auto"/>
        <w:bottom w:val="none" w:sz="0" w:space="0" w:color="auto"/>
        <w:right w:val="none" w:sz="0" w:space="0" w:color="auto"/>
      </w:divBdr>
    </w:div>
    <w:div w:id="1279950774">
      <w:marLeft w:val="480"/>
      <w:marRight w:val="0"/>
      <w:marTop w:val="0"/>
      <w:marBottom w:val="0"/>
      <w:divBdr>
        <w:top w:val="none" w:sz="0" w:space="0" w:color="auto"/>
        <w:left w:val="none" w:sz="0" w:space="0" w:color="auto"/>
        <w:bottom w:val="none" w:sz="0" w:space="0" w:color="auto"/>
        <w:right w:val="none" w:sz="0" w:space="0" w:color="auto"/>
      </w:divBdr>
    </w:div>
    <w:div w:id="1282147297">
      <w:marLeft w:val="480"/>
      <w:marRight w:val="0"/>
      <w:marTop w:val="0"/>
      <w:marBottom w:val="0"/>
      <w:divBdr>
        <w:top w:val="none" w:sz="0" w:space="0" w:color="auto"/>
        <w:left w:val="none" w:sz="0" w:space="0" w:color="auto"/>
        <w:bottom w:val="none" w:sz="0" w:space="0" w:color="auto"/>
        <w:right w:val="none" w:sz="0" w:space="0" w:color="auto"/>
      </w:divBdr>
    </w:div>
    <w:div w:id="1285387174">
      <w:marLeft w:val="480"/>
      <w:marRight w:val="0"/>
      <w:marTop w:val="0"/>
      <w:marBottom w:val="0"/>
      <w:divBdr>
        <w:top w:val="none" w:sz="0" w:space="0" w:color="auto"/>
        <w:left w:val="none" w:sz="0" w:space="0" w:color="auto"/>
        <w:bottom w:val="none" w:sz="0" w:space="0" w:color="auto"/>
        <w:right w:val="none" w:sz="0" w:space="0" w:color="auto"/>
      </w:divBdr>
    </w:div>
    <w:div w:id="1288466543">
      <w:marLeft w:val="480"/>
      <w:marRight w:val="0"/>
      <w:marTop w:val="0"/>
      <w:marBottom w:val="0"/>
      <w:divBdr>
        <w:top w:val="none" w:sz="0" w:space="0" w:color="auto"/>
        <w:left w:val="none" w:sz="0" w:space="0" w:color="auto"/>
        <w:bottom w:val="none" w:sz="0" w:space="0" w:color="auto"/>
        <w:right w:val="none" w:sz="0" w:space="0" w:color="auto"/>
      </w:divBdr>
    </w:div>
    <w:div w:id="1290237898">
      <w:marLeft w:val="480"/>
      <w:marRight w:val="0"/>
      <w:marTop w:val="0"/>
      <w:marBottom w:val="0"/>
      <w:divBdr>
        <w:top w:val="none" w:sz="0" w:space="0" w:color="auto"/>
        <w:left w:val="none" w:sz="0" w:space="0" w:color="auto"/>
        <w:bottom w:val="none" w:sz="0" w:space="0" w:color="auto"/>
        <w:right w:val="none" w:sz="0" w:space="0" w:color="auto"/>
      </w:divBdr>
    </w:div>
    <w:div w:id="1293100761">
      <w:marLeft w:val="480"/>
      <w:marRight w:val="0"/>
      <w:marTop w:val="0"/>
      <w:marBottom w:val="0"/>
      <w:divBdr>
        <w:top w:val="none" w:sz="0" w:space="0" w:color="auto"/>
        <w:left w:val="none" w:sz="0" w:space="0" w:color="auto"/>
        <w:bottom w:val="none" w:sz="0" w:space="0" w:color="auto"/>
        <w:right w:val="none" w:sz="0" w:space="0" w:color="auto"/>
      </w:divBdr>
    </w:div>
    <w:div w:id="1294675758">
      <w:marLeft w:val="480"/>
      <w:marRight w:val="0"/>
      <w:marTop w:val="0"/>
      <w:marBottom w:val="0"/>
      <w:divBdr>
        <w:top w:val="none" w:sz="0" w:space="0" w:color="auto"/>
        <w:left w:val="none" w:sz="0" w:space="0" w:color="auto"/>
        <w:bottom w:val="none" w:sz="0" w:space="0" w:color="auto"/>
        <w:right w:val="none" w:sz="0" w:space="0" w:color="auto"/>
      </w:divBdr>
    </w:div>
    <w:div w:id="1298727035">
      <w:marLeft w:val="480"/>
      <w:marRight w:val="0"/>
      <w:marTop w:val="0"/>
      <w:marBottom w:val="0"/>
      <w:divBdr>
        <w:top w:val="none" w:sz="0" w:space="0" w:color="auto"/>
        <w:left w:val="none" w:sz="0" w:space="0" w:color="auto"/>
        <w:bottom w:val="none" w:sz="0" w:space="0" w:color="auto"/>
        <w:right w:val="none" w:sz="0" w:space="0" w:color="auto"/>
      </w:divBdr>
    </w:div>
    <w:div w:id="1311206945">
      <w:marLeft w:val="480"/>
      <w:marRight w:val="0"/>
      <w:marTop w:val="0"/>
      <w:marBottom w:val="0"/>
      <w:divBdr>
        <w:top w:val="none" w:sz="0" w:space="0" w:color="auto"/>
        <w:left w:val="none" w:sz="0" w:space="0" w:color="auto"/>
        <w:bottom w:val="none" w:sz="0" w:space="0" w:color="auto"/>
        <w:right w:val="none" w:sz="0" w:space="0" w:color="auto"/>
      </w:divBdr>
    </w:div>
    <w:div w:id="1320886811">
      <w:marLeft w:val="480"/>
      <w:marRight w:val="0"/>
      <w:marTop w:val="0"/>
      <w:marBottom w:val="0"/>
      <w:divBdr>
        <w:top w:val="none" w:sz="0" w:space="0" w:color="auto"/>
        <w:left w:val="none" w:sz="0" w:space="0" w:color="auto"/>
        <w:bottom w:val="none" w:sz="0" w:space="0" w:color="auto"/>
        <w:right w:val="none" w:sz="0" w:space="0" w:color="auto"/>
      </w:divBdr>
    </w:div>
    <w:div w:id="1324503682">
      <w:marLeft w:val="480"/>
      <w:marRight w:val="0"/>
      <w:marTop w:val="0"/>
      <w:marBottom w:val="0"/>
      <w:divBdr>
        <w:top w:val="none" w:sz="0" w:space="0" w:color="auto"/>
        <w:left w:val="none" w:sz="0" w:space="0" w:color="auto"/>
        <w:bottom w:val="none" w:sz="0" w:space="0" w:color="auto"/>
        <w:right w:val="none" w:sz="0" w:space="0" w:color="auto"/>
      </w:divBdr>
    </w:div>
    <w:div w:id="1325007531">
      <w:marLeft w:val="480"/>
      <w:marRight w:val="0"/>
      <w:marTop w:val="0"/>
      <w:marBottom w:val="0"/>
      <w:divBdr>
        <w:top w:val="none" w:sz="0" w:space="0" w:color="auto"/>
        <w:left w:val="none" w:sz="0" w:space="0" w:color="auto"/>
        <w:bottom w:val="none" w:sz="0" w:space="0" w:color="auto"/>
        <w:right w:val="none" w:sz="0" w:space="0" w:color="auto"/>
      </w:divBdr>
    </w:div>
    <w:div w:id="1327170766">
      <w:marLeft w:val="480"/>
      <w:marRight w:val="0"/>
      <w:marTop w:val="0"/>
      <w:marBottom w:val="0"/>
      <w:divBdr>
        <w:top w:val="none" w:sz="0" w:space="0" w:color="auto"/>
        <w:left w:val="none" w:sz="0" w:space="0" w:color="auto"/>
        <w:bottom w:val="none" w:sz="0" w:space="0" w:color="auto"/>
        <w:right w:val="none" w:sz="0" w:space="0" w:color="auto"/>
      </w:divBdr>
    </w:div>
    <w:div w:id="1327826737">
      <w:marLeft w:val="480"/>
      <w:marRight w:val="0"/>
      <w:marTop w:val="0"/>
      <w:marBottom w:val="0"/>
      <w:divBdr>
        <w:top w:val="none" w:sz="0" w:space="0" w:color="auto"/>
        <w:left w:val="none" w:sz="0" w:space="0" w:color="auto"/>
        <w:bottom w:val="none" w:sz="0" w:space="0" w:color="auto"/>
        <w:right w:val="none" w:sz="0" w:space="0" w:color="auto"/>
      </w:divBdr>
    </w:div>
    <w:div w:id="1327901073">
      <w:marLeft w:val="480"/>
      <w:marRight w:val="0"/>
      <w:marTop w:val="0"/>
      <w:marBottom w:val="0"/>
      <w:divBdr>
        <w:top w:val="none" w:sz="0" w:space="0" w:color="auto"/>
        <w:left w:val="none" w:sz="0" w:space="0" w:color="auto"/>
        <w:bottom w:val="none" w:sz="0" w:space="0" w:color="auto"/>
        <w:right w:val="none" w:sz="0" w:space="0" w:color="auto"/>
      </w:divBdr>
    </w:div>
    <w:div w:id="1330402423">
      <w:marLeft w:val="480"/>
      <w:marRight w:val="0"/>
      <w:marTop w:val="0"/>
      <w:marBottom w:val="0"/>
      <w:divBdr>
        <w:top w:val="none" w:sz="0" w:space="0" w:color="auto"/>
        <w:left w:val="none" w:sz="0" w:space="0" w:color="auto"/>
        <w:bottom w:val="none" w:sz="0" w:space="0" w:color="auto"/>
        <w:right w:val="none" w:sz="0" w:space="0" w:color="auto"/>
      </w:divBdr>
    </w:div>
    <w:div w:id="1332875666">
      <w:marLeft w:val="480"/>
      <w:marRight w:val="0"/>
      <w:marTop w:val="0"/>
      <w:marBottom w:val="0"/>
      <w:divBdr>
        <w:top w:val="none" w:sz="0" w:space="0" w:color="auto"/>
        <w:left w:val="none" w:sz="0" w:space="0" w:color="auto"/>
        <w:bottom w:val="none" w:sz="0" w:space="0" w:color="auto"/>
        <w:right w:val="none" w:sz="0" w:space="0" w:color="auto"/>
      </w:divBdr>
    </w:div>
    <w:div w:id="1335188583">
      <w:marLeft w:val="480"/>
      <w:marRight w:val="0"/>
      <w:marTop w:val="0"/>
      <w:marBottom w:val="0"/>
      <w:divBdr>
        <w:top w:val="none" w:sz="0" w:space="0" w:color="auto"/>
        <w:left w:val="none" w:sz="0" w:space="0" w:color="auto"/>
        <w:bottom w:val="none" w:sz="0" w:space="0" w:color="auto"/>
        <w:right w:val="none" w:sz="0" w:space="0" w:color="auto"/>
      </w:divBdr>
    </w:div>
    <w:div w:id="1340617273">
      <w:marLeft w:val="480"/>
      <w:marRight w:val="0"/>
      <w:marTop w:val="0"/>
      <w:marBottom w:val="0"/>
      <w:divBdr>
        <w:top w:val="none" w:sz="0" w:space="0" w:color="auto"/>
        <w:left w:val="none" w:sz="0" w:space="0" w:color="auto"/>
        <w:bottom w:val="none" w:sz="0" w:space="0" w:color="auto"/>
        <w:right w:val="none" w:sz="0" w:space="0" w:color="auto"/>
      </w:divBdr>
    </w:div>
    <w:div w:id="1341084647">
      <w:marLeft w:val="480"/>
      <w:marRight w:val="0"/>
      <w:marTop w:val="0"/>
      <w:marBottom w:val="0"/>
      <w:divBdr>
        <w:top w:val="none" w:sz="0" w:space="0" w:color="auto"/>
        <w:left w:val="none" w:sz="0" w:space="0" w:color="auto"/>
        <w:bottom w:val="none" w:sz="0" w:space="0" w:color="auto"/>
        <w:right w:val="none" w:sz="0" w:space="0" w:color="auto"/>
      </w:divBdr>
    </w:div>
    <w:div w:id="1343817840">
      <w:marLeft w:val="480"/>
      <w:marRight w:val="0"/>
      <w:marTop w:val="0"/>
      <w:marBottom w:val="0"/>
      <w:divBdr>
        <w:top w:val="none" w:sz="0" w:space="0" w:color="auto"/>
        <w:left w:val="none" w:sz="0" w:space="0" w:color="auto"/>
        <w:bottom w:val="none" w:sz="0" w:space="0" w:color="auto"/>
        <w:right w:val="none" w:sz="0" w:space="0" w:color="auto"/>
      </w:divBdr>
    </w:div>
    <w:div w:id="1348094207">
      <w:marLeft w:val="480"/>
      <w:marRight w:val="0"/>
      <w:marTop w:val="0"/>
      <w:marBottom w:val="0"/>
      <w:divBdr>
        <w:top w:val="none" w:sz="0" w:space="0" w:color="auto"/>
        <w:left w:val="none" w:sz="0" w:space="0" w:color="auto"/>
        <w:bottom w:val="none" w:sz="0" w:space="0" w:color="auto"/>
        <w:right w:val="none" w:sz="0" w:space="0" w:color="auto"/>
      </w:divBdr>
    </w:div>
    <w:div w:id="1353260053">
      <w:marLeft w:val="480"/>
      <w:marRight w:val="0"/>
      <w:marTop w:val="0"/>
      <w:marBottom w:val="0"/>
      <w:divBdr>
        <w:top w:val="none" w:sz="0" w:space="0" w:color="auto"/>
        <w:left w:val="none" w:sz="0" w:space="0" w:color="auto"/>
        <w:bottom w:val="none" w:sz="0" w:space="0" w:color="auto"/>
        <w:right w:val="none" w:sz="0" w:space="0" w:color="auto"/>
      </w:divBdr>
    </w:div>
    <w:div w:id="1364013216">
      <w:marLeft w:val="480"/>
      <w:marRight w:val="0"/>
      <w:marTop w:val="0"/>
      <w:marBottom w:val="0"/>
      <w:divBdr>
        <w:top w:val="none" w:sz="0" w:space="0" w:color="auto"/>
        <w:left w:val="none" w:sz="0" w:space="0" w:color="auto"/>
        <w:bottom w:val="none" w:sz="0" w:space="0" w:color="auto"/>
        <w:right w:val="none" w:sz="0" w:space="0" w:color="auto"/>
      </w:divBdr>
    </w:div>
    <w:div w:id="1372539290">
      <w:marLeft w:val="480"/>
      <w:marRight w:val="0"/>
      <w:marTop w:val="0"/>
      <w:marBottom w:val="0"/>
      <w:divBdr>
        <w:top w:val="none" w:sz="0" w:space="0" w:color="auto"/>
        <w:left w:val="none" w:sz="0" w:space="0" w:color="auto"/>
        <w:bottom w:val="none" w:sz="0" w:space="0" w:color="auto"/>
        <w:right w:val="none" w:sz="0" w:space="0" w:color="auto"/>
      </w:divBdr>
    </w:div>
    <w:div w:id="1375278794">
      <w:marLeft w:val="480"/>
      <w:marRight w:val="0"/>
      <w:marTop w:val="0"/>
      <w:marBottom w:val="0"/>
      <w:divBdr>
        <w:top w:val="none" w:sz="0" w:space="0" w:color="auto"/>
        <w:left w:val="none" w:sz="0" w:space="0" w:color="auto"/>
        <w:bottom w:val="none" w:sz="0" w:space="0" w:color="auto"/>
        <w:right w:val="none" w:sz="0" w:space="0" w:color="auto"/>
      </w:divBdr>
    </w:div>
    <w:div w:id="1376731423">
      <w:marLeft w:val="480"/>
      <w:marRight w:val="0"/>
      <w:marTop w:val="0"/>
      <w:marBottom w:val="0"/>
      <w:divBdr>
        <w:top w:val="none" w:sz="0" w:space="0" w:color="auto"/>
        <w:left w:val="none" w:sz="0" w:space="0" w:color="auto"/>
        <w:bottom w:val="none" w:sz="0" w:space="0" w:color="auto"/>
        <w:right w:val="none" w:sz="0" w:space="0" w:color="auto"/>
      </w:divBdr>
    </w:div>
    <w:div w:id="1384939309">
      <w:marLeft w:val="480"/>
      <w:marRight w:val="0"/>
      <w:marTop w:val="0"/>
      <w:marBottom w:val="0"/>
      <w:divBdr>
        <w:top w:val="none" w:sz="0" w:space="0" w:color="auto"/>
        <w:left w:val="none" w:sz="0" w:space="0" w:color="auto"/>
        <w:bottom w:val="none" w:sz="0" w:space="0" w:color="auto"/>
        <w:right w:val="none" w:sz="0" w:space="0" w:color="auto"/>
      </w:divBdr>
    </w:div>
    <w:div w:id="1388459485">
      <w:marLeft w:val="480"/>
      <w:marRight w:val="0"/>
      <w:marTop w:val="0"/>
      <w:marBottom w:val="0"/>
      <w:divBdr>
        <w:top w:val="none" w:sz="0" w:space="0" w:color="auto"/>
        <w:left w:val="none" w:sz="0" w:space="0" w:color="auto"/>
        <w:bottom w:val="none" w:sz="0" w:space="0" w:color="auto"/>
        <w:right w:val="none" w:sz="0" w:space="0" w:color="auto"/>
      </w:divBdr>
    </w:div>
    <w:div w:id="1392922863">
      <w:marLeft w:val="480"/>
      <w:marRight w:val="0"/>
      <w:marTop w:val="0"/>
      <w:marBottom w:val="0"/>
      <w:divBdr>
        <w:top w:val="none" w:sz="0" w:space="0" w:color="auto"/>
        <w:left w:val="none" w:sz="0" w:space="0" w:color="auto"/>
        <w:bottom w:val="none" w:sz="0" w:space="0" w:color="auto"/>
        <w:right w:val="none" w:sz="0" w:space="0" w:color="auto"/>
      </w:divBdr>
    </w:div>
    <w:div w:id="1396128966">
      <w:marLeft w:val="480"/>
      <w:marRight w:val="0"/>
      <w:marTop w:val="0"/>
      <w:marBottom w:val="0"/>
      <w:divBdr>
        <w:top w:val="none" w:sz="0" w:space="0" w:color="auto"/>
        <w:left w:val="none" w:sz="0" w:space="0" w:color="auto"/>
        <w:bottom w:val="none" w:sz="0" w:space="0" w:color="auto"/>
        <w:right w:val="none" w:sz="0" w:space="0" w:color="auto"/>
      </w:divBdr>
    </w:div>
    <w:div w:id="1398670179">
      <w:marLeft w:val="480"/>
      <w:marRight w:val="0"/>
      <w:marTop w:val="0"/>
      <w:marBottom w:val="0"/>
      <w:divBdr>
        <w:top w:val="none" w:sz="0" w:space="0" w:color="auto"/>
        <w:left w:val="none" w:sz="0" w:space="0" w:color="auto"/>
        <w:bottom w:val="none" w:sz="0" w:space="0" w:color="auto"/>
        <w:right w:val="none" w:sz="0" w:space="0" w:color="auto"/>
      </w:divBdr>
    </w:div>
    <w:div w:id="1400203774">
      <w:marLeft w:val="480"/>
      <w:marRight w:val="0"/>
      <w:marTop w:val="0"/>
      <w:marBottom w:val="0"/>
      <w:divBdr>
        <w:top w:val="none" w:sz="0" w:space="0" w:color="auto"/>
        <w:left w:val="none" w:sz="0" w:space="0" w:color="auto"/>
        <w:bottom w:val="none" w:sz="0" w:space="0" w:color="auto"/>
        <w:right w:val="none" w:sz="0" w:space="0" w:color="auto"/>
      </w:divBdr>
    </w:div>
    <w:div w:id="1401442076">
      <w:marLeft w:val="480"/>
      <w:marRight w:val="0"/>
      <w:marTop w:val="0"/>
      <w:marBottom w:val="0"/>
      <w:divBdr>
        <w:top w:val="none" w:sz="0" w:space="0" w:color="auto"/>
        <w:left w:val="none" w:sz="0" w:space="0" w:color="auto"/>
        <w:bottom w:val="none" w:sz="0" w:space="0" w:color="auto"/>
        <w:right w:val="none" w:sz="0" w:space="0" w:color="auto"/>
      </w:divBdr>
    </w:div>
    <w:div w:id="1413114459">
      <w:marLeft w:val="480"/>
      <w:marRight w:val="0"/>
      <w:marTop w:val="0"/>
      <w:marBottom w:val="0"/>
      <w:divBdr>
        <w:top w:val="none" w:sz="0" w:space="0" w:color="auto"/>
        <w:left w:val="none" w:sz="0" w:space="0" w:color="auto"/>
        <w:bottom w:val="none" w:sz="0" w:space="0" w:color="auto"/>
        <w:right w:val="none" w:sz="0" w:space="0" w:color="auto"/>
      </w:divBdr>
    </w:div>
    <w:div w:id="1413114799">
      <w:marLeft w:val="480"/>
      <w:marRight w:val="0"/>
      <w:marTop w:val="0"/>
      <w:marBottom w:val="0"/>
      <w:divBdr>
        <w:top w:val="none" w:sz="0" w:space="0" w:color="auto"/>
        <w:left w:val="none" w:sz="0" w:space="0" w:color="auto"/>
        <w:bottom w:val="none" w:sz="0" w:space="0" w:color="auto"/>
        <w:right w:val="none" w:sz="0" w:space="0" w:color="auto"/>
      </w:divBdr>
    </w:div>
    <w:div w:id="1420640944">
      <w:bodyDiv w:val="1"/>
      <w:marLeft w:val="0"/>
      <w:marRight w:val="0"/>
      <w:marTop w:val="0"/>
      <w:marBottom w:val="0"/>
      <w:divBdr>
        <w:top w:val="none" w:sz="0" w:space="0" w:color="auto"/>
        <w:left w:val="none" w:sz="0" w:space="0" w:color="auto"/>
        <w:bottom w:val="none" w:sz="0" w:space="0" w:color="auto"/>
        <w:right w:val="none" w:sz="0" w:space="0" w:color="auto"/>
      </w:divBdr>
    </w:div>
    <w:div w:id="1427261602">
      <w:marLeft w:val="480"/>
      <w:marRight w:val="0"/>
      <w:marTop w:val="0"/>
      <w:marBottom w:val="0"/>
      <w:divBdr>
        <w:top w:val="none" w:sz="0" w:space="0" w:color="auto"/>
        <w:left w:val="none" w:sz="0" w:space="0" w:color="auto"/>
        <w:bottom w:val="none" w:sz="0" w:space="0" w:color="auto"/>
        <w:right w:val="none" w:sz="0" w:space="0" w:color="auto"/>
      </w:divBdr>
    </w:div>
    <w:div w:id="1428429961">
      <w:marLeft w:val="480"/>
      <w:marRight w:val="0"/>
      <w:marTop w:val="0"/>
      <w:marBottom w:val="0"/>
      <w:divBdr>
        <w:top w:val="none" w:sz="0" w:space="0" w:color="auto"/>
        <w:left w:val="none" w:sz="0" w:space="0" w:color="auto"/>
        <w:bottom w:val="none" w:sz="0" w:space="0" w:color="auto"/>
        <w:right w:val="none" w:sz="0" w:space="0" w:color="auto"/>
      </w:divBdr>
    </w:div>
    <w:div w:id="1433435530">
      <w:marLeft w:val="480"/>
      <w:marRight w:val="0"/>
      <w:marTop w:val="0"/>
      <w:marBottom w:val="0"/>
      <w:divBdr>
        <w:top w:val="none" w:sz="0" w:space="0" w:color="auto"/>
        <w:left w:val="none" w:sz="0" w:space="0" w:color="auto"/>
        <w:bottom w:val="none" w:sz="0" w:space="0" w:color="auto"/>
        <w:right w:val="none" w:sz="0" w:space="0" w:color="auto"/>
      </w:divBdr>
    </w:div>
    <w:div w:id="1438600889">
      <w:marLeft w:val="480"/>
      <w:marRight w:val="0"/>
      <w:marTop w:val="0"/>
      <w:marBottom w:val="0"/>
      <w:divBdr>
        <w:top w:val="none" w:sz="0" w:space="0" w:color="auto"/>
        <w:left w:val="none" w:sz="0" w:space="0" w:color="auto"/>
        <w:bottom w:val="none" w:sz="0" w:space="0" w:color="auto"/>
        <w:right w:val="none" w:sz="0" w:space="0" w:color="auto"/>
      </w:divBdr>
    </w:div>
    <w:div w:id="1443841304">
      <w:marLeft w:val="480"/>
      <w:marRight w:val="0"/>
      <w:marTop w:val="0"/>
      <w:marBottom w:val="0"/>
      <w:divBdr>
        <w:top w:val="none" w:sz="0" w:space="0" w:color="auto"/>
        <w:left w:val="none" w:sz="0" w:space="0" w:color="auto"/>
        <w:bottom w:val="none" w:sz="0" w:space="0" w:color="auto"/>
        <w:right w:val="none" w:sz="0" w:space="0" w:color="auto"/>
      </w:divBdr>
    </w:div>
    <w:div w:id="1443841928">
      <w:marLeft w:val="480"/>
      <w:marRight w:val="0"/>
      <w:marTop w:val="0"/>
      <w:marBottom w:val="0"/>
      <w:divBdr>
        <w:top w:val="none" w:sz="0" w:space="0" w:color="auto"/>
        <w:left w:val="none" w:sz="0" w:space="0" w:color="auto"/>
        <w:bottom w:val="none" w:sz="0" w:space="0" w:color="auto"/>
        <w:right w:val="none" w:sz="0" w:space="0" w:color="auto"/>
      </w:divBdr>
    </w:div>
    <w:div w:id="1444567754">
      <w:marLeft w:val="480"/>
      <w:marRight w:val="0"/>
      <w:marTop w:val="0"/>
      <w:marBottom w:val="0"/>
      <w:divBdr>
        <w:top w:val="none" w:sz="0" w:space="0" w:color="auto"/>
        <w:left w:val="none" w:sz="0" w:space="0" w:color="auto"/>
        <w:bottom w:val="none" w:sz="0" w:space="0" w:color="auto"/>
        <w:right w:val="none" w:sz="0" w:space="0" w:color="auto"/>
      </w:divBdr>
    </w:div>
    <w:div w:id="1445808724">
      <w:marLeft w:val="480"/>
      <w:marRight w:val="0"/>
      <w:marTop w:val="0"/>
      <w:marBottom w:val="0"/>
      <w:divBdr>
        <w:top w:val="none" w:sz="0" w:space="0" w:color="auto"/>
        <w:left w:val="none" w:sz="0" w:space="0" w:color="auto"/>
        <w:bottom w:val="none" w:sz="0" w:space="0" w:color="auto"/>
        <w:right w:val="none" w:sz="0" w:space="0" w:color="auto"/>
      </w:divBdr>
    </w:div>
    <w:div w:id="1458989235">
      <w:marLeft w:val="480"/>
      <w:marRight w:val="0"/>
      <w:marTop w:val="0"/>
      <w:marBottom w:val="0"/>
      <w:divBdr>
        <w:top w:val="none" w:sz="0" w:space="0" w:color="auto"/>
        <w:left w:val="none" w:sz="0" w:space="0" w:color="auto"/>
        <w:bottom w:val="none" w:sz="0" w:space="0" w:color="auto"/>
        <w:right w:val="none" w:sz="0" w:space="0" w:color="auto"/>
      </w:divBdr>
    </w:div>
    <w:div w:id="1468088151">
      <w:marLeft w:val="480"/>
      <w:marRight w:val="0"/>
      <w:marTop w:val="0"/>
      <w:marBottom w:val="0"/>
      <w:divBdr>
        <w:top w:val="none" w:sz="0" w:space="0" w:color="auto"/>
        <w:left w:val="none" w:sz="0" w:space="0" w:color="auto"/>
        <w:bottom w:val="none" w:sz="0" w:space="0" w:color="auto"/>
        <w:right w:val="none" w:sz="0" w:space="0" w:color="auto"/>
      </w:divBdr>
    </w:div>
    <w:div w:id="1468664106">
      <w:marLeft w:val="480"/>
      <w:marRight w:val="0"/>
      <w:marTop w:val="0"/>
      <w:marBottom w:val="0"/>
      <w:divBdr>
        <w:top w:val="none" w:sz="0" w:space="0" w:color="auto"/>
        <w:left w:val="none" w:sz="0" w:space="0" w:color="auto"/>
        <w:bottom w:val="none" w:sz="0" w:space="0" w:color="auto"/>
        <w:right w:val="none" w:sz="0" w:space="0" w:color="auto"/>
      </w:divBdr>
    </w:div>
    <w:div w:id="1471631123">
      <w:marLeft w:val="480"/>
      <w:marRight w:val="0"/>
      <w:marTop w:val="0"/>
      <w:marBottom w:val="0"/>
      <w:divBdr>
        <w:top w:val="none" w:sz="0" w:space="0" w:color="auto"/>
        <w:left w:val="none" w:sz="0" w:space="0" w:color="auto"/>
        <w:bottom w:val="none" w:sz="0" w:space="0" w:color="auto"/>
        <w:right w:val="none" w:sz="0" w:space="0" w:color="auto"/>
      </w:divBdr>
    </w:div>
    <w:div w:id="1475877622">
      <w:marLeft w:val="480"/>
      <w:marRight w:val="0"/>
      <w:marTop w:val="0"/>
      <w:marBottom w:val="0"/>
      <w:divBdr>
        <w:top w:val="none" w:sz="0" w:space="0" w:color="auto"/>
        <w:left w:val="none" w:sz="0" w:space="0" w:color="auto"/>
        <w:bottom w:val="none" w:sz="0" w:space="0" w:color="auto"/>
        <w:right w:val="none" w:sz="0" w:space="0" w:color="auto"/>
      </w:divBdr>
    </w:div>
    <w:div w:id="1476407490">
      <w:marLeft w:val="480"/>
      <w:marRight w:val="0"/>
      <w:marTop w:val="0"/>
      <w:marBottom w:val="0"/>
      <w:divBdr>
        <w:top w:val="none" w:sz="0" w:space="0" w:color="auto"/>
        <w:left w:val="none" w:sz="0" w:space="0" w:color="auto"/>
        <w:bottom w:val="none" w:sz="0" w:space="0" w:color="auto"/>
        <w:right w:val="none" w:sz="0" w:space="0" w:color="auto"/>
      </w:divBdr>
    </w:div>
    <w:div w:id="1480269891">
      <w:marLeft w:val="480"/>
      <w:marRight w:val="0"/>
      <w:marTop w:val="0"/>
      <w:marBottom w:val="0"/>
      <w:divBdr>
        <w:top w:val="none" w:sz="0" w:space="0" w:color="auto"/>
        <w:left w:val="none" w:sz="0" w:space="0" w:color="auto"/>
        <w:bottom w:val="none" w:sz="0" w:space="0" w:color="auto"/>
        <w:right w:val="none" w:sz="0" w:space="0" w:color="auto"/>
      </w:divBdr>
    </w:div>
    <w:div w:id="1482771981">
      <w:marLeft w:val="480"/>
      <w:marRight w:val="0"/>
      <w:marTop w:val="0"/>
      <w:marBottom w:val="0"/>
      <w:divBdr>
        <w:top w:val="none" w:sz="0" w:space="0" w:color="auto"/>
        <w:left w:val="none" w:sz="0" w:space="0" w:color="auto"/>
        <w:bottom w:val="none" w:sz="0" w:space="0" w:color="auto"/>
        <w:right w:val="none" w:sz="0" w:space="0" w:color="auto"/>
      </w:divBdr>
    </w:div>
    <w:div w:id="1483891165">
      <w:marLeft w:val="480"/>
      <w:marRight w:val="0"/>
      <w:marTop w:val="0"/>
      <w:marBottom w:val="0"/>
      <w:divBdr>
        <w:top w:val="none" w:sz="0" w:space="0" w:color="auto"/>
        <w:left w:val="none" w:sz="0" w:space="0" w:color="auto"/>
        <w:bottom w:val="none" w:sz="0" w:space="0" w:color="auto"/>
        <w:right w:val="none" w:sz="0" w:space="0" w:color="auto"/>
      </w:divBdr>
    </w:div>
    <w:div w:id="1490898626">
      <w:marLeft w:val="480"/>
      <w:marRight w:val="0"/>
      <w:marTop w:val="0"/>
      <w:marBottom w:val="0"/>
      <w:divBdr>
        <w:top w:val="none" w:sz="0" w:space="0" w:color="auto"/>
        <w:left w:val="none" w:sz="0" w:space="0" w:color="auto"/>
        <w:bottom w:val="none" w:sz="0" w:space="0" w:color="auto"/>
        <w:right w:val="none" w:sz="0" w:space="0" w:color="auto"/>
      </w:divBdr>
    </w:div>
    <w:div w:id="1494569499">
      <w:marLeft w:val="480"/>
      <w:marRight w:val="0"/>
      <w:marTop w:val="0"/>
      <w:marBottom w:val="0"/>
      <w:divBdr>
        <w:top w:val="none" w:sz="0" w:space="0" w:color="auto"/>
        <w:left w:val="none" w:sz="0" w:space="0" w:color="auto"/>
        <w:bottom w:val="none" w:sz="0" w:space="0" w:color="auto"/>
        <w:right w:val="none" w:sz="0" w:space="0" w:color="auto"/>
      </w:divBdr>
    </w:div>
    <w:div w:id="1497185957">
      <w:marLeft w:val="480"/>
      <w:marRight w:val="0"/>
      <w:marTop w:val="0"/>
      <w:marBottom w:val="0"/>
      <w:divBdr>
        <w:top w:val="none" w:sz="0" w:space="0" w:color="auto"/>
        <w:left w:val="none" w:sz="0" w:space="0" w:color="auto"/>
        <w:bottom w:val="none" w:sz="0" w:space="0" w:color="auto"/>
        <w:right w:val="none" w:sz="0" w:space="0" w:color="auto"/>
      </w:divBdr>
    </w:div>
    <w:div w:id="1502311254">
      <w:marLeft w:val="480"/>
      <w:marRight w:val="0"/>
      <w:marTop w:val="0"/>
      <w:marBottom w:val="0"/>
      <w:divBdr>
        <w:top w:val="none" w:sz="0" w:space="0" w:color="auto"/>
        <w:left w:val="none" w:sz="0" w:space="0" w:color="auto"/>
        <w:bottom w:val="none" w:sz="0" w:space="0" w:color="auto"/>
        <w:right w:val="none" w:sz="0" w:space="0" w:color="auto"/>
      </w:divBdr>
    </w:div>
    <w:div w:id="1503885577">
      <w:marLeft w:val="480"/>
      <w:marRight w:val="0"/>
      <w:marTop w:val="0"/>
      <w:marBottom w:val="0"/>
      <w:divBdr>
        <w:top w:val="none" w:sz="0" w:space="0" w:color="auto"/>
        <w:left w:val="none" w:sz="0" w:space="0" w:color="auto"/>
        <w:bottom w:val="none" w:sz="0" w:space="0" w:color="auto"/>
        <w:right w:val="none" w:sz="0" w:space="0" w:color="auto"/>
      </w:divBdr>
    </w:div>
    <w:div w:id="1505901117">
      <w:marLeft w:val="480"/>
      <w:marRight w:val="0"/>
      <w:marTop w:val="0"/>
      <w:marBottom w:val="0"/>
      <w:divBdr>
        <w:top w:val="none" w:sz="0" w:space="0" w:color="auto"/>
        <w:left w:val="none" w:sz="0" w:space="0" w:color="auto"/>
        <w:bottom w:val="none" w:sz="0" w:space="0" w:color="auto"/>
        <w:right w:val="none" w:sz="0" w:space="0" w:color="auto"/>
      </w:divBdr>
    </w:div>
    <w:div w:id="1512645974">
      <w:marLeft w:val="480"/>
      <w:marRight w:val="0"/>
      <w:marTop w:val="0"/>
      <w:marBottom w:val="0"/>
      <w:divBdr>
        <w:top w:val="none" w:sz="0" w:space="0" w:color="auto"/>
        <w:left w:val="none" w:sz="0" w:space="0" w:color="auto"/>
        <w:bottom w:val="none" w:sz="0" w:space="0" w:color="auto"/>
        <w:right w:val="none" w:sz="0" w:space="0" w:color="auto"/>
      </w:divBdr>
    </w:div>
    <w:div w:id="1514149621">
      <w:marLeft w:val="480"/>
      <w:marRight w:val="0"/>
      <w:marTop w:val="0"/>
      <w:marBottom w:val="0"/>
      <w:divBdr>
        <w:top w:val="none" w:sz="0" w:space="0" w:color="auto"/>
        <w:left w:val="none" w:sz="0" w:space="0" w:color="auto"/>
        <w:bottom w:val="none" w:sz="0" w:space="0" w:color="auto"/>
        <w:right w:val="none" w:sz="0" w:space="0" w:color="auto"/>
      </w:divBdr>
    </w:div>
    <w:div w:id="1515608129">
      <w:marLeft w:val="480"/>
      <w:marRight w:val="0"/>
      <w:marTop w:val="0"/>
      <w:marBottom w:val="0"/>
      <w:divBdr>
        <w:top w:val="none" w:sz="0" w:space="0" w:color="auto"/>
        <w:left w:val="none" w:sz="0" w:space="0" w:color="auto"/>
        <w:bottom w:val="none" w:sz="0" w:space="0" w:color="auto"/>
        <w:right w:val="none" w:sz="0" w:space="0" w:color="auto"/>
      </w:divBdr>
    </w:div>
    <w:div w:id="1522276710">
      <w:marLeft w:val="480"/>
      <w:marRight w:val="0"/>
      <w:marTop w:val="0"/>
      <w:marBottom w:val="0"/>
      <w:divBdr>
        <w:top w:val="none" w:sz="0" w:space="0" w:color="auto"/>
        <w:left w:val="none" w:sz="0" w:space="0" w:color="auto"/>
        <w:bottom w:val="none" w:sz="0" w:space="0" w:color="auto"/>
        <w:right w:val="none" w:sz="0" w:space="0" w:color="auto"/>
      </w:divBdr>
    </w:div>
    <w:div w:id="1525095467">
      <w:marLeft w:val="480"/>
      <w:marRight w:val="0"/>
      <w:marTop w:val="0"/>
      <w:marBottom w:val="0"/>
      <w:divBdr>
        <w:top w:val="none" w:sz="0" w:space="0" w:color="auto"/>
        <w:left w:val="none" w:sz="0" w:space="0" w:color="auto"/>
        <w:bottom w:val="none" w:sz="0" w:space="0" w:color="auto"/>
        <w:right w:val="none" w:sz="0" w:space="0" w:color="auto"/>
      </w:divBdr>
    </w:div>
    <w:div w:id="1527479494">
      <w:marLeft w:val="480"/>
      <w:marRight w:val="0"/>
      <w:marTop w:val="0"/>
      <w:marBottom w:val="0"/>
      <w:divBdr>
        <w:top w:val="none" w:sz="0" w:space="0" w:color="auto"/>
        <w:left w:val="none" w:sz="0" w:space="0" w:color="auto"/>
        <w:bottom w:val="none" w:sz="0" w:space="0" w:color="auto"/>
        <w:right w:val="none" w:sz="0" w:space="0" w:color="auto"/>
      </w:divBdr>
    </w:div>
    <w:div w:id="1531986782">
      <w:marLeft w:val="480"/>
      <w:marRight w:val="0"/>
      <w:marTop w:val="0"/>
      <w:marBottom w:val="0"/>
      <w:divBdr>
        <w:top w:val="none" w:sz="0" w:space="0" w:color="auto"/>
        <w:left w:val="none" w:sz="0" w:space="0" w:color="auto"/>
        <w:bottom w:val="none" w:sz="0" w:space="0" w:color="auto"/>
        <w:right w:val="none" w:sz="0" w:space="0" w:color="auto"/>
      </w:divBdr>
    </w:div>
    <w:div w:id="1532955411">
      <w:marLeft w:val="480"/>
      <w:marRight w:val="0"/>
      <w:marTop w:val="0"/>
      <w:marBottom w:val="0"/>
      <w:divBdr>
        <w:top w:val="none" w:sz="0" w:space="0" w:color="auto"/>
        <w:left w:val="none" w:sz="0" w:space="0" w:color="auto"/>
        <w:bottom w:val="none" w:sz="0" w:space="0" w:color="auto"/>
        <w:right w:val="none" w:sz="0" w:space="0" w:color="auto"/>
      </w:divBdr>
    </w:div>
    <w:div w:id="1533150561">
      <w:marLeft w:val="480"/>
      <w:marRight w:val="0"/>
      <w:marTop w:val="0"/>
      <w:marBottom w:val="0"/>
      <w:divBdr>
        <w:top w:val="none" w:sz="0" w:space="0" w:color="auto"/>
        <w:left w:val="none" w:sz="0" w:space="0" w:color="auto"/>
        <w:bottom w:val="none" w:sz="0" w:space="0" w:color="auto"/>
        <w:right w:val="none" w:sz="0" w:space="0" w:color="auto"/>
      </w:divBdr>
    </w:div>
    <w:div w:id="1533877170">
      <w:marLeft w:val="480"/>
      <w:marRight w:val="0"/>
      <w:marTop w:val="0"/>
      <w:marBottom w:val="0"/>
      <w:divBdr>
        <w:top w:val="none" w:sz="0" w:space="0" w:color="auto"/>
        <w:left w:val="none" w:sz="0" w:space="0" w:color="auto"/>
        <w:bottom w:val="none" w:sz="0" w:space="0" w:color="auto"/>
        <w:right w:val="none" w:sz="0" w:space="0" w:color="auto"/>
      </w:divBdr>
    </w:div>
    <w:div w:id="1536381537">
      <w:bodyDiv w:val="1"/>
      <w:marLeft w:val="0"/>
      <w:marRight w:val="0"/>
      <w:marTop w:val="0"/>
      <w:marBottom w:val="0"/>
      <w:divBdr>
        <w:top w:val="none" w:sz="0" w:space="0" w:color="auto"/>
        <w:left w:val="none" w:sz="0" w:space="0" w:color="auto"/>
        <w:bottom w:val="none" w:sz="0" w:space="0" w:color="auto"/>
        <w:right w:val="none" w:sz="0" w:space="0" w:color="auto"/>
      </w:divBdr>
    </w:div>
    <w:div w:id="1538010853">
      <w:marLeft w:val="480"/>
      <w:marRight w:val="0"/>
      <w:marTop w:val="0"/>
      <w:marBottom w:val="0"/>
      <w:divBdr>
        <w:top w:val="none" w:sz="0" w:space="0" w:color="auto"/>
        <w:left w:val="none" w:sz="0" w:space="0" w:color="auto"/>
        <w:bottom w:val="none" w:sz="0" w:space="0" w:color="auto"/>
        <w:right w:val="none" w:sz="0" w:space="0" w:color="auto"/>
      </w:divBdr>
    </w:div>
    <w:div w:id="1539589542">
      <w:marLeft w:val="480"/>
      <w:marRight w:val="0"/>
      <w:marTop w:val="0"/>
      <w:marBottom w:val="0"/>
      <w:divBdr>
        <w:top w:val="none" w:sz="0" w:space="0" w:color="auto"/>
        <w:left w:val="none" w:sz="0" w:space="0" w:color="auto"/>
        <w:bottom w:val="none" w:sz="0" w:space="0" w:color="auto"/>
        <w:right w:val="none" w:sz="0" w:space="0" w:color="auto"/>
      </w:divBdr>
    </w:div>
    <w:div w:id="1541554933">
      <w:marLeft w:val="480"/>
      <w:marRight w:val="0"/>
      <w:marTop w:val="0"/>
      <w:marBottom w:val="0"/>
      <w:divBdr>
        <w:top w:val="none" w:sz="0" w:space="0" w:color="auto"/>
        <w:left w:val="none" w:sz="0" w:space="0" w:color="auto"/>
        <w:bottom w:val="none" w:sz="0" w:space="0" w:color="auto"/>
        <w:right w:val="none" w:sz="0" w:space="0" w:color="auto"/>
      </w:divBdr>
    </w:div>
    <w:div w:id="1551305574">
      <w:marLeft w:val="480"/>
      <w:marRight w:val="0"/>
      <w:marTop w:val="0"/>
      <w:marBottom w:val="0"/>
      <w:divBdr>
        <w:top w:val="none" w:sz="0" w:space="0" w:color="auto"/>
        <w:left w:val="none" w:sz="0" w:space="0" w:color="auto"/>
        <w:bottom w:val="none" w:sz="0" w:space="0" w:color="auto"/>
        <w:right w:val="none" w:sz="0" w:space="0" w:color="auto"/>
      </w:divBdr>
    </w:div>
    <w:div w:id="1561212666">
      <w:marLeft w:val="480"/>
      <w:marRight w:val="0"/>
      <w:marTop w:val="0"/>
      <w:marBottom w:val="0"/>
      <w:divBdr>
        <w:top w:val="none" w:sz="0" w:space="0" w:color="auto"/>
        <w:left w:val="none" w:sz="0" w:space="0" w:color="auto"/>
        <w:bottom w:val="none" w:sz="0" w:space="0" w:color="auto"/>
        <w:right w:val="none" w:sz="0" w:space="0" w:color="auto"/>
      </w:divBdr>
    </w:div>
    <w:div w:id="1562787703">
      <w:marLeft w:val="480"/>
      <w:marRight w:val="0"/>
      <w:marTop w:val="0"/>
      <w:marBottom w:val="0"/>
      <w:divBdr>
        <w:top w:val="none" w:sz="0" w:space="0" w:color="auto"/>
        <w:left w:val="none" w:sz="0" w:space="0" w:color="auto"/>
        <w:bottom w:val="none" w:sz="0" w:space="0" w:color="auto"/>
        <w:right w:val="none" w:sz="0" w:space="0" w:color="auto"/>
      </w:divBdr>
    </w:div>
    <w:div w:id="1567836906">
      <w:marLeft w:val="480"/>
      <w:marRight w:val="0"/>
      <w:marTop w:val="0"/>
      <w:marBottom w:val="0"/>
      <w:divBdr>
        <w:top w:val="none" w:sz="0" w:space="0" w:color="auto"/>
        <w:left w:val="none" w:sz="0" w:space="0" w:color="auto"/>
        <w:bottom w:val="none" w:sz="0" w:space="0" w:color="auto"/>
        <w:right w:val="none" w:sz="0" w:space="0" w:color="auto"/>
      </w:divBdr>
    </w:div>
    <w:div w:id="1572084839">
      <w:marLeft w:val="480"/>
      <w:marRight w:val="0"/>
      <w:marTop w:val="0"/>
      <w:marBottom w:val="0"/>
      <w:divBdr>
        <w:top w:val="none" w:sz="0" w:space="0" w:color="auto"/>
        <w:left w:val="none" w:sz="0" w:space="0" w:color="auto"/>
        <w:bottom w:val="none" w:sz="0" w:space="0" w:color="auto"/>
        <w:right w:val="none" w:sz="0" w:space="0" w:color="auto"/>
      </w:divBdr>
    </w:div>
    <w:div w:id="1580747051">
      <w:marLeft w:val="480"/>
      <w:marRight w:val="0"/>
      <w:marTop w:val="0"/>
      <w:marBottom w:val="0"/>
      <w:divBdr>
        <w:top w:val="none" w:sz="0" w:space="0" w:color="auto"/>
        <w:left w:val="none" w:sz="0" w:space="0" w:color="auto"/>
        <w:bottom w:val="none" w:sz="0" w:space="0" w:color="auto"/>
        <w:right w:val="none" w:sz="0" w:space="0" w:color="auto"/>
      </w:divBdr>
    </w:div>
    <w:div w:id="1581714312">
      <w:marLeft w:val="480"/>
      <w:marRight w:val="0"/>
      <w:marTop w:val="0"/>
      <w:marBottom w:val="0"/>
      <w:divBdr>
        <w:top w:val="none" w:sz="0" w:space="0" w:color="auto"/>
        <w:left w:val="none" w:sz="0" w:space="0" w:color="auto"/>
        <w:bottom w:val="none" w:sz="0" w:space="0" w:color="auto"/>
        <w:right w:val="none" w:sz="0" w:space="0" w:color="auto"/>
      </w:divBdr>
    </w:div>
    <w:div w:id="1588533104">
      <w:marLeft w:val="480"/>
      <w:marRight w:val="0"/>
      <w:marTop w:val="0"/>
      <w:marBottom w:val="0"/>
      <w:divBdr>
        <w:top w:val="none" w:sz="0" w:space="0" w:color="auto"/>
        <w:left w:val="none" w:sz="0" w:space="0" w:color="auto"/>
        <w:bottom w:val="none" w:sz="0" w:space="0" w:color="auto"/>
        <w:right w:val="none" w:sz="0" w:space="0" w:color="auto"/>
      </w:divBdr>
    </w:div>
    <w:div w:id="1606379521">
      <w:marLeft w:val="480"/>
      <w:marRight w:val="0"/>
      <w:marTop w:val="0"/>
      <w:marBottom w:val="0"/>
      <w:divBdr>
        <w:top w:val="none" w:sz="0" w:space="0" w:color="auto"/>
        <w:left w:val="none" w:sz="0" w:space="0" w:color="auto"/>
        <w:bottom w:val="none" w:sz="0" w:space="0" w:color="auto"/>
        <w:right w:val="none" w:sz="0" w:space="0" w:color="auto"/>
      </w:divBdr>
    </w:div>
    <w:div w:id="1637566352">
      <w:marLeft w:val="480"/>
      <w:marRight w:val="0"/>
      <w:marTop w:val="0"/>
      <w:marBottom w:val="0"/>
      <w:divBdr>
        <w:top w:val="none" w:sz="0" w:space="0" w:color="auto"/>
        <w:left w:val="none" w:sz="0" w:space="0" w:color="auto"/>
        <w:bottom w:val="none" w:sz="0" w:space="0" w:color="auto"/>
        <w:right w:val="none" w:sz="0" w:space="0" w:color="auto"/>
      </w:divBdr>
    </w:div>
    <w:div w:id="1645313553">
      <w:marLeft w:val="480"/>
      <w:marRight w:val="0"/>
      <w:marTop w:val="0"/>
      <w:marBottom w:val="0"/>
      <w:divBdr>
        <w:top w:val="none" w:sz="0" w:space="0" w:color="auto"/>
        <w:left w:val="none" w:sz="0" w:space="0" w:color="auto"/>
        <w:bottom w:val="none" w:sz="0" w:space="0" w:color="auto"/>
        <w:right w:val="none" w:sz="0" w:space="0" w:color="auto"/>
      </w:divBdr>
    </w:div>
    <w:div w:id="1655521754">
      <w:marLeft w:val="480"/>
      <w:marRight w:val="0"/>
      <w:marTop w:val="0"/>
      <w:marBottom w:val="0"/>
      <w:divBdr>
        <w:top w:val="none" w:sz="0" w:space="0" w:color="auto"/>
        <w:left w:val="none" w:sz="0" w:space="0" w:color="auto"/>
        <w:bottom w:val="none" w:sz="0" w:space="0" w:color="auto"/>
        <w:right w:val="none" w:sz="0" w:space="0" w:color="auto"/>
      </w:divBdr>
    </w:div>
    <w:div w:id="1659571140">
      <w:marLeft w:val="480"/>
      <w:marRight w:val="0"/>
      <w:marTop w:val="0"/>
      <w:marBottom w:val="0"/>
      <w:divBdr>
        <w:top w:val="none" w:sz="0" w:space="0" w:color="auto"/>
        <w:left w:val="none" w:sz="0" w:space="0" w:color="auto"/>
        <w:bottom w:val="none" w:sz="0" w:space="0" w:color="auto"/>
        <w:right w:val="none" w:sz="0" w:space="0" w:color="auto"/>
      </w:divBdr>
    </w:div>
    <w:div w:id="1661301277">
      <w:marLeft w:val="480"/>
      <w:marRight w:val="0"/>
      <w:marTop w:val="0"/>
      <w:marBottom w:val="0"/>
      <w:divBdr>
        <w:top w:val="none" w:sz="0" w:space="0" w:color="auto"/>
        <w:left w:val="none" w:sz="0" w:space="0" w:color="auto"/>
        <w:bottom w:val="none" w:sz="0" w:space="0" w:color="auto"/>
        <w:right w:val="none" w:sz="0" w:space="0" w:color="auto"/>
      </w:divBdr>
    </w:div>
    <w:div w:id="1662350978">
      <w:marLeft w:val="480"/>
      <w:marRight w:val="0"/>
      <w:marTop w:val="0"/>
      <w:marBottom w:val="0"/>
      <w:divBdr>
        <w:top w:val="none" w:sz="0" w:space="0" w:color="auto"/>
        <w:left w:val="none" w:sz="0" w:space="0" w:color="auto"/>
        <w:bottom w:val="none" w:sz="0" w:space="0" w:color="auto"/>
        <w:right w:val="none" w:sz="0" w:space="0" w:color="auto"/>
      </w:divBdr>
    </w:div>
    <w:div w:id="1665091190">
      <w:bodyDiv w:val="1"/>
      <w:marLeft w:val="0"/>
      <w:marRight w:val="0"/>
      <w:marTop w:val="0"/>
      <w:marBottom w:val="0"/>
      <w:divBdr>
        <w:top w:val="none" w:sz="0" w:space="0" w:color="auto"/>
        <w:left w:val="none" w:sz="0" w:space="0" w:color="auto"/>
        <w:bottom w:val="none" w:sz="0" w:space="0" w:color="auto"/>
        <w:right w:val="none" w:sz="0" w:space="0" w:color="auto"/>
      </w:divBdr>
    </w:div>
    <w:div w:id="1668553525">
      <w:marLeft w:val="480"/>
      <w:marRight w:val="0"/>
      <w:marTop w:val="0"/>
      <w:marBottom w:val="0"/>
      <w:divBdr>
        <w:top w:val="none" w:sz="0" w:space="0" w:color="auto"/>
        <w:left w:val="none" w:sz="0" w:space="0" w:color="auto"/>
        <w:bottom w:val="none" w:sz="0" w:space="0" w:color="auto"/>
        <w:right w:val="none" w:sz="0" w:space="0" w:color="auto"/>
      </w:divBdr>
    </w:div>
    <w:div w:id="1668702215">
      <w:marLeft w:val="480"/>
      <w:marRight w:val="0"/>
      <w:marTop w:val="0"/>
      <w:marBottom w:val="0"/>
      <w:divBdr>
        <w:top w:val="none" w:sz="0" w:space="0" w:color="auto"/>
        <w:left w:val="none" w:sz="0" w:space="0" w:color="auto"/>
        <w:bottom w:val="none" w:sz="0" w:space="0" w:color="auto"/>
        <w:right w:val="none" w:sz="0" w:space="0" w:color="auto"/>
      </w:divBdr>
    </w:div>
    <w:div w:id="1671788496">
      <w:marLeft w:val="480"/>
      <w:marRight w:val="0"/>
      <w:marTop w:val="0"/>
      <w:marBottom w:val="0"/>
      <w:divBdr>
        <w:top w:val="none" w:sz="0" w:space="0" w:color="auto"/>
        <w:left w:val="none" w:sz="0" w:space="0" w:color="auto"/>
        <w:bottom w:val="none" w:sz="0" w:space="0" w:color="auto"/>
        <w:right w:val="none" w:sz="0" w:space="0" w:color="auto"/>
      </w:divBdr>
    </w:div>
    <w:div w:id="1672367686">
      <w:marLeft w:val="480"/>
      <w:marRight w:val="0"/>
      <w:marTop w:val="0"/>
      <w:marBottom w:val="0"/>
      <w:divBdr>
        <w:top w:val="none" w:sz="0" w:space="0" w:color="auto"/>
        <w:left w:val="none" w:sz="0" w:space="0" w:color="auto"/>
        <w:bottom w:val="none" w:sz="0" w:space="0" w:color="auto"/>
        <w:right w:val="none" w:sz="0" w:space="0" w:color="auto"/>
      </w:divBdr>
    </w:div>
    <w:div w:id="1672954315">
      <w:marLeft w:val="480"/>
      <w:marRight w:val="0"/>
      <w:marTop w:val="0"/>
      <w:marBottom w:val="0"/>
      <w:divBdr>
        <w:top w:val="none" w:sz="0" w:space="0" w:color="auto"/>
        <w:left w:val="none" w:sz="0" w:space="0" w:color="auto"/>
        <w:bottom w:val="none" w:sz="0" w:space="0" w:color="auto"/>
        <w:right w:val="none" w:sz="0" w:space="0" w:color="auto"/>
      </w:divBdr>
    </w:div>
    <w:div w:id="1674717280">
      <w:marLeft w:val="480"/>
      <w:marRight w:val="0"/>
      <w:marTop w:val="0"/>
      <w:marBottom w:val="0"/>
      <w:divBdr>
        <w:top w:val="none" w:sz="0" w:space="0" w:color="auto"/>
        <w:left w:val="none" w:sz="0" w:space="0" w:color="auto"/>
        <w:bottom w:val="none" w:sz="0" w:space="0" w:color="auto"/>
        <w:right w:val="none" w:sz="0" w:space="0" w:color="auto"/>
      </w:divBdr>
    </w:div>
    <w:div w:id="1684475453">
      <w:marLeft w:val="480"/>
      <w:marRight w:val="0"/>
      <w:marTop w:val="0"/>
      <w:marBottom w:val="0"/>
      <w:divBdr>
        <w:top w:val="none" w:sz="0" w:space="0" w:color="auto"/>
        <w:left w:val="none" w:sz="0" w:space="0" w:color="auto"/>
        <w:bottom w:val="none" w:sz="0" w:space="0" w:color="auto"/>
        <w:right w:val="none" w:sz="0" w:space="0" w:color="auto"/>
      </w:divBdr>
    </w:div>
    <w:div w:id="1687247222">
      <w:marLeft w:val="480"/>
      <w:marRight w:val="0"/>
      <w:marTop w:val="0"/>
      <w:marBottom w:val="0"/>
      <w:divBdr>
        <w:top w:val="none" w:sz="0" w:space="0" w:color="auto"/>
        <w:left w:val="none" w:sz="0" w:space="0" w:color="auto"/>
        <w:bottom w:val="none" w:sz="0" w:space="0" w:color="auto"/>
        <w:right w:val="none" w:sz="0" w:space="0" w:color="auto"/>
      </w:divBdr>
    </w:div>
    <w:div w:id="1687516339">
      <w:marLeft w:val="480"/>
      <w:marRight w:val="0"/>
      <w:marTop w:val="0"/>
      <w:marBottom w:val="0"/>
      <w:divBdr>
        <w:top w:val="none" w:sz="0" w:space="0" w:color="auto"/>
        <w:left w:val="none" w:sz="0" w:space="0" w:color="auto"/>
        <w:bottom w:val="none" w:sz="0" w:space="0" w:color="auto"/>
        <w:right w:val="none" w:sz="0" w:space="0" w:color="auto"/>
      </w:divBdr>
    </w:div>
    <w:div w:id="1691637391">
      <w:bodyDiv w:val="1"/>
      <w:marLeft w:val="0"/>
      <w:marRight w:val="0"/>
      <w:marTop w:val="0"/>
      <w:marBottom w:val="0"/>
      <w:divBdr>
        <w:top w:val="none" w:sz="0" w:space="0" w:color="auto"/>
        <w:left w:val="none" w:sz="0" w:space="0" w:color="auto"/>
        <w:bottom w:val="none" w:sz="0" w:space="0" w:color="auto"/>
        <w:right w:val="none" w:sz="0" w:space="0" w:color="auto"/>
      </w:divBdr>
    </w:div>
    <w:div w:id="1694531239">
      <w:marLeft w:val="480"/>
      <w:marRight w:val="0"/>
      <w:marTop w:val="0"/>
      <w:marBottom w:val="0"/>
      <w:divBdr>
        <w:top w:val="none" w:sz="0" w:space="0" w:color="auto"/>
        <w:left w:val="none" w:sz="0" w:space="0" w:color="auto"/>
        <w:bottom w:val="none" w:sz="0" w:space="0" w:color="auto"/>
        <w:right w:val="none" w:sz="0" w:space="0" w:color="auto"/>
      </w:divBdr>
    </w:div>
    <w:div w:id="1696536922">
      <w:marLeft w:val="480"/>
      <w:marRight w:val="0"/>
      <w:marTop w:val="0"/>
      <w:marBottom w:val="0"/>
      <w:divBdr>
        <w:top w:val="none" w:sz="0" w:space="0" w:color="auto"/>
        <w:left w:val="none" w:sz="0" w:space="0" w:color="auto"/>
        <w:bottom w:val="none" w:sz="0" w:space="0" w:color="auto"/>
        <w:right w:val="none" w:sz="0" w:space="0" w:color="auto"/>
      </w:divBdr>
    </w:div>
    <w:div w:id="1698966420">
      <w:marLeft w:val="480"/>
      <w:marRight w:val="0"/>
      <w:marTop w:val="0"/>
      <w:marBottom w:val="0"/>
      <w:divBdr>
        <w:top w:val="none" w:sz="0" w:space="0" w:color="auto"/>
        <w:left w:val="none" w:sz="0" w:space="0" w:color="auto"/>
        <w:bottom w:val="none" w:sz="0" w:space="0" w:color="auto"/>
        <w:right w:val="none" w:sz="0" w:space="0" w:color="auto"/>
      </w:divBdr>
    </w:div>
    <w:div w:id="1701666845">
      <w:marLeft w:val="480"/>
      <w:marRight w:val="0"/>
      <w:marTop w:val="0"/>
      <w:marBottom w:val="0"/>
      <w:divBdr>
        <w:top w:val="none" w:sz="0" w:space="0" w:color="auto"/>
        <w:left w:val="none" w:sz="0" w:space="0" w:color="auto"/>
        <w:bottom w:val="none" w:sz="0" w:space="0" w:color="auto"/>
        <w:right w:val="none" w:sz="0" w:space="0" w:color="auto"/>
      </w:divBdr>
    </w:div>
    <w:div w:id="1702776415">
      <w:marLeft w:val="480"/>
      <w:marRight w:val="0"/>
      <w:marTop w:val="0"/>
      <w:marBottom w:val="0"/>
      <w:divBdr>
        <w:top w:val="none" w:sz="0" w:space="0" w:color="auto"/>
        <w:left w:val="none" w:sz="0" w:space="0" w:color="auto"/>
        <w:bottom w:val="none" w:sz="0" w:space="0" w:color="auto"/>
        <w:right w:val="none" w:sz="0" w:space="0" w:color="auto"/>
      </w:divBdr>
    </w:div>
    <w:div w:id="1708948891">
      <w:marLeft w:val="480"/>
      <w:marRight w:val="0"/>
      <w:marTop w:val="0"/>
      <w:marBottom w:val="0"/>
      <w:divBdr>
        <w:top w:val="none" w:sz="0" w:space="0" w:color="auto"/>
        <w:left w:val="none" w:sz="0" w:space="0" w:color="auto"/>
        <w:bottom w:val="none" w:sz="0" w:space="0" w:color="auto"/>
        <w:right w:val="none" w:sz="0" w:space="0" w:color="auto"/>
      </w:divBdr>
    </w:div>
    <w:div w:id="1721782932">
      <w:marLeft w:val="480"/>
      <w:marRight w:val="0"/>
      <w:marTop w:val="0"/>
      <w:marBottom w:val="0"/>
      <w:divBdr>
        <w:top w:val="none" w:sz="0" w:space="0" w:color="auto"/>
        <w:left w:val="none" w:sz="0" w:space="0" w:color="auto"/>
        <w:bottom w:val="none" w:sz="0" w:space="0" w:color="auto"/>
        <w:right w:val="none" w:sz="0" w:space="0" w:color="auto"/>
      </w:divBdr>
    </w:div>
    <w:div w:id="1724668935">
      <w:marLeft w:val="480"/>
      <w:marRight w:val="0"/>
      <w:marTop w:val="0"/>
      <w:marBottom w:val="0"/>
      <w:divBdr>
        <w:top w:val="none" w:sz="0" w:space="0" w:color="auto"/>
        <w:left w:val="none" w:sz="0" w:space="0" w:color="auto"/>
        <w:bottom w:val="none" w:sz="0" w:space="0" w:color="auto"/>
        <w:right w:val="none" w:sz="0" w:space="0" w:color="auto"/>
      </w:divBdr>
    </w:div>
    <w:div w:id="1725179835">
      <w:marLeft w:val="480"/>
      <w:marRight w:val="0"/>
      <w:marTop w:val="0"/>
      <w:marBottom w:val="0"/>
      <w:divBdr>
        <w:top w:val="none" w:sz="0" w:space="0" w:color="auto"/>
        <w:left w:val="none" w:sz="0" w:space="0" w:color="auto"/>
        <w:bottom w:val="none" w:sz="0" w:space="0" w:color="auto"/>
        <w:right w:val="none" w:sz="0" w:space="0" w:color="auto"/>
      </w:divBdr>
    </w:div>
    <w:div w:id="1731342655">
      <w:marLeft w:val="480"/>
      <w:marRight w:val="0"/>
      <w:marTop w:val="0"/>
      <w:marBottom w:val="0"/>
      <w:divBdr>
        <w:top w:val="none" w:sz="0" w:space="0" w:color="auto"/>
        <w:left w:val="none" w:sz="0" w:space="0" w:color="auto"/>
        <w:bottom w:val="none" w:sz="0" w:space="0" w:color="auto"/>
        <w:right w:val="none" w:sz="0" w:space="0" w:color="auto"/>
      </w:divBdr>
    </w:div>
    <w:div w:id="1738360413">
      <w:marLeft w:val="480"/>
      <w:marRight w:val="0"/>
      <w:marTop w:val="0"/>
      <w:marBottom w:val="0"/>
      <w:divBdr>
        <w:top w:val="none" w:sz="0" w:space="0" w:color="auto"/>
        <w:left w:val="none" w:sz="0" w:space="0" w:color="auto"/>
        <w:bottom w:val="none" w:sz="0" w:space="0" w:color="auto"/>
        <w:right w:val="none" w:sz="0" w:space="0" w:color="auto"/>
      </w:divBdr>
    </w:div>
    <w:div w:id="1739092112">
      <w:marLeft w:val="480"/>
      <w:marRight w:val="0"/>
      <w:marTop w:val="0"/>
      <w:marBottom w:val="0"/>
      <w:divBdr>
        <w:top w:val="none" w:sz="0" w:space="0" w:color="auto"/>
        <w:left w:val="none" w:sz="0" w:space="0" w:color="auto"/>
        <w:bottom w:val="none" w:sz="0" w:space="0" w:color="auto"/>
        <w:right w:val="none" w:sz="0" w:space="0" w:color="auto"/>
      </w:divBdr>
    </w:div>
    <w:div w:id="1743020997">
      <w:marLeft w:val="480"/>
      <w:marRight w:val="0"/>
      <w:marTop w:val="0"/>
      <w:marBottom w:val="0"/>
      <w:divBdr>
        <w:top w:val="none" w:sz="0" w:space="0" w:color="auto"/>
        <w:left w:val="none" w:sz="0" w:space="0" w:color="auto"/>
        <w:bottom w:val="none" w:sz="0" w:space="0" w:color="auto"/>
        <w:right w:val="none" w:sz="0" w:space="0" w:color="auto"/>
      </w:divBdr>
    </w:div>
    <w:div w:id="1743722854">
      <w:marLeft w:val="480"/>
      <w:marRight w:val="0"/>
      <w:marTop w:val="0"/>
      <w:marBottom w:val="0"/>
      <w:divBdr>
        <w:top w:val="none" w:sz="0" w:space="0" w:color="auto"/>
        <w:left w:val="none" w:sz="0" w:space="0" w:color="auto"/>
        <w:bottom w:val="none" w:sz="0" w:space="0" w:color="auto"/>
        <w:right w:val="none" w:sz="0" w:space="0" w:color="auto"/>
      </w:divBdr>
    </w:div>
    <w:div w:id="1744793280">
      <w:marLeft w:val="480"/>
      <w:marRight w:val="0"/>
      <w:marTop w:val="0"/>
      <w:marBottom w:val="0"/>
      <w:divBdr>
        <w:top w:val="none" w:sz="0" w:space="0" w:color="auto"/>
        <w:left w:val="none" w:sz="0" w:space="0" w:color="auto"/>
        <w:bottom w:val="none" w:sz="0" w:space="0" w:color="auto"/>
        <w:right w:val="none" w:sz="0" w:space="0" w:color="auto"/>
      </w:divBdr>
    </w:div>
    <w:div w:id="1748725882">
      <w:marLeft w:val="480"/>
      <w:marRight w:val="0"/>
      <w:marTop w:val="0"/>
      <w:marBottom w:val="0"/>
      <w:divBdr>
        <w:top w:val="none" w:sz="0" w:space="0" w:color="auto"/>
        <w:left w:val="none" w:sz="0" w:space="0" w:color="auto"/>
        <w:bottom w:val="none" w:sz="0" w:space="0" w:color="auto"/>
        <w:right w:val="none" w:sz="0" w:space="0" w:color="auto"/>
      </w:divBdr>
    </w:div>
    <w:div w:id="1758474078">
      <w:marLeft w:val="480"/>
      <w:marRight w:val="0"/>
      <w:marTop w:val="0"/>
      <w:marBottom w:val="0"/>
      <w:divBdr>
        <w:top w:val="none" w:sz="0" w:space="0" w:color="auto"/>
        <w:left w:val="none" w:sz="0" w:space="0" w:color="auto"/>
        <w:bottom w:val="none" w:sz="0" w:space="0" w:color="auto"/>
        <w:right w:val="none" w:sz="0" w:space="0" w:color="auto"/>
      </w:divBdr>
    </w:div>
    <w:div w:id="1768233400">
      <w:marLeft w:val="480"/>
      <w:marRight w:val="0"/>
      <w:marTop w:val="0"/>
      <w:marBottom w:val="0"/>
      <w:divBdr>
        <w:top w:val="none" w:sz="0" w:space="0" w:color="auto"/>
        <w:left w:val="none" w:sz="0" w:space="0" w:color="auto"/>
        <w:bottom w:val="none" w:sz="0" w:space="0" w:color="auto"/>
        <w:right w:val="none" w:sz="0" w:space="0" w:color="auto"/>
      </w:divBdr>
    </w:div>
    <w:div w:id="1772776348">
      <w:marLeft w:val="480"/>
      <w:marRight w:val="0"/>
      <w:marTop w:val="0"/>
      <w:marBottom w:val="0"/>
      <w:divBdr>
        <w:top w:val="none" w:sz="0" w:space="0" w:color="auto"/>
        <w:left w:val="none" w:sz="0" w:space="0" w:color="auto"/>
        <w:bottom w:val="none" w:sz="0" w:space="0" w:color="auto"/>
        <w:right w:val="none" w:sz="0" w:space="0" w:color="auto"/>
      </w:divBdr>
    </w:div>
    <w:div w:id="1774935241">
      <w:marLeft w:val="480"/>
      <w:marRight w:val="0"/>
      <w:marTop w:val="0"/>
      <w:marBottom w:val="0"/>
      <w:divBdr>
        <w:top w:val="none" w:sz="0" w:space="0" w:color="auto"/>
        <w:left w:val="none" w:sz="0" w:space="0" w:color="auto"/>
        <w:bottom w:val="none" w:sz="0" w:space="0" w:color="auto"/>
        <w:right w:val="none" w:sz="0" w:space="0" w:color="auto"/>
      </w:divBdr>
    </w:div>
    <w:div w:id="1784113773">
      <w:marLeft w:val="480"/>
      <w:marRight w:val="0"/>
      <w:marTop w:val="0"/>
      <w:marBottom w:val="0"/>
      <w:divBdr>
        <w:top w:val="none" w:sz="0" w:space="0" w:color="auto"/>
        <w:left w:val="none" w:sz="0" w:space="0" w:color="auto"/>
        <w:bottom w:val="none" w:sz="0" w:space="0" w:color="auto"/>
        <w:right w:val="none" w:sz="0" w:space="0" w:color="auto"/>
      </w:divBdr>
    </w:div>
    <w:div w:id="1785494302">
      <w:marLeft w:val="480"/>
      <w:marRight w:val="0"/>
      <w:marTop w:val="0"/>
      <w:marBottom w:val="0"/>
      <w:divBdr>
        <w:top w:val="none" w:sz="0" w:space="0" w:color="auto"/>
        <w:left w:val="none" w:sz="0" w:space="0" w:color="auto"/>
        <w:bottom w:val="none" w:sz="0" w:space="0" w:color="auto"/>
        <w:right w:val="none" w:sz="0" w:space="0" w:color="auto"/>
      </w:divBdr>
    </w:div>
    <w:div w:id="1786384372">
      <w:marLeft w:val="480"/>
      <w:marRight w:val="0"/>
      <w:marTop w:val="0"/>
      <w:marBottom w:val="0"/>
      <w:divBdr>
        <w:top w:val="none" w:sz="0" w:space="0" w:color="auto"/>
        <w:left w:val="none" w:sz="0" w:space="0" w:color="auto"/>
        <w:bottom w:val="none" w:sz="0" w:space="0" w:color="auto"/>
        <w:right w:val="none" w:sz="0" w:space="0" w:color="auto"/>
      </w:divBdr>
    </w:div>
    <w:div w:id="1786540403">
      <w:marLeft w:val="480"/>
      <w:marRight w:val="0"/>
      <w:marTop w:val="0"/>
      <w:marBottom w:val="0"/>
      <w:divBdr>
        <w:top w:val="none" w:sz="0" w:space="0" w:color="auto"/>
        <w:left w:val="none" w:sz="0" w:space="0" w:color="auto"/>
        <w:bottom w:val="none" w:sz="0" w:space="0" w:color="auto"/>
        <w:right w:val="none" w:sz="0" w:space="0" w:color="auto"/>
      </w:divBdr>
    </w:div>
    <w:div w:id="1790002272">
      <w:marLeft w:val="480"/>
      <w:marRight w:val="0"/>
      <w:marTop w:val="0"/>
      <w:marBottom w:val="0"/>
      <w:divBdr>
        <w:top w:val="none" w:sz="0" w:space="0" w:color="auto"/>
        <w:left w:val="none" w:sz="0" w:space="0" w:color="auto"/>
        <w:bottom w:val="none" w:sz="0" w:space="0" w:color="auto"/>
        <w:right w:val="none" w:sz="0" w:space="0" w:color="auto"/>
      </w:divBdr>
    </w:div>
    <w:div w:id="1792747656">
      <w:marLeft w:val="480"/>
      <w:marRight w:val="0"/>
      <w:marTop w:val="0"/>
      <w:marBottom w:val="0"/>
      <w:divBdr>
        <w:top w:val="none" w:sz="0" w:space="0" w:color="auto"/>
        <w:left w:val="none" w:sz="0" w:space="0" w:color="auto"/>
        <w:bottom w:val="none" w:sz="0" w:space="0" w:color="auto"/>
        <w:right w:val="none" w:sz="0" w:space="0" w:color="auto"/>
      </w:divBdr>
    </w:div>
    <w:div w:id="1793590582">
      <w:marLeft w:val="480"/>
      <w:marRight w:val="0"/>
      <w:marTop w:val="0"/>
      <w:marBottom w:val="0"/>
      <w:divBdr>
        <w:top w:val="none" w:sz="0" w:space="0" w:color="auto"/>
        <w:left w:val="none" w:sz="0" w:space="0" w:color="auto"/>
        <w:bottom w:val="none" w:sz="0" w:space="0" w:color="auto"/>
        <w:right w:val="none" w:sz="0" w:space="0" w:color="auto"/>
      </w:divBdr>
    </w:div>
    <w:div w:id="1797479160">
      <w:marLeft w:val="480"/>
      <w:marRight w:val="0"/>
      <w:marTop w:val="0"/>
      <w:marBottom w:val="0"/>
      <w:divBdr>
        <w:top w:val="none" w:sz="0" w:space="0" w:color="auto"/>
        <w:left w:val="none" w:sz="0" w:space="0" w:color="auto"/>
        <w:bottom w:val="none" w:sz="0" w:space="0" w:color="auto"/>
        <w:right w:val="none" w:sz="0" w:space="0" w:color="auto"/>
      </w:divBdr>
    </w:div>
    <w:div w:id="1797796745">
      <w:marLeft w:val="480"/>
      <w:marRight w:val="0"/>
      <w:marTop w:val="0"/>
      <w:marBottom w:val="0"/>
      <w:divBdr>
        <w:top w:val="none" w:sz="0" w:space="0" w:color="auto"/>
        <w:left w:val="none" w:sz="0" w:space="0" w:color="auto"/>
        <w:bottom w:val="none" w:sz="0" w:space="0" w:color="auto"/>
        <w:right w:val="none" w:sz="0" w:space="0" w:color="auto"/>
      </w:divBdr>
    </w:div>
    <w:div w:id="1799955052">
      <w:marLeft w:val="480"/>
      <w:marRight w:val="0"/>
      <w:marTop w:val="0"/>
      <w:marBottom w:val="0"/>
      <w:divBdr>
        <w:top w:val="none" w:sz="0" w:space="0" w:color="auto"/>
        <w:left w:val="none" w:sz="0" w:space="0" w:color="auto"/>
        <w:bottom w:val="none" w:sz="0" w:space="0" w:color="auto"/>
        <w:right w:val="none" w:sz="0" w:space="0" w:color="auto"/>
      </w:divBdr>
    </w:div>
    <w:div w:id="1802727248">
      <w:marLeft w:val="480"/>
      <w:marRight w:val="0"/>
      <w:marTop w:val="0"/>
      <w:marBottom w:val="0"/>
      <w:divBdr>
        <w:top w:val="none" w:sz="0" w:space="0" w:color="auto"/>
        <w:left w:val="none" w:sz="0" w:space="0" w:color="auto"/>
        <w:bottom w:val="none" w:sz="0" w:space="0" w:color="auto"/>
        <w:right w:val="none" w:sz="0" w:space="0" w:color="auto"/>
      </w:divBdr>
    </w:div>
    <w:div w:id="1806048484">
      <w:marLeft w:val="480"/>
      <w:marRight w:val="0"/>
      <w:marTop w:val="0"/>
      <w:marBottom w:val="0"/>
      <w:divBdr>
        <w:top w:val="none" w:sz="0" w:space="0" w:color="auto"/>
        <w:left w:val="none" w:sz="0" w:space="0" w:color="auto"/>
        <w:bottom w:val="none" w:sz="0" w:space="0" w:color="auto"/>
        <w:right w:val="none" w:sz="0" w:space="0" w:color="auto"/>
      </w:divBdr>
    </w:div>
    <w:div w:id="1807777554">
      <w:marLeft w:val="480"/>
      <w:marRight w:val="0"/>
      <w:marTop w:val="0"/>
      <w:marBottom w:val="0"/>
      <w:divBdr>
        <w:top w:val="none" w:sz="0" w:space="0" w:color="auto"/>
        <w:left w:val="none" w:sz="0" w:space="0" w:color="auto"/>
        <w:bottom w:val="none" w:sz="0" w:space="0" w:color="auto"/>
        <w:right w:val="none" w:sz="0" w:space="0" w:color="auto"/>
      </w:divBdr>
    </w:div>
    <w:div w:id="1813404599">
      <w:marLeft w:val="480"/>
      <w:marRight w:val="0"/>
      <w:marTop w:val="0"/>
      <w:marBottom w:val="0"/>
      <w:divBdr>
        <w:top w:val="none" w:sz="0" w:space="0" w:color="auto"/>
        <w:left w:val="none" w:sz="0" w:space="0" w:color="auto"/>
        <w:bottom w:val="none" w:sz="0" w:space="0" w:color="auto"/>
        <w:right w:val="none" w:sz="0" w:space="0" w:color="auto"/>
      </w:divBdr>
    </w:div>
    <w:div w:id="1822192952">
      <w:marLeft w:val="480"/>
      <w:marRight w:val="0"/>
      <w:marTop w:val="0"/>
      <w:marBottom w:val="0"/>
      <w:divBdr>
        <w:top w:val="none" w:sz="0" w:space="0" w:color="auto"/>
        <w:left w:val="none" w:sz="0" w:space="0" w:color="auto"/>
        <w:bottom w:val="none" w:sz="0" w:space="0" w:color="auto"/>
        <w:right w:val="none" w:sz="0" w:space="0" w:color="auto"/>
      </w:divBdr>
    </w:div>
    <w:div w:id="1836647259">
      <w:marLeft w:val="480"/>
      <w:marRight w:val="0"/>
      <w:marTop w:val="0"/>
      <w:marBottom w:val="0"/>
      <w:divBdr>
        <w:top w:val="none" w:sz="0" w:space="0" w:color="auto"/>
        <w:left w:val="none" w:sz="0" w:space="0" w:color="auto"/>
        <w:bottom w:val="none" w:sz="0" w:space="0" w:color="auto"/>
        <w:right w:val="none" w:sz="0" w:space="0" w:color="auto"/>
      </w:divBdr>
    </w:div>
    <w:div w:id="1843543487">
      <w:marLeft w:val="480"/>
      <w:marRight w:val="0"/>
      <w:marTop w:val="0"/>
      <w:marBottom w:val="0"/>
      <w:divBdr>
        <w:top w:val="none" w:sz="0" w:space="0" w:color="auto"/>
        <w:left w:val="none" w:sz="0" w:space="0" w:color="auto"/>
        <w:bottom w:val="none" w:sz="0" w:space="0" w:color="auto"/>
        <w:right w:val="none" w:sz="0" w:space="0" w:color="auto"/>
      </w:divBdr>
    </w:div>
    <w:div w:id="1848979107">
      <w:marLeft w:val="480"/>
      <w:marRight w:val="0"/>
      <w:marTop w:val="0"/>
      <w:marBottom w:val="0"/>
      <w:divBdr>
        <w:top w:val="none" w:sz="0" w:space="0" w:color="auto"/>
        <w:left w:val="none" w:sz="0" w:space="0" w:color="auto"/>
        <w:bottom w:val="none" w:sz="0" w:space="0" w:color="auto"/>
        <w:right w:val="none" w:sz="0" w:space="0" w:color="auto"/>
      </w:divBdr>
    </w:div>
    <w:div w:id="1851679791">
      <w:marLeft w:val="480"/>
      <w:marRight w:val="0"/>
      <w:marTop w:val="0"/>
      <w:marBottom w:val="0"/>
      <w:divBdr>
        <w:top w:val="none" w:sz="0" w:space="0" w:color="auto"/>
        <w:left w:val="none" w:sz="0" w:space="0" w:color="auto"/>
        <w:bottom w:val="none" w:sz="0" w:space="0" w:color="auto"/>
        <w:right w:val="none" w:sz="0" w:space="0" w:color="auto"/>
      </w:divBdr>
    </w:div>
    <w:div w:id="1853949825">
      <w:marLeft w:val="480"/>
      <w:marRight w:val="0"/>
      <w:marTop w:val="0"/>
      <w:marBottom w:val="0"/>
      <w:divBdr>
        <w:top w:val="none" w:sz="0" w:space="0" w:color="auto"/>
        <w:left w:val="none" w:sz="0" w:space="0" w:color="auto"/>
        <w:bottom w:val="none" w:sz="0" w:space="0" w:color="auto"/>
        <w:right w:val="none" w:sz="0" w:space="0" w:color="auto"/>
      </w:divBdr>
    </w:div>
    <w:div w:id="1854689116">
      <w:marLeft w:val="480"/>
      <w:marRight w:val="0"/>
      <w:marTop w:val="0"/>
      <w:marBottom w:val="0"/>
      <w:divBdr>
        <w:top w:val="none" w:sz="0" w:space="0" w:color="auto"/>
        <w:left w:val="none" w:sz="0" w:space="0" w:color="auto"/>
        <w:bottom w:val="none" w:sz="0" w:space="0" w:color="auto"/>
        <w:right w:val="none" w:sz="0" w:space="0" w:color="auto"/>
      </w:divBdr>
    </w:div>
    <w:div w:id="1871458184">
      <w:marLeft w:val="480"/>
      <w:marRight w:val="0"/>
      <w:marTop w:val="0"/>
      <w:marBottom w:val="0"/>
      <w:divBdr>
        <w:top w:val="none" w:sz="0" w:space="0" w:color="auto"/>
        <w:left w:val="none" w:sz="0" w:space="0" w:color="auto"/>
        <w:bottom w:val="none" w:sz="0" w:space="0" w:color="auto"/>
        <w:right w:val="none" w:sz="0" w:space="0" w:color="auto"/>
      </w:divBdr>
    </w:div>
    <w:div w:id="1878010241">
      <w:marLeft w:val="480"/>
      <w:marRight w:val="0"/>
      <w:marTop w:val="0"/>
      <w:marBottom w:val="0"/>
      <w:divBdr>
        <w:top w:val="none" w:sz="0" w:space="0" w:color="auto"/>
        <w:left w:val="none" w:sz="0" w:space="0" w:color="auto"/>
        <w:bottom w:val="none" w:sz="0" w:space="0" w:color="auto"/>
        <w:right w:val="none" w:sz="0" w:space="0" w:color="auto"/>
      </w:divBdr>
    </w:div>
    <w:div w:id="1919052290">
      <w:marLeft w:val="480"/>
      <w:marRight w:val="0"/>
      <w:marTop w:val="0"/>
      <w:marBottom w:val="0"/>
      <w:divBdr>
        <w:top w:val="none" w:sz="0" w:space="0" w:color="auto"/>
        <w:left w:val="none" w:sz="0" w:space="0" w:color="auto"/>
        <w:bottom w:val="none" w:sz="0" w:space="0" w:color="auto"/>
        <w:right w:val="none" w:sz="0" w:space="0" w:color="auto"/>
      </w:divBdr>
    </w:div>
    <w:div w:id="1922762135">
      <w:marLeft w:val="480"/>
      <w:marRight w:val="0"/>
      <w:marTop w:val="0"/>
      <w:marBottom w:val="0"/>
      <w:divBdr>
        <w:top w:val="none" w:sz="0" w:space="0" w:color="auto"/>
        <w:left w:val="none" w:sz="0" w:space="0" w:color="auto"/>
        <w:bottom w:val="none" w:sz="0" w:space="0" w:color="auto"/>
        <w:right w:val="none" w:sz="0" w:space="0" w:color="auto"/>
      </w:divBdr>
    </w:div>
    <w:div w:id="1923487488">
      <w:marLeft w:val="480"/>
      <w:marRight w:val="0"/>
      <w:marTop w:val="0"/>
      <w:marBottom w:val="0"/>
      <w:divBdr>
        <w:top w:val="none" w:sz="0" w:space="0" w:color="auto"/>
        <w:left w:val="none" w:sz="0" w:space="0" w:color="auto"/>
        <w:bottom w:val="none" w:sz="0" w:space="0" w:color="auto"/>
        <w:right w:val="none" w:sz="0" w:space="0" w:color="auto"/>
      </w:divBdr>
    </w:div>
    <w:div w:id="1924755588">
      <w:marLeft w:val="480"/>
      <w:marRight w:val="0"/>
      <w:marTop w:val="0"/>
      <w:marBottom w:val="0"/>
      <w:divBdr>
        <w:top w:val="none" w:sz="0" w:space="0" w:color="auto"/>
        <w:left w:val="none" w:sz="0" w:space="0" w:color="auto"/>
        <w:bottom w:val="none" w:sz="0" w:space="0" w:color="auto"/>
        <w:right w:val="none" w:sz="0" w:space="0" w:color="auto"/>
      </w:divBdr>
    </w:div>
    <w:div w:id="1926569876">
      <w:marLeft w:val="480"/>
      <w:marRight w:val="0"/>
      <w:marTop w:val="0"/>
      <w:marBottom w:val="0"/>
      <w:divBdr>
        <w:top w:val="none" w:sz="0" w:space="0" w:color="auto"/>
        <w:left w:val="none" w:sz="0" w:space="0" w:color="auto"/>
        <w:bottom w:val="none" w:sz="0" w:space="0" w:color="auto"/>
        <w:right w:val="none" w:sz="0" w:space="0" w:color="auto"/>
      </w:divBdr>
    </w:div>
    <w:div w:id="1930652115">
      <w:marLeft w:val="480"/>
      <w:marRight w:val="0"/>
      <w:marTop w:val="0"/>
      <w:marBottom w:val="0"/>
      <w:divBdr>
        <w:top w:val="none" w:sz="0" w:space="0" w:color="auto"/>
        <w:left w:val="none" w:sz="0" w:space="0" w:color="auto"/>
        <w:bottom w:val="none" w:sz="0" w:space="0" w:color="auto"/>
        <w:right w:val="none" w:sz="0" w:space="0" w:color="auto"/>
      </w:divBdr>
    </w:div>
    <w:div w:id="1933006093">
      <w:marLeft w:val="480"/>
      <w:marRight w:val="0"/>
      <w:marTop w:val="0"/>
      <w:marBottom w:val="0"/>
      <w:divBdr>
        <w:top w:val="none" w:sz="0" w:space="0" w:color="auto"/>
        <w:left w:val="none" w:sz="0" w:space="0" w:color="auto"/>
        <w:bottom w:val="none" w:sz="0" w:space="0" w:color="auto"/>
        <w:right w:val="none" w:sz="0" w:space="0" w:color="auto"/>
      </w:divBdr>
    </w:div>
    <w:div w:id="1935940798">
      <w:marLeft w:val="480"/>
      <w:marRight w:val="0"/>
      <w:marTop w:val="0"/>
      <w:marBottom w:val="0"/>
      <w:divBdr>
        <w:top w:val="none" w:sz="0" w:space="0" w:color="auto"/>
        <w:left w:val="none" w:sz="0" w:space="0" w:color="auto"/>
        <w:bottom w:val="none" w:sz="0" w:space="0" w:color="auto"/>
        <w:right w:val="none" w:sz="0" w:space="0" w:color="auto"/>
      </w:divBdr>
    </w:div>
    <w:div w:id="1951862223">
      <w:marLeft w:val="480"/>
      <w:marRight w:val="0"/>
      <w:marTop w:val="0"/>
      <w:marBottom w:val="0"/>
      <w:divBdr>
        <w:top w:val="none" w:sz="0" w:space="0" w:color="auto"/>
        <w:left w:val="none" w:sz="0" w:space="0" w:color="auto"/>
        <w:bottom w:val="none" w:sz="0" w:space="0" w:color="auto"/>
        <w:right w:val="none" w:sz="0" w:space="0" w:color="auto"/>
      </w:divBdr>
    </w:div>
    <w:div w:id="1963607231">
      <w:marLeft w:val="480"/>
      <w:marRight w:val="0"/>
      <w:marTop w:val="0"/>
      <w:marBottom w:val="0"/>
      <w:divBdr>
        <w:top w:val="none" w:sz="0" w:space="0" w:color="auto"/>
        <w:left w:val="none" w:sz="0" w:space="0" w:color="auto"/>
        <w:bottom w:val="none" w:sz="0" w:space="0" w:color="auto"/>
        <w:right w:val="none" w:sz="0" w:space="0" w:color="auto"/>
      </w:divBdr>
    </w:div>
    <w:div w:id="1968467077">
      <w:marLeft w:val="480"/>
      <w:marRight w:val="0"/>
      <w:marTop w:val="0"/>
      <w:marBottom w:val="0"/>
      <w:divBdr>
        <w:top w:val="none" w:sz="0" w:space="0" w:color="auto"/>
        <w:left w:val="none" w:sz="0" w:space="0" w:color="auto"/>
        <w:bottom w:val="none" w:sz="0" w:space="0" w:color="auto"/>
        <w:right w:val="none" w:sz="0" w:space="0" w:color="auto"/>
      </w:divBdr>
    </w:div>
    <w:div w:id="1972394000">
      <w:marLeft w:val="480"/>
      <w:marRight w:val="0"/>
      <w:marTop w:val="0"/>
      <w:marBottom w:val="0"/>
      <w:divBdr>
        <w:top w:val="none" w:sz="0" w:space="0" w:color="auto"/>
        <w:left w:val="none" w:sz="0" w:space="0" w:color="auto"/>
        <w:bottom w:val="none" w:sz="0" w:space="0" w:color="auto"/>
        <w:right w:val="none" w:sz="0" w:space="0" w:color="auto"/>
      </w:divBdr>
    </w:div>
    <w:div w:id="1972861700">
      <w:marLeft w:val="480"/>
      <w:marRight w:val="0"/>
      <w:marTop w:val="0"/>
      <w:marBottom w:val="0"/>
      <w:divBdr>
        <w:top w:val="none" w:sz="0" w:space="0" w:color="auto"/>
        <w:left w:val="none" w:sz="0" w:space="0" w:color="auto"/>
        <w:bottom w:val="none" w:sz="0" w:space="0" w:color="auto"/>
        <w:right w:val="none" w:sz="0" w:space="0" w:color="auto"/>
      </w:divBdr>
    </w:div>
    <w:div w:id="1978412318">
      <w:marLeft w:val="480"/>
      <w:marRight w:val="0"/>
      <w:marTop w:val="0"/>
      <w:marBottom w:val="0"/>
      <w:divBdr>
        <w:top w:val="none" w:sz="0" w:space="0" w:color="auto"/>
        <w:left w:val="none" w:sz="0" w:space="0" w:color="auto"/>
        <w:bottom w:val="none" w:sz="0" w:space="0" w:color="auto"/>
        <w:right w:val="none" w:sz="0" w:space="0" w:color="auto"/>
      </w:divBdr>
    </w:div>
    <w:div w:id="1978756214">
      <w:marLeft w:val="480"/>
      <w:marRight w:val="0"/>
      <w:marTop w:val="0"/>
      <w:marBottom w:val="0"/>
      <w:divBdr>
        <w:top w:val="none" w:sz="0" w:space="0" w:color="auto"/>
        <w:left w:val="none" w:sz="0" w:space="0" w:color="auto"/>
        <w:bottom w:val="none" w:sz="0" w:space="0" w:color="auto"/>
        <w:right w:val="none" w:sz="0" w:space="0" w:color="auto"/>
      </w:divBdr>
    </w:div>
    <w:div w:id="1980761472">
      <w:marLeft w:val="480"/>
      <w:marRight w:val="0"/>
      <w:marTop w:val="0"/>
      <w:marBottom w:val="0"/>
      <w:divBdr>
        <w:top w:val="none" w:sz="0" w:space="0" w:color="auto"/>
        <w:left w:val="none" w:sz="0" w:space="0" w:color="auto"/>
        <w:bottom w:val="none" w:sz="0" w:space="0" w:color="auto"/>
        <w:right w:val="none" w:sz="0" w:space="0" w:color="auto"/>
      </w:divBdr>
    </w:div>
    <w:div w:id="1983923244">
      <w:marLeft w:val="480"/>
      <w:marRight w:val="0"/>
      <w:marTop w:val="0"/>
      <w:marBottom w:val="0"/>
      <w:divBdr>
        <w:top w:val="none" w:sz="0" w:space="0" w:color="auto"/>
        <w:left w:val="none" w:sz="0" w:space="0" w:color="auto"/>
        <w:bottom w:val="none" w:sz="0" w:space="0" w:color="auto"/>
        <w:right w:val="none" w:sz="0" w:space="0" w:color="auto"/>
      </w:divBdr>
    </w:div>
    <w:div w:id="1984501592">
      <w:marLeft w:val="480"/>
      <w:marRight w:val="0"/>
      <w:marTop w:val="0"/>
      <w:marBottom w:val="0"/>
      <w:divBdr>
        <w:top w:val="none" w:sz="0" w:space="0" w:color="auto"/>
        <w:left w:val="none" w:sz="0" w:space="0" w:color="auto"/>
        <w:bottom w:val="none" w:sz="0" w:space="0" w:color="auto"/>
        <w:right w:val="none" w:sz="0" w:space="0" w:color="auto"/>
      </w:divBdr>
    </w:div>
    <w:div w:id="1985500241">
      <w:marLeft w:val="480"/>
      <w:marRight w:val="0"/>
      <w:marTop w:val="0"/>
      <w:marBottom w:val="0"/>
      <w:divBdr>
        <w:top w:val="none" w:sz="0" w:space="0" w:color="auto"/>
        <w:left w:val="none" w:sz="0" w:space="0" w:color="auto"/>
        <w:bottom w:val="none" w:sz="0" w:space="0" w:color="auto"/>
        <w:right w:val="none" w:sz="0" w:space="0" w:color="auto"/>
      </w:divBdr>
    </w:div>
    <w:div w:id="1992824962">
      <w:marLeft w:val="480"/>
      <w:marRight w:val="0"/>
      <w:marTop w:val="0"/>
      <w:marBottom w:val="0"/>
      <w:divBdr>
        <w:top w:val="none" w:sz="0" w:space="0" w:color="auto"/>
        <w:left w:val="none" w:sz="0" w:space="0" w:color="auto"/>
        <w:bottom w:val="none" w:sz="0" w:space="0" w:color="auto"/>
        <w:right w:val="none" w:sz="0" w:space="0" w:color="auto"/>
      </w:divBdr>
    </w:div>
    <w:div w:id="1999066729">
      <w:marLeft w:val="480"/>
      <w:marRight w:val="0"/>
      <w:marTop w:val="0"/>
      <w:marBottom w:val="0"/>
      <w:divBdr>
        <w:top w:val="none" w:sz="0" w:space="0" w:color="auto"/>
        <w:left w:val="none" w:sz="0" w:space="0" w:color="auto"/>
        <w:bottom w:val="none" w:sz="0" w:space="0" w:color="auto"/>
        <w:right w:val="none" w:sz="0" w:space="0" w:color="auto"/>
      </w:divBdr>
    </w:div>
    <w:div w:id="2001500281">
      <w:marLeft w:val="480"/>
      <w:marRight w:val="0"/>
      <w:marTop w:val="0"/>
      <w:marBottom w:val="0"/>
      <w:divBdr>
        <w:top w:val="none" w:sz="0" w:space="0" w:color="auto"/>
        <w:left w:val="none" w:sz="0" w:space="0" w:color="auto"/>
        <w:bottom w:val="none" w:sz="0" w:space="0" w:color="auto"/>
        <w:right w:val="none" w:sz="0" w:space="0" w:color="auto"/>
      </w:divBdr>
    </w:div>
    <w:div w:id="2005282386">
      <w:bodyDiv w:val="1"/>
      <w:marLeft w:val="0"/>
      <w:marRight w:val="0"/>
      <w:marTop w:val="0"/>
      <w:marBottom w:val="0"/>
      <w:divBdr>
        <w:top w:val="none" w:sz="0" w:space="0" w:color="auto"/>
        <w:left w:val="none" w:sz="0" w:space="0" w:color="auto"/>
        <w:bottom w:val="none" w:sz="0" w:space="0" w:color="auto"/>
        <w:right w:val="none" w:sz="0" w:space="0" w:color="auto"/>
      </w:divBdr>
      <w:divsChild>
        <w:div w:id="1712608188">
          <w:marLeft w:val="0"/>
          <w:marRight w:val="0"/>
          <w:marTop w:val="0"/>
          <w:marBottom w:val="0"/>
          <w:divBdr>
            <w:top w:val="none" w:sz="0" w:space="0" w:color="auto"/>
            <w:left w:val="none" w:sz="0" w:space="0" w:color="auto"/>
            <w:bottom w:val="none" w:sz="0" w:space="0" w:color="auto"/>
            <w:right w:val="none" w:sz="0" w:space="0" w:color="auto"/>
          </w:divBdr>
          <w:divsChild>
            <w:div w:id="25802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21449">
      <w:marLeft w:val="480"/>
      <w:marRight w:val="0"/>
      <w:marTop w:val="0"/>
      <w:marBottom w:val="0"/>
      <w:divBdr>
        <w:top w:val="none" w:sz="0" w:space="0" w:color="auto"/>
        <w:left w:val="none" w:sz="0" w:space="0" w:color="auto"/>
        <w:bottom w:val="none" w:sz="0" w:space="0" w:color="auto"/>
        <w:right w:val="none" w:sz="0" w:space="0" w:color="auto"/>
      </w:divBdr>
    </w:div>
    <w:div w:id="2017152902">
      <w:marLeft w:val="480"/>
      <w:marRight w:val="0"/>
      <w:marTop w:val="0"/>
      <w:marBottom w:val="0"/>
      <w:divBdr>
        <w:top w:val="none" w:sz="0" w:space="0" w:color="auto"/>
        <w:left w:val="none" w:sz="0" w:space="0" w:color="auto"/>
        <w:bottom w:val="none" w:sz="0" w:space="0" w:color="auto"/>
        <w:right w:val="none" w:sz="0" w:space="0" w:color="auto"/>
      </w:divBdr>
    </w:div>
    <w:div w:id="2021882312">
      <w:marLeft w:val="480"/>
      <w:marRight w:val="0"/>
      <w:marTop w:val="0"/>
      <w:marBottom w:val="0"/>
      <w:divBdr>
        <w:top w:val="none" w:sz="0" w:space="0" w:color="auto"/>
        <w:left w:val="none" w:sz="0" w:space="0" w:color="auto"/>
        <w:bottom w:val="none" w:sz="0" w:space="0" w:color="auto"/>
        <w:right w:val="none" w:sz="0" w:space="0" w:color="auto"/>
      </w:divBdr>
    </w:div>
    <w:div w:id="2027751434">
      <w:marLeft w:val="480"/>
      <w:marRight w:val="0"/>
      <w:marTop w:val="0"/>
      <w:marBottom w:val="0"/>
      <w:divBdr>
        <w:top w:val="none" w:sz="0" w:space="0" w:color="auto"/>
        <w:left w:val="none" w:sz="0" w:space="0" w:color="auto"/>
        <w:bottom w:val="none" w:sz="0" w:space="0" w:color="auto"/>
        <w:right w:val="none" w:sz="0" w:space="0" w:color="auto"/>
      </w:divBdr>
    </w:div>
    <w:div w:id="2034111478">
      <w:marLeft w:val="480"/>
      <w:marRight w:val="0"/>
      <w:marTop w:val="0"/>
      <w:marBottom w:val="0"/>
      <w:divBdr>
        <w:top w:val="none" w:sz="0" w:space="0" w:color="auto"/>
        <w:left w:val="none" w:sz="0" w:space="0" w:color="auto"/>
        <w:bottom w:val="none" w:sz="0" w:space="0" w:color="auto"/>
        <w:right w:val="none" w:sz="0" w:space="0" w:color="auto"/>
      </w:divBdr>
    </w:div>
    <w:div w:id="2036425425">
      <w:marLeft w:val="480"/>
      <w:marRight w:val="0"/>
      <w:marTop w:val="0"/>
      <w:marBottom w:val="0"/>
      <w:divBdr>
        <w:top w:val="none" w:sz="0" w:space="0" w:color="auto"/>
        <w:left w:val="none" w:sz="0" w:space="0" w:color="auto"/>
        <w:bottom w:val="none" w:sz="0" w:space="0" w:color="auto"/>
        <w:right w:val="none" w:sz="0" w:space="0" w:color="auto"/>
      </w:divBdr>
    </w:div>
    <w:div w:id="2040545386">
      <w:marLeft w:val="480"/>
      <w:marRight w:val="0"/>
      <w:marTop w:val="0"/>
      <w:marBottom w:val="0"/>
      <w:divBdr>
        <w:top w:val="none" w:sz="0" w:space="0" w:color="auto"/>
        <w:left w:val="none" w:sz="0" w:space="0" w:color="auto"/>
        <w:bottom w:val="none" w:sz="0" w:space="0" w:color="auto"/>
        <w:right w:val="none" w:sz="0" w:space="0" w:color="auto"/>
      </w:divBdr>
    </w:div>
    <w:div w:id="2045672163">
      <w:marLeft w:val="480"/>
      <w:marRight w:val="0"/>
      <w:marTop w:val="0"/>
      <w:marBottom w:val="0"/>
      <w:divBdr>
        <w:top w:val="none" w:sz="0" w:space="0" w:color="auto"/>
        <w:left w:val="none" w:sz="0" w:space="0" w:color="auto"/>
        <w:bottom w:val="none" w:sz="0" w:space="0" w:color="auto"/>
        <w:right w:val="none" w:sz="0" w:space="0" w:color="auto"/>
      </w:divBdr>
    </w:div>
    <w:div w:id="2052722421">
      <w:marLeft w:val="480"/>
      <w:marRight w:val="0"/>
      <w:marTop w:val="0"/>
      <w:marBottom w:val="0"/>
      <w:divBdr>
        <w:top w:val="none" w:sz="0" w:space="0" w:color="auto"/>
        <w:left w:val="none" w:sz="0" w:space="0" w:color="auto"/>
        <w:bottom w:val="none" w:sz="0" w:space="0" w:color="auto"/>
        <w:right w:val="none" w:sz="0" w:space="0" w:color="auto"/>
      </w:divBdr>
    </w:div>
    <w:div w:id="2057000547">
      <w:marLeft w:val="480"/>
      <w:marRight w:val="0"/>
      <w:marTop w:val="0"/>
      <w:marBottom w:val="0"/>
      <w:divBdr>
        <w:top w:val="none" w:sz="0" w:space="0" w:color="auto"/>
        <w:left w:val="none" w:sz="0" w:space="0" w:color="auto"/>
        <w:bottom w:val="none" w:sz="0" w:space="0" w:color="auto"/>
        <w:right w:val="none" w:sz="0" w:space="0" w:color="auto"/>
      </w:divBdr>
    </w:div>
    <w:div w:id="2057006609">
      <w:marLeft w:val="480"/>
      <w:marRight w:val="0"/>
      <w:marTop w:val="0"/>
      <w:marBottom w:val="0"/>
      <w:divBdr>
        <w:top w:val="none" w:sz="0" w:space="0" w:color="auto"/>
        <w:left w:val="none" w:sz="0" w:space="0" w:color="auto"/>
        <w:bottom w:val="none" w:sz="0" w:space="0" w:color="auto"/>
        <w:right w:val="none" w:sz="0" w:space="0" w:color="auto"/>
      </w:divBdr>
    </w:div>
    <w:div w:id="2060593628">
      <w:marLeft w:val="480"/>
      <w:marRight w:val="0"/>
      <w:marTop w:val="0"/>
      <w:marBottom w:val="0"/>
      <w:divBdr>
        <w:top w:val="none" w:sz="0" w:space="0" w:color="auto"/>
        <w:left w:val="none" w:sz="0" w:space="0" w:color="auto"/>
        <w:bottom w:val="none" w:sz="0" w:space="0" w:color="auto"/>
        <w:right w:val="none" w:sz="0" w:space="0" w:color="auto"/>
      </w:divBdr>
    </w:div>
    <w:div w:id="2072651158">
      <w:marLeft w:val="480"/>
      <w:marRight w:val="0"/>
      <w:marTop w:val="0"/>
      <w:marBottom w:val="0"/>
      <w:divBdr>
        <w:top w:val="none" w:sz="0" w:space="0" w:color="auto"/>
        <w:left w:val="none" w:sz="0" w:space="0" w:color="auto"/>
        <w:bottom w:val="none" w:sz="0" w:space="0" w:color="auto"/>
        <w:right w:val="none" w:sz="0" w:space="0" w:color="auto"/>
      </w:divBdr>
    </w:div>
    <w:div w:id="2078359419">
      <w:marLeft w:val="480"/>
      <w:marRight w:val="0"/>
      <w:marTop w:val="0"/>
      <w:marBottom w:val="0"/>
      <w:divBdr>
        <w:top w:val="none" w:sz="0" w:space="0" w:color="auto"/>
        <w:left w:val="none" w:sz="0" w:space="0" w:color="auto"/>
        <w:bottom w:val="none" w:sz="0" w:space="0" w:color="auto"/>
        <w:right w:val="none" w:sz="0" w:space="0" w:color="auto"/>
      </w:divBdr>
    </w:div>
    <w:div w:id="2080784228">
      <w:bodyDiv w:val="1"/>
      <w:marLeft w:val="0"/>
      <w:marRight w:val="0"/>
      <w:marTop w:val="0"/>
      <w:marBottom w:val="0"/>
      <w:divBdr>
        <w:top w:val="none" w:sz="0" w:space="0" w:color="auto"/>
        <w:left w:val="none" w:sz="0" w:space="0" w:color="auto"/>
        <w:bottom w:val="none" w:sz="0" w:space="0" w:color="auto"/>
        <w:right w:val="none" w:sz="0" w:space="0" w:color="auto"/>
      </w:divBdr>
    </w:div>
    <w:div w:id="2083478433">
      <w:marLeft w:val="480"/>
      <w:marRight w:val="0"/>
      <w:marTop w:val="0"/>
      <w:marBottom w:val="0"/>
      <w:divBdr>
        <w:top w:val="none" w:sz="0" w:space="0" w:color="auto"/>
        <w:left w:val="none" w:sz="0" w:space="0" w:color="auto"/>
        <w:bottom w:val="none" w:sz="0" w:space="0" w:color="auto"/>
        <w:right w:val="none" w:sz="0" w:space="0" w:color="auto"/>
      </w:divBdr>
    </w:div>
    <w:div w:id="2088795620">
      <w:marLeft w:val="480"/>
      <w:marRight w:val="0"/>
      <w:marTop w:val="0"/>
      <w:marBottom w:val="0"/>
      <w:divBdr>
        <w:top w:val="none" w:sz="0" w:space="0" w:color="auto"/>
        <w:left w:val="none" w:sz="0" w:space="0" w:color="auto"/>
        <w:bottom w:val="none" w:sz="0" w:space="0" w:color="auto"/>
        <w:right w:val="none" w:sz="0" w:space="0" w:color="auto"/>
      </w:divBdr>
    </w:div>
    <w:div w:id="2090760678">
      <w:marLeft w:val="480"/>
      <w:marRight w:val="0"/>
      <w:marTop w:val="0"/>
      <w:marBottom w:val="0"/>
      <w:divBdr>
        <w:top w:val="none" w:sz="0" w:space="0" w:color="auto"/>
        <w:left w:val="none" w:sz="0" w:space="0" w:color="auto"/>
        <w:bottom w:val="none" w:sz="0" w:space="0" w:color="auto"/>
        <w:right w:val="none" w:sz="0" w:space="0" w:color="auto"/>
      </w:divBdr>
    </w:div>
    <w:div w:id="2092777282">
      <w:marLeft w:val="480"/>
      <w:marRight w:val="0"/>
      <w:marTop w:val="0"/>
      <w:marBottom w:val="0"/>
      <w:divBdr>
        <w:top w:val="none" w:sz="0" w:space="0" w:color="auto"/>
        <w:left w:val="none" w:sz="0" w:space="0" w:color="auto"/>
        <w:bottom w:val="none" w:sz="0" w:space="0" w:color="auto"/>
        <w:right w:val="none" w:sz="0" w:space="0" w:color="auto"/>
      </w:divBdr>
    </w:div>
    <w:div w:id="2096200582">
      <w:marLeft w:val="480"/>
      <w:marRight w:val="0"/>
      <w:marTop w:val="0"/>
      <w:marBottom w:val="0"/>
      <w:divBdr>
        <w:top w:val="none" w:sz="0" w:space="0" w:color="auto"/>
        <w:left w:val="none" w:sz="0" w:space="0" w:color="auto"/>
        <w:bottom w:val="none" w:sz="0" w:space="0" w:color="auto"/>
        <w:right w:val="none" w:sz="0" w:space="0" w:color="auto"/>
      </w:divBdr>
    </w:div>
    <w:div w:id="2096977885">
      <w:marLeft w:val="480"/>
      <w:marRight w:val="0"/>
      <w:marTop w:val="0"/>
      <w:marBottom w:val="0"/>
      <w:divBdr>
        <w:top w:val="none" w:sz="0" w:space="0" w:color="auto"/>
        <w:left w:val="none" w:sz="0" w:space="0" w:color="auto"/>
        <w:bottom w:val="none" w:sz="0" w:space="0" w:color="auto"/>
        <w:right w:val="none" w:sz="0" w:space="0" w:color="auto"/>
      </w:divBdr>
    </w:div>
    <w:div w:id="2099010705">
      <w:marLeft w:val="480"/>
      <w:marRight w:val="0"/>
      <w:marTop w:val="0"/>
      <w:marBottom w:val="0"/>
      <w:divBdr>
        <w:top w:val="none" w:sz="0" w:space="0" w:color="auto"/>
        <w:left w:val="none" w:sz="0" w:space="0" w:color="auto"/>
        <w:bottom w:val="none" w:sz="0" w:space="0" w:color="auto"/>
        <w:right w:val="none" w:sz="0" w:space="0" w:color="auto"/>
      </w:divBdr>
    </w:div>
    <w:div w:id="2101831332">
      <w:marLeft w:val="480"/>
      <w:marRight w:val="0"/>
      <w:marTop w:val="0"/>
      <w:marBottom w:val="0"/>
      <w:divBdr>
        <w:top w:val="none" w:sz="0" w:space="0" w:color="auto"/>
        <w:left w:val="none" w:sz="0" w:space="0" w:color="auto"/>
        <w:bottom w:val="none" w:sz="0" w:space="0" w:color="auto"/>
        <w:right w:val="none" w:sz="0" w:space="0" w:color="auto"/>
      </w:divBdr>
    </w:div>
    <w:div w:id="2103410004">
      <w:marLeft w:val="480"/>
      <w:marRight w:val="0"/>
      <w:marTop w:val="0"/>
      <w:marBottom w:val="0"/>
      <w:divBdr>
        <w:top w:val="none" w:sz="0" w:space="0" w:color="auto"/>
        <w:left w:val="none" w:sz="0" w:space="0" w:color="auto"/>
        <w:bottom w:val="none" w:sz="0" w:space="0" w:color="auto"/>
        <w:right w:val="none" w:sz="0" w:space="0" w:color="auto"/>
      </w:divBdr>
    </w:div>
    <w:div w:id="2106000267">
      <w:marLeft w:val="480"/>
      <w:marRight w:val="0"/>
      <w:marTop w:val="0"/>
      <w:marBottom w:val="0"/>
      <w:divBdr>
        <w:top w:val="none" w:sz="0" w:space="0" w:color="auto"/>
        <w:left w:val="none" w:sz="0" w:space="0" w:color="auto"/>
        <w:bottom w:val="none" w:sz="0" w:space="0" w:color="auto"/>
        <w:right w:val="none" w:sz="0" w:space="0" w:color="auto"/>
      </w:divBdr>
    </w:div>
    <w:div w:id="2108117153">
      <w:marLeft w:val="480"/>
      <w:marRight w:val="0"/>
      <w:marTop w:val="0"/>
      <w:marBottom w:val="0"/>
      <w:divBdr>
        <w:top w:val="none" w:sz="0" w:space="0" w:color="auto"/>
        <w:left w:val="none" w:sz="0" w:space="0" w:color="auto"/>
        <w:bottom w:val="none" w:sz="0" w:space="0" w:color="auto"/>
        <w:right w:val="none" w:sz="0" w:space="0" w:color="auto"/>
      </w:divBdr>
    </w:div>
    <w:div w:id="2112505452">
      <w:marLeft w:val="480"/>
      <w:marRight w:val="0"/>
      <w:marTop w:val="0"/>
      <w:marBottom w:val="0"/>
      <w:divBdr>
        <w:top w:val="none" w:sz="0" w:space="0" w:color="auto"/>
        <w:left w:val="none" w:sz="0" w:space="0" w:color="auto"/>
        <w:bottom w:val="none" w:sz="0" w:space="0" w:color="auto"/>
        <w:right w:val="none" w:sz="0" w:space="0" w:color="auto"/>
      </w:divBdr>
    </w:div>
    <w:div w:id="2113359005">
      <w:marLeft w:val="480"/>
      <w:marRight w:val="0"/>
      <w:marTop w:val="0"/>
      <w:marBottom w:val="0"/>
      <w:divBdr>
        <w:top w:val="none" w:sz="0" w:space="0" w:color="auto"/>
        <w:left w:val="none" w:sz="0" w:space="0" w:color="auto"/>
        <w:bottom w:val="none" w:sz="0" w:space="0" w:color="auto"/>
        <w:right w:val="none" w:sz="0" w:space="0" w:color="auto"/>
      </w:divBdr>
    </w:div>
    <w:div w:id="2114812600">
      <w:marLeft w:val="480"/>
      <w:marRight w:val="0"/>
      <w:marTop w:val="0"/>
      <w:marBottom w:val="0"/>
      <w:divBdr>
        <w:top w:val="none" w:sz="0" w:space="0" w:color="auto"/>
        <w:left w:val="none" w:sz="0" w:space="0" w:color="auto"/>
        <w:bottom w:val="none" w:sz="0" w:space="0" w:color="auto"/>
        <w:right w:val="none" w:sz="0" w:space="0" w:color="auto"/>
      </w:divBdr>
    </w:div>
    <w:div w:id="2115437277">
      <w:marLeft w:val="480"/>
      <w:marRight w:val="0"/>
      <w:marTop w:val="0"/>
      <w:marBottom w:val="0"/>
      <w:divBdr>
        <w:top w:val="none" w:sz="0" w:space="0" w:color="auto"/>
        <w:left w:val="none" w:sz="0" w:space="0" w:color="auto"/>
        <w:bottom w:val="none" w:sz="0" w:space="0" w:color="auto"/>
        <w:right w:val="none" w:sz="0" w:space="0" w:color="auto"/>
      </w:divBdr>
    </w:div>
    <w:div w:id="2127388247">
      <w:marLeft w:val="480"/>
      <w:marRight w:val="0"/>
      <w:marTop w:val="0"/>
      <w:marBottom w:val="0"/>
      <w:divBdr>
        <w:top w:val="none" w:sz="0" w:space="0" w:color="auto"/>
        <w:left w:val="none" w:sz="0" w:space="0" w:color="auto"/>
        <w:bottom w:val="none" w:sz="0" w:space="0" w:color="auto"/>
        <w:right w:val="none" w:sz="0" w:space="0" w:color="auto"/>
      </w:divBdr>
    </w:div>
    <w:div w:id="2129545015">
      <w:marLeft w:val="480"/>
      <w:marRight w:val="0"/>
      <w:marTop w:val="0"/>
      <w:marBottom w:val="0"/>
      <w:divBdr>
        <w:top w:val="none" w:sz="0" w:space="0" w:color="auto"/>
        <w:left w:val="none" w:sz="0" w:space="0" w:color="auto"/>
        <w:bottom w:val="none" w:sz="0" w:space="0" w:color="auto"/>
        <w:right w:val="none" w:sz="0" w:space="0" w:color="auto"/>
      </w:divBdr>
    </w:div>
    <w:div w:id="2132698341">
      <w:marLeft w:val="480"/>
      <w:marRight w:val="0"/>
      <w:marTop w:val="0"/>
      <w:marBottom w:val="0"/>
      <w:divBdr>
        <w:top w:val="none" w:sz="0" w:space="0" w:color="auto"/>
        <w:left w:val="none" w:sz="0" w:space="0" w:color="auto"/>
        <w:bottom w:val="none" w:sz="0" w:space="0" w:color="auto"/>
        <w:right w:val="none" w:sz="0" w:space="0" w:color="auto"/>
      </w:divBdr>
    </w:div>
    <w:div w:id="2135560301">
      <w:marLeft w:val="480"/>
      <w:marRight w:val="0"/>
      <w:marTop w:val="0"/>
      <w:marBottom w:val="0"/>
      <w:divBdr>
        <w:top w:val="none" w:sz="0" w:space="0" w:color="auto"/>
        <w:left w:val="none" w:sz="0" w:space="0" w:color="auto"/>
        <w:bottom w:val="none" w:sz="0" w:space="0" w:color="auto"/>
        <w:right w:val="none" w:sz="0" w:space="0" w:color="auto"/>
      </w:divBdr>
    </w:div>
    <w:div w:id="2139569766">
      <w:marLeft w:val="480"/>
      <w:marRight w:val="0"/>
      <w:marTop w:val="0"/>
      <w:marBottom w:val="0"/>
      <w:divBdr>
        <w:top w:val="none" w:sz="0" w:space="0" w:color="auto"/>
        <w:left w:val="none" w:sz="0" w:space="0" w:color="auto"/>
        <w:bottom w:val="none" w:sz="0" w:space="0" w:color="auto"/>
        <w:right w:val="none" w:sz="0" w:space="0" w:color="auto"/>
      </w:divBdr>
    </w:div>
    <w:div w:id="2140418214">
      <w:marLeft w:val="480"/>
      <w:marRight w:val="0"/>
      <w:marTop w:val="0"/>
      <w:marBottom w:val="0"/>
      <w:divBdr>
        <w:top w:val="none" w:sz="0" w:space="0" w:color="auto"/>
        <w:left w:val="none" w:sz="0" w:space="0" w:color="auto"/>
        <w:bottom w:val="none" w:sz="0" w:space="0" w:color="auto"/>
        <w:right w:val="none" w:sz="0" w:space="0" w:color="auto"/>
      </w:divBdr>
    </w:div>
    <w:div w:id="2140682410">
      <w:marLeft w:val="480"/>
      <w:marRight w:val="0"/>
      <w:marTop w:val="0"/>
      <w:marBottom w:val="0"/>
      <w:divBdr>
        <w:top w:val="none" w:sz="0" w:space="0" w:color="auto"/>
        <w:left w:val="none" w:sz="0" w:space="0" w:color="auto"/>
        <w:bottom w:val="none" w:sz="0" w:space="0" w:color="auto"/>
        <w:right w:val="none" w:sz="0" w:space="0" w:color="auto"/>
      </w:divBdr>
    </w:div>
    <w:div w:id="2142115091">
      <w:marLeft w:val="480"/>
      <w:marRight w:val="0"/>
      <w:marTop w:val="0"/>
      <w:marBottom w:val="0"/>
      <w:divBdr>
        <w:top w:val="none" w:sz="0" w:space="0" w:color="auto"/>
        <w:left w:val="none" w:sz="0" w:space="0" w:color="auto"/>
        <w:bottom w:val="none" w:sz="0" w:space="0" w:color="auto"/>
        <w:right w:val="none" w:sz="0" w:space="0" w:color="auto"/>
      </w:divBdr>
    </w:div>
    <w:div w:id="2144494594">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dse@dtu.d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17"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79941B-379A-4FBE-8D0A-5868FF42585B}">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79216210194"/>
    <we:property name="MENDELEY_CITATIONS" value="[{&quot;citationID&quot;:&quot;MENDELEY_CITATION_b2d11093-40b2-48e5-b239-c6a7f8b52f9a&quot;,&quot;properties&quot;:{&quot;noteIndex&quot;:0},&quot;isEdited&quot;:false,&quot;manualOverride&quot;:{&quot;isManuallyOverridden&quot;:false,&quot;citeprocText&quot;:&quot;(Steffen, Broadgate, et al., 2015)&quot;,&quot;manualOverrideText&quot;:&quot;&quot;},&quot;citationTag&quot;:&quot;MENDELEY_CITATION_v3_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&quot;,&quot;citationItems&quot;:[{&quot;id&quot;:&quot;383702ae-73fc-355c-b69e-33202a74cb6c&quot;,&quot;itemData&quot;:{&quot;type&quot;:&quot;article-journal&quot;,&quot;id&quot;:&quot;383702ae-73fc-355c-b69e-33202a74cb6c&quot;,&quot;title&quot;:&quot;The trajectory of the anthropocene: The great acceleration&quot;,&quot;author&quot;:[{&quot;family&quot;:&quot;Steffen&quot;,&quot;given&quot;:&quot;Will&quot;,&quot;parse-names&quot;:false,&quot;dropping-particle&quot;:&quot;&quot;,&quot;non-dropping-particle&quot;:&quot;&quot;},{&quot;family&quot;:&quot;Broadgate&quot;,&quot;given&quot;:&quot;Wendy&quot;,&quot;parse-names&quot;:false,&quot;dropping-particle&quot;:&quot;&quot;,&quot;non-dropping-particle&quot;:&quot;&quot;},{&quot;family&quot;:&quot;Deutsch&quot;,&quot;given&quot;:&quot;Lisa&quot;,&quot;parse-names&quot;:false,&quot;dropping-particle&quot;:&quot;&quot;,&quot;non-dropping-particle&quot;:&quot;&quot;},{&quot;family&quot;:&quot;Gaffney&quot;,&quot;given&quot;:&quot;Owen&quot;,&quot;parse-names&quot;:false,&quot;dropping-particle&quot;:&quot;&quot;,&quot;non-dropping-particle&quot;:&quot;&quot;},{&quot;family&quot;:&quot;Ludwig&quot;,&quot;given&quot;:&quot;Cornelia&quot;,&quot;parse-names&quot;:false,&quot;dropping-particle&quot;:&quot;&quot;,&quot;non-dropping-particle&quot;:&quot;&quot;}],&quot;container-title&quot;:&quot;Anthropocene Review&quot;,&quot;DOI&quot;:&quot;10.1177/2053019614564785&quot;,&quot;ISSN&quot;:&quot;2053020X&quot;,&quot;issued&quot;:{&quot;date-parts&quot;:[[2015]]},&quot;page&quot;:&quot;81-98&quot;,&quot;abstract&quot;:&quot;The ‘Great Acceleration’ graphs, originally published in 2004 to show socio-economic and Earth System trends from 1750 to 2000, have now been updated to 2010. In the graphs of socio-economic trends, where the data permit, the activity of the wealthy (OECD) countries, those countries with emerging economies, and the rest of the world have now been differentiated. The dominant feature of the socio-economic trends is that the economic activity of the human enterprise continues to grow at a rapid rate. However, the differentiated graphs clearly show that strong equity issues are masked by considering global aggregates only. Most of the population growth since 1950 has been in the non-OECD world but the world’s economy (GDP), and hence consumption, is still strongly dominated by the OECD world. The Earth System indicators, in general, continued their long-term, post-industrial rise, although a few, such as atmospheric methane concentration and stratospheric ozone loss, showed a slowing or apparent stabilisation over the past decade. The post-1950 acceleration in the Earth System indicators remains clear. Only beyond the mid-20th century is there clear evidence for fundamental shifts in the state and functioning of the Earth System that are beyond the range of variability of the Holocene and driven by human activities. Thus, of all the candidates for a start date for the Anthropocene, the beginning of the Great Acceleration is by far the most convincing from an Earth System science perspective.&quot;,&quot;issue&quot;:&quot;1&quot;,&quot;volume&quot;:&quot;2&quot;,&quot;container-title-short&quot;:&quot;&quot;},&quot;isTemporary&quot;:false}]},{&quot;citationID&quot;:&quot;MENDELEY_CITATION_c8c8ecc7-ff93-4d97-891e-4606ccc9afb4&quot;,&quot;properties&quot;:{&quot;noteIndex&quot;:0},&quot;isEdited&quot;:false,&quot;manualOverride&quot;:{&quot;isManuallyOverridden&quot;:false,&quot;citeprocText&quot;:&quot;(Richardson et al., 2023; Rockström et al., 2009; Steffen, Richardson, et al., 2015)&quot;,&quot;manualOverrideText&quot;:&quot;&quot;},&quot;citationTag&quot;:&quot;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&quot;,&quot;citationItems&quot;:[{&quot;id&quot;:&quot;19c67965-a469-3588-bb01-e800f4d4e638&quot;,&quot;itemData&quot;:{&quot;type&quot;:&quot;article-journal&quot;,&quot;id&quot;:&quot;19c67965-a469-3588-bb01-e800f4d4e638&quot;,&quot;title&quot;:&quot;Planetary boundaries: Guiding human development on a changing planet&quot;,&quot;author&quot;:[{&quot;family&quot;:&quot;Steffen&quot;,&quot;given&quot;:&quot;Will&quot;,&quot;parse-names&quot;:false,&quot;dropping-particle&quot;:&quot;&quot;,&quot;non-dropping-particle&quot;:&quot;&quot;},{&quot;family&quot;:&quot;Richardson&quot;,&quot;given&quot;:&quot;Katherine&quot;,&quot;parse-names&quot;:false,&quot;dropping-particle&quot;:&quot;&quot;,&quot;non-dropping-particle&quot;:&quot;&quot;},{&quot;family&quot;:&quot;Rockström&quot;,&quot;given&quot;:&quot;Johan&quot;,&quot;parse-names&quot;:false,&quot;dropping-particle&quot;:&quot;&quot;,&quot;non-dropping-particle&quot;:&quot;&quot;},{&quot;family&quot;:&quot;Cornell&quot;,&quot;given&quot;:&quot;Sarah E.&quot;,&quot;parse-names&quot;:false,&quot;dropping-particle&quot;:&quot;&quot;,&quot;non-dropping-particle&quot;:&quot;&quot;},{&quot;family&quot;:&quot;Fetzer&quot;,&quot;given&quot;:&quot;Ingo&quot;,&quot;parse-names&quot;:false,&quot;dropping-particle&quot;:&quot;&quot;,&quot;non-dropping-particle&quot;:&quot;&quot;},{&quot;family&quot;:&quot;Bennett&quot;,&quot;given&quot;:&quot;Elena M.&quot;,&quot;parse-names&quot;:false,&quot;dropping-particle&quot;:&quot;&quot;,&quot;non-dropping-particle&quot;:&quot;&quot;},{&quot;family&quot;:&quot;Biggs&quot;,&quot;given&quot;:&quot;Reinette&quot;,&quot;parse-names&quot;:false,&quot;dropping-particle&quot;:&quot;&quot;,&quot;non-dropping-particle&quot;:&quot;&quot;},{&quot;family&quot;:&quot;Carpenter&quot;,&quot;given&quot;:&quot;Stephen R.&quot;,&quot;parse-names&quot;:false,&quot;dropping-particle&quot;:&quot;&quot;,&quot;non-dropping-particle&quot;:&quot;&quot;},{&quot;family&quot;:&quot;Vries&quot;,&quot;given&quot;:&quot;Wim&quot;,&quot;parse-names&quot;:false,&quot;dropping-particle&quot;:&quot;&quot;,&quot;non-dropping-particle&quot;:&quot;De&quot;},{&quot;family&quot;:&quot;Wit&quot;,&quot;given&quot;:&quot;Cynthia A.&quot;,&quot;parse-names&quot;:false,&quot;dropping-particle&quot;:&quot;&quot;,&quot;non-dropping-particle&quot;:&quot;De&quot;},{&quot;family&quot;:&quot;Folke&quot;,&quot;given&quot;:&quot;Carl&quot;,&quot;parse-names&quot;:false,&quot;dropping-particle&quot;:&quot;&quot;,&quot;non-dropping-particle&quot;:&quot;&quot;},{&quot;family&quot;:&quot;Gerten&quot;,&quot;given&quot;:&quot;Dieter&quot;,&quot;parse-names&quot;:false,&quot;dropping-particle&quot;:&quot;&quot;,&quot;non-dropping-particle&quot;:&quot;&quot;},{&quot;family&quot;:&quot;Heinke&quot;,&quot;given&quot;:&quot;Jens&quot;,&quot;parse-names&quot;:false,&quot;dropping-particle&quot;:&quot;&quot;,&quot;non-dropping-particle&quot;:&quot;&quot;},{&quot;family&quot;:&quot;Mace&quot;,&quot;given&quot;:&quot;Georgina M.&quot;,&quot;parse-names&quot;:false,&quot;dropping-particle&quot;:&quot;&quot;,&quot;non-dropping-particle&quot;:&quot;&quot;},{&quot;family&quot;:&quot;Persson&quot;,&quot;given&quot;:&quot;Linn M.&quot;,&quot;parse-names&quot;:false,&quot;dropping-particle&quot;:&quot;&quot;,&quot;non-dropping-particle&quot;:&quot;&quot;},{&quot;family&quot;:&quot;Ramanathan&quot;,&quot;given&quot;:&quot;Veerabhadran&quot;,&quot;parse-names&quot;:false,&quot;dropping-particle&quot;:&quot;&quot;,&quot;non-dropping-particle&quot;:&quot;&quot;},{&quot;family&quot;:&quot;Reyers&quot;,&quot;given&quot;:&quot;Belinda&quot;,&quot;parse-names&quot;:false,&quot;dropping-particle&quot;:&quot;&quot;,&quot;non-dropping-particle&quot;:&quot;&quot;},{&quot;family&quot;:&quot;Sörlin&quot;,&quot;given&quot;:&quot;Sverker&quot;,&quot;parse-names&quot;:false,&quot;dropping-particle&quot;:&quot;&quot;,&quot;non-dropping-particle&quot;:&quot;&quot;}],&quot;container-title&quot;:&quot;Science&quot;,&quot;container-title-short&quot;:&quot;Science (1979).&quot;,&quot;DOI&quot;:&quot;10.1126/science.1259855&quot;,&quot;ISSN&quot;:&quot;10959203&quot;,&quot;PMID&quot;:&quot;25592418&quot;,&quot;issued&quot;:{&quot;date-parts&quot;:[[2015]]},&quot;abstract&quot;:&quot;The planetary boundaries framework defines a safe operating space for humanity based on the intrinsic biophysical processes that regulate the stability of the Earth system. Here, we revise and update the planetary boundary framework, with a focus on the underpinning biophysical science, based on targeted input from expert research communities and on more general scientific advances over the past 5 years. Several of the boundaries now have a two-tier approach, reflecting the importance of cross-scale interactions and the regional-level heterogeneity of the processes that underpin the boundaries. Two core boundaries-climate change and biosphere integrity-have been identified, each of which has the potential on its own to drive the Earth system into a new state should they be substantially and persistently transgressed.&quot;,&quot;issue&quot;:&quot;6223&quot;,&quot;volume&quot;:&quot;347&quot;},&quot;isTemporary&quot;:false},{&quot;id&quot;:&quot;fcebf52d-6957-3613-8d0d-fb84eeb6a172&quot;,&quot;itemData&quot;:{&quot;type&quot;:&quot;report&quot;,&quot;id&quot;:&quot;fcebf52d-6957-3613-8d0d-fb84eeb6a172&quot;,&quot;title&quot;:&quot;Planetary Boundaries: Exploring the safe operating space for humanity&quot;,&quot;author&quot;:[{&quot;family&quot;:&quot;Rockström&quot;,&quot;given&quot;:&quot;Johan&quot;,&quot;parse-names&quot;:false,&quot;dropping-particle&quot;:&quot;&quot;,&quot;non-dropping-particle&quot;:&quot;&quot;},{&quot;family&quot;:&quot;Steffen&quot;,&quot;given&quot;:&quot;Will&quot;,&quot;parse-names&quot;:false,&quot;dropping-particle&quot;:&quot;&quot;,&quot;non-dropping-particle&quot;:&quot;&quot;},{&quot;family&quot;:&quot;Noone&quot;,&quot;given&quot;:&quot;Kevin&quot;,&quot;parse-names&quot;:false,&quot;dropping-particle&quot;:&quot;&quot;,&quot;non-dropping-particle&quot;:&quot;&quot;},{&quot;family&quot;:&quot;Persson&quot;,&quot;given&quot;:&quot;Åsa&quot;,&quot;parse-names&quot;:false,&quot;dropping-particle&quot;:&quot;&quot;,&quot;non-dropping-particle&quot;:&quot;&quot;},{&quot;family&quot;:&quot;Chapin&quot;,&quot;given&quot;:&quot;F Stuart&quot;,&quot;parse-names&quot;:false,&quot;dropping-particle&quot;:&quot;&quot;,&quot;non-dropping-particle&quot;:&quot;&quot;},{&quot;family&quot;:&quot;Lambin&quot;,&quot;given&quot;:&quot;Eric F&quot;,&quot;parse-names&quot;:false,&quot;dropping-particle&quot;:&quot;&quot;,&quot;non-dropping-particle&quot;:&quot;&quot;},{&quot;family&quot;:&quot;Lenton&quot;,&quot;given&quot;:&quot;Timothy M&quot;,&quot;parse-names&quot;:false,&quot;dropping-particle&quot;:&quot;&quot;,&quot;non-dropping-particle&quot;:&quot;&quot;},{&quot;family&quot;:&quot;Scheffer&quot;,&quot;given&quot;:&quot;Marten&quot;,&quot;parse-names&quot;:false,&quot;dropping-particle&quot;:&quot;&quot;,&quot;non-dropping-particle&quot;:&quot;&quot;},{&quot;family&quot;:&quot;Folke&quot;,&quot;given&quot;:&quot;Carl&quot;,&quot;parse-names&quot;:false,&quot;dropping-particle&quot;:&quot;&quot;,&quot;non-dropping-particle&quot;:&quot;&quot;},{&quot;family&quot;:&quot;Schellnhuber&quot;,&quot;given&quot;:&quot;Hans Joachim&quot;,&quot;parse-names&quot;:false,&quot;dropping-particle&quot;:&quot;&quot;,&quot;non-dropping-particle&quot;:&quot;&quot;},{&quot;family&quot;:&quot;Nykvist&quot;,&quot;given&quot;:&quot;Björn&quot;,&quot;parse-names&quot;:false,&quot;dropping-particle&quot;:&quot;&quot;,&quot;non-dropping-particle&quot;:&quot;&quot;},{&quot;family&quot;:&quot;Wit&quot;,&quot;given&quot;:&quot;Cynthia A&quot;,&quot;parse-names&quot;:false,&quot;dropping-particle&quot;:&quot;&quot;,&quot;non-dropping-particle&quot;:&quot;De&quot;},{&quot;family&quot;:&quot;Hughes&quot;,&quot;given&quot;:&quot;Terry&quot;,&quot;parse-names&quot;:false,&quot;dropping-particle&quot;:&quot;&quot;,&quot;non-dropping-particle&quot;:&quot;&quot;},{&quot;family&quot;:&quot;Leeuw&quot;,&quot;given&quot;:&quot;Sander&quot;,&quot;parse-names&quot;:false,&quot;dropping-particle&quot;:&quot;&quot;,&quot;non-dropping-particle&quot;:&quot;Van Der&quot;},{&quot;family&quot;:&quot;Rodhe&quot;,&quot;given&quot;:&quot;Henning&quot;,&quot;parse-names&quot;:false,&quot;dropping-particle&quot;:&quot;&quot;,&quot;non-dropping-particle&quot;:&quot;&quot;},{&quot;family&quot;:&quot;Sörlin&quot;,&quot;given&quot;:&quot;Sverker&quot;,&quot;parse-names&quot;:false,&quot;dropping-particle&quot;:&quot;&quot;,&quot;non-dropping-particle&quot;:&quot;&quot;},{&quot;family&quot;:&quot;Snyder&quot;,&quot;given&quot;:&quot;Peter K&quot;,&quot;parse-names&quot;:false,&quot;dropping-particle&quot;:&quot;&quot;,&quot;non-dropping-particle&quot;:&quot;&quot;},{&quot;family&quot;:&quot;Costanza&quot;,&quot;given&quot;:&quot;Robert&quot;,&quot;parse-names&quot;:false,&quot;dropping-particle&quot;:&quot;&quot;,&quot;non-dropping-particle&quot;:&quot;&quot;},{&quot;family&quot;:&quot;Svedin&quot;,&quot;given&quot;:&quot;Uno&quot;,&quot;parse-names&quot;:false,&quot;dropping-particle&quot;:&quot;&quot;,&quot;non-dropping-particle&quot;:&quot;&quot;},{&quot;family&quot;:&quot;Falkenmark&quot;,&quot;given&quot;:&quot;Malin&quot;,&quot;parse-names&quot;:false,&quot;dropping-particle&quot;:&quot;&quot;,&quot;non-dropping-particle&quot;:&quot;&quot;},{&quot;family&quot;:&quot;Karlberg&quot;,&quot;given&quot;:&quot;Louise&quot;,&quot;parse-names&quot;:false,&quot;dropping-particle&quot;:&quot;&quot;,&quot;non-dropping-particle&quot;:&quot;&quot;},{&quot;family&quot;:&quot;Corell&quot;,&quot;given&quot;:&quot;Robert W&quot;,&quot;parse-names&quot;:false,&quot;dropping-particle&quot;:&quot;&quot;,&quot;non-dropping-particle&quot;:&quot;&quot;},{&quot;family&quot;:&quot;Fabry&quot;,&quot;given&quot;:&quot;Victoria J&quot;,&quot;parse-names&quot;:false,&quot;dropping-particle&quot;:&quot;&quot;,&quot;non-dropping-particle&quot;:&quot;&quot;},{&quot;family&quot;:&quot;Hansen&quot;,&quot;given&quot;:&quot;James&quot;,&quot;parse-names&quot;:false,&quot;dropping-particle&quot;:&quot;&quot;,&quot;non-dropping-particle&quot;:&quot;&quot;},{&quot;family&quot;:&quot;Walker&quot;,&quot;given&quot;:&quot;Brian&quot;,&quot;parse-names&quot;:false,&quot;dropping-particle&quot;:&quot;&quot;,&quot;non-dropping-particle&quot;:&quot;&quot;},{&quot;family&quot;:&quot;Liverman&quot;,&quot;given&quot;:&quot;Diana&quot;,&quot;parse-names&quot;:false,&quot;dropping-particle&quot;:&quot;&quot;,&quot;non-dropping-particle&quot;:&quot;&quot;},{&quot;family&quot;:&quot;Richardson&quot;,&quot;given&quot;:&quot;Katherine&quot;,&quot;parse-names&quot;:false,&quot;dropping-particle&quot;:&quot;&quot;,&quot;non-dropping-particle&quot;:&quot;&quot;},{&quot;family&quot;:&quot;Crutzen&quot;,&quot;given&quot;:&quot;Paul&quot;,&quot;parse-names&quot;:false,&quot;dropping-particle&quot;:&quot;&quot;,&quot;non-dropping-particle&quot;:&quot;&quot;},{&quot;family&quot;:&quot;Foley&quot;,&quot;given&quot;:&quot;Jonathan A&quot;,&quot;parse-names&quot;:false,&quot;dropping-particle&quot;:&quot;&quot;,&quot;non-dropping-particle&quot;:&quot;&quot;}],&quot;container-title&quot;:&quot;Ecology and Society&quot;,&quot;issued&quot;:{&quot;date-parts&quot;:[[2009]]},&quot;publisher&quot;:&quot;In Press&quot;,&quot;container-title-short&quot;:&quot;&quot;},&quot;isTemporary&quot;:false},{&quot;id&quot;:&quot;2b014d14-558b-3cfd-8c6a-c51e63b0a6ae&quot;,&quot;itemData&quot;:{&quot;type&quot;:&quot;report&quot;,&quot;id&quot;:&quot;2b014d14-558b-3cfd-8c6a-c51e63b0a6ae&quot;,&quot;title&quot;:&quot;Earth beyond six of nine planetary boundaries&quot;,&quot;author&quot;:[{&quot;family&quot;:&quot;Richardson&quot;,&quot;given&quot;:&quot;Katherine&quot;,&quot;parse-names&quot;:false,&quot;dropping-particle&quot;:&quot;&quot;,&quot;non-dropping-particle&quot;:&quot;&quot;},{&quot;family&quot;:&quot;Steffen&quot;,&quot;given&quot;:&quot;Will&quot;,&quot;parse-names&quot;:false,&quot;dropping-particle&quot;:&quot;&quot;,&quot;non-dropping-particle&quot;:&quot;&quot;},{&quot;family&quot;:&quot;Lucht&quot;,&quot;given&quot;:&quot;Wolfgang&quot;,&quot;parse-names&quot;:false,&quot;dropping-particle&quot;:&quot;&quot;,&quot;non-dropping-particle&quot;:&quot;&quot;},{&quot;family&quot;:&quot;Bendtsen&quot;,&quot;given&quot;:&quot;Jørgen&quot;,&quot;parse-names&quot;:false,&quot;dropping-particle&quot;:&quot;&quot;,&quot;non-dropping-particle&quot;:&quot;&quot;},{&quot;family&quot;:&quot;Cornell&quot;,&quot;given&quot;:&quot;Sarah E&quot;,&quot;parse-names&quot;:false,&quot;dropping-particle&quot;:&quot;&quot;,&quot;non-dropping-particle&quot;:&quot;&quot;},{&quot;family&quot;:&quot;Donges&quot;,&quot;given&quot;:&quot;Jonathan F&quot;,&quot;parse-names&quot;:false,&quot;dropping-particle&quot;:&quot;&quot;,&quot;non-dropping-particle&quot;:&quot;&quot;},{&quot;family&quot;:&quot;Drüke&quot;,&quot;given&quot;:&quot;Markus&quot;,&quot;parse-names&quot;:false,&quot;dropping-particle&quot;:&quot;&quot;,&quot;non-dropping-particle&quot;:&quot;&quot;},{&quot;family&quot;:&quot;Fetzer&quot;,&quot;given&quot;:&quot;Ingo&quot;,&quot;parse-names&quot;:false,&quot;dropping-particle&quot;:&quot;&quot;,&quot;non-dropping-particle&quot;:&quot;&quot;},{&quot;family&quot;:&quot;Bala&quot;,&quot;given&quot;:&quot;Govindasamy&quot;,&quot;parse-names&quot;:false,&quot;dropping-particle&quot;:&quot;&quot;,&quot;non-dropping-particle&quot;:&quot;&quot;},{&quot;family&quot;:&quot;Bloh&quot;,&quot;given&quot;:&quot;Werner&quot;,&quot;parse-names&quot;:false,&quot;dropping-particle&quot;:&quot;&quot;,&quot;non-dropping-particle&quot;:&quot;Von&quot;},{&quot;family&quot;:&quot;Feulner&quot;,&quot;given&quot;:&quot;Georg&quot;,&quot;parse-names&quot;:false,&quot;dropping-particle&quot;:&quot;&quot;,&quot;non-dropping-particle&quot;:&quot;&quot;},{&quot;family&quot;:&quot;Fiedler&quot;,&quot;given&quot;:&quot;Stephanie&quot;,&quot;parse-names&quot;:false,&quot;dropping-particle&quot;:&quot;&quot;,&quot;non-dropping-particle&quot;:&quot;&quot;},{&quot;family&quot;:&quot;Gerten&quot;,&quot;given&quot;:&quot;Dieter&quot;,&quot;parse-names&quot;:false,&quot;dropping-particle&quot;:&quot;&quot;,&quot;non-dropping-particle&quot;:&quot;&quot;},{&quot;family&quot;:&quot;Gleeson&quot;,&quot;given&quot;:&quot;Tom&quot;,&quot;parse-names&quot;:false,&quot;dropping-particle&quot;:&quot;&quot;,&quot;non-dropping-particle&quot;:&quot;&quot;},{&quot;family&quot;:&quot;Hofmann&quot;,&quot;given&quot;:&quot;Matthias&quot;,&quot;parse-names&quot;:false,&quot;dropping-particle&quot;:&quot;&quot;,&quot;non-dropping-particle&quot;:&quot;&quot;},{&quot;family&quot;:&quot;Huiskamp&quot;,&quot;given&quot;:&quot;Willem&quot;,&quot;parse-names&quot;:false,&quot;dropping-particle&quot;:&quot;&quot;,&quot;non-dropping-particle&quot;:&quot;&quot;},{&quot;family&quot;:&quot;Kummu&quot;,&quot;given&quot;:&quot;Matti&quot;,&quot;parse-names&quot;:false,&quot;dropping-particle&quot;:&quot;&quot;,&quot;non-dropping-particle&quot;:&quot;&quot;},{&quot;family&quot;:&quot;Mohan&quot;,&quot;given&quot;:&quot;Chinchu&quot;,&quot;parse-names&quot;:false,&quot;dropping-particle&quot;:&quot;&quot;,&quot;non-dropping-particle&quot;:&quot;&quot;},{&quot;family&quot;:&quot;Nogués-Bravo&quot;,&quot;given&quot;:&quot;David&quot;,&quot;parse-names&quot;:false,&quot;dropping-particle&quot;:&quot;&quot;,&quot;non-dropping-particle&quot;:&quot;&quot;},{&quot;family&quot;:&quot;Petri&quot;,&quot;given&quot;:&quot;Stefan&quot;,&quot;parse-names&quot;:false,&quot;dropping-particle&quot;:&quot;&quot;,&quot;non-dropping-particle&quot;:&quot;&quot;},{&quot;family&quot;:&quot;Porkka&quot;,&quot;given&quot;:&quot;Miina&quot;,&quot;parse-names&quot;:false,&quot;dropping-particle&quot;:&quot;&quot;,&quot;non-dropping-particle&quot;:&quot;&quot;},{&quot;family&quot;:&quot;Rahmstorf&quot;,&quot;given&quot;:&quot;Stefan&quot;,&quot;parse-names&quot;:false,&quot;dropping-particle&quot;:&quot;&quot;,&quot;non-dropping-particle&quot;:&quot;&quot;},{&quot;family&quot;:&quot;Schaphoff&quot;,&quot;given&quot;:&quot;Sibyll&quot;,&quot;parse-names&quot;:false,&quot;dropping-particle&quot;:&quot;&quot;,&quot;non-dropping-particle&quot;:&quot;&quot;},{&quot;family&quot;:&quot;Thonicke&quot;,&quot;given&quot;:&quot;Kirsten&quot;,&quot;parse-names&quot;:false,&quot;dropping-particle&quot;:&quot;&quot;,&quot;non-dropping-particle&quot;:&quot;&quot;},{&quot;family&quot;:&quot;Tobian&quot;,&quot;given&quot;:&quot;Arne&quot;,&quot;parse-names&quot;:false,&quot;dropping-particle&quot;:&quot;&quot;,&quot;non-dropping-particle&quot;:&quot;&quot;},{&quot;family&quot;:&quot;Virkki&quot;,&quot;given&quot;:&quot;Vili&quot;,&quot;parse-names&quot;:false,&quot;dropping-particle&quot;:&quot;&quot;,&quot;non-dropping-particle&quot;:&quot;&quot;},{&quot;family&quot;:&quot;Wang-Erlandsson&quot;,&quot;given&quot;:&quot;Lan&quot;,&quot;parse-names&quot;:false,&quot;dropping-particle&quot;:&quot;&quot;,&quot;non-dropping-particle&quot;:&quot;&quot;},{&quot;family&quot;:&quot;Weber&quot;,&quot;given&quot;:&quot;Lisa&quot;,&quot;parse-names&quot;:false,&quot;dropping-particle&quot;:&quot;&quot;,&quot;non-dropping-particle&quot;:&quot;&quot;},{&quot;family&quot;:&quot;Rockström&quot;,&quot;given&quot;:&quot;Johan&quot;,&quot;parse-names&quot;:false,&quot;dropping-particle&quot;:&quot;&quot;,&quot;non-dropping-particle&quot;:&quot;&quot;}],&quot;URL&quot;:&quot;https://www.science.org&quot;,&quot;issued&quot;:{&quot;date-parts&quot;:[[2023]]},&quot;abstract&quot;:&quot;This planetary boundaries framework update finds that six of the nine boundaries are transgressed, suggesting that Earth is now well outside of the safe operating space for humanity. Ocean acidification is close to being breached, while aerosol loading regionally exceeds the boundary. Stratospheric ozone levels have slightly recovered. The transgression level has increased for all boundaries earlier identified as overstepped. As primary production drives Earth system biosphere functions, human appropriation of net primary production is proposed as a control variable for functional biosphere integrity. This boundary is also transgressed. Earth system modeling of different levels of the transgression of the climate and land system change boundaries illustrates that these anthropogenic impacts on Earth system must be considered in a systemic context.&quot;,&quot;container-title-short&quot;:&quot;&quot;},&quot;isTemporary&quot;:false}]},{&quot;citationID&quot;:&quot;MENDELEY_CITATION_305f2b87-e1db-40fe-94c8-4928097ea70c&quot;,&quot;properties&quot;:{&quot;noteIndex&quot;:0},&quot;isEdited&quot;:false,&quot;manualOverride&quot;:{&quot;isManuallyOverridden&quot;:false,&quot;citeprocText&quot;:&quot;(UNFCCC, 2015)&quot;,&quot;manualOverrideText&quot;:&quot;&quot;},&quot;citationTag&quot;:&quot;MENDELEY_CITATION_v3_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&quot;,&quot;citationItems&quot;:[{&quot;id&quot;:&quot;d2c1f6d4-9f29-3332-a00a-86f103b244ab&quot;,&quot;itemData&quot;:{&quot;type&quot;:&quot;webpage&quot;,&quot;id&quot;:&quot;d2c1f6d4-9f29-3332-a00a-86f103b244ab&quot;,&quot;title&quot;:&quot;Adoption of the Paris Agreement&quot;,&quot;author&quot;:[{&quot;family&quot;:&quot;UNFCCC&quot;,&quot;given&quot;:&quot;&quot;,&quot;parse-names&quot;:false,&quot;dropping-particle&quot;:&quot;&quot;,&quot;non-dropping-particle&quot;:&quot;&quot;}],&quot;URL&quot;:&quot;https://unfccc.int/resource/docs/2015/cop21/eng/l09r01.pdf&quot;,&quot;issued&quot;:{&quot;date-parts&quot;:[[2015]]},&quot;container-title-short&quot;:&quot;&quot;},&quot;isTemporary&quot;:false}]},{&quot;citationID&quot;:&quot;MENDELEY_CITATION_7919971c-97f1-4193-93af-356df48ab1c7&quot;,&quot;properties&quot;:{&quot;noteIndex&quot;:0},&quot;isEdited&quot;:false,&quot;manualOverride&quot;:{&quot;isManuallyOverridden&quot;:true,&quot;citeprocText&quot;:&quot;(Brundtland Commission, 1987)&quot;,&quot;manualOverrideText&quot;:&quot;; Brundtland Commission, 1987)&quot;},&quot;citationTag&quot;:&quot;MENDELEY_CITATION_v3_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&quot;,&quot;citationItems&quot;:[{&quot;id&quot;:&quot;303a646a-6a88-3c24-b0bc-0640e24ce1a7&quot;,&quot;itemData&quot;:{&quot;type&quot;:&quot;article-journal&quot;,&quot;id&quot;:&quot;303a646a-6a88-3c24-b0bc-0640e24ce1a7&quot;,&quot;title&quot;:&quot;The Brundtland Report: 'Our Common Future'&quot;,&quot;author&quot;:[{&quot;family&quot;:&quot;Brundtland Commission&quot;,&quot;given&quot;:&quot;&quot;,&quot;parse-names&quot;:false,&quot;dropping-particle&quot;:&quot;&quot;,&quot;non-dropping-particle&quot;:&quot;&quot;}],&quot;DOI&quot;:&quot;10.1080/07488008808408783&quot;,&quot;ISSN&quot;:&quot;07488009&quot;,&quot;issued&quot;:{&quot;date-parts&quot;:[[1988]]},&quot;page&quot;:&quot;17-25&quot;,&quot;abstract&quot;:&quot;The World Commission on Environment and Development presented its report to the world at a press conference in London, England on 27 April 1987. The report examines the critical issues of environment and development, suggests concrete and realistic proposals for dealing with them, and proposes far-reaching changes for implementing the proposals at national and international levels. © 1988, Taylor &amp; Francis Group, LLC. All rights reserved.&quot;,&quot;issue&quot;:&quot;1&quot;,&quot;volume&quot;:&quot;4&quot;,&quot;container-title-short&quot;:&quot;&quot;},&quot;isTemporary&quot;:false}]},{&quot;citationID&quot;:&quot;MENDELEY_CITATION_2d588c50-52bb-4cf7-8bcb-3757b4e9a83a&quot;,&quot;properties&quot;:{&quot;noteIndex&quot;:0},&quot;isEdited&quot;:false,&quot;manualOverride&quot;:{&quot;isManuallyOverridden&quot;:false,&quot;citeprocText&quot;:&quot;(Raworth, 2012; United Nations, 2025)&quot;,&quot;manualOverrideText&quot;:&quot;&quot;},&quot;citationTag&quot;:&quot;MENDELEY_CITATION_v3_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&quot;,&quot;citationItems&quot;:[{&quot;id&quot;:&quot;5780734a-603d-3dcf-9fe5-6c19baa84910&quot;,&quot;itemData&quot;:{&quot;type&quot;:&quot;report&quot;,&quot;id&quot;:&quot;5780734a-603d-3dcf-9fe5-6c19baa84910&quot;,&quot;title&quot;:&quot;A Safe and Just Space for Humanity: Can we live within the doughnut?&quot;,&quot;author&quot;:[{&quot;family&quot;:&quot;Raworth&quot;,&quot;given&quot;:&quot;Kate&quot;,&quot;parse-names&quot;:false,&quot;dropping-particle&quot;:&quot;&quot;,&quot;non-dropping-particle&quot;:&quot;&quot;}],&quot;URL&quot;:&quot;www.oxfam.org/grow&quot;,&quot;issued&quot;:{&quot;date-parts&quot;:[[2012]]},&quot;abstract&quot;:&quot;Oxfam Humanity's challenge in the 21 st century is to eradicate poverty and achieve prosperity for all within the means of the planet's limited natural resources. In the run-up to Rio+20, this discussion paper presents a visual framework-shaped like a doughnut-which brings planetary boundaries together with social boundaries, creating a safe and just space between the two, in which humanity can thrive. Moving into this space demands far greater equity-within and between countries-in the use of natural resources, and far greater efficiency in transforming those resources to meet human needs.&quot;,&quot;container-title-short&quot;:&quot;&quot;},&quot;isTemporary&quot;:false},{&quot;id&quot;:&quot;cca0cfe5-7845-3340-97a4-64d6c3a0868c&quot;,&quot;itemData&quot;:{&quot;type&quot;:&quot;report&quot;,&quot;id&quot;:&quot;cca0cfe5-7845-3340-97a4-64d6c3a0868c&quot;,&quot;title&quot;:&quot;Transforming Our World: The 2030 Agenda for Sustainable Development&quot;,&quot;author&quot;:[{&quot;family&quot;:&quot;United Nations&quot;,&quot;given&quot;:&quot;&quot;,&quot;parse-names&quot;:false,&quot;dropping-particle&quot;:&quot;&quot;,&quot;non-dropping-particle&quot;:&quot;&quot;}],&quot;issued&quot;:{&quot;date-parts&quot;:[[2025]]},&quot;container-title-short&quot;:&quot;&quot;},&quot;isTemporary&quot;:false}]},{&quot;citationID&quot;:&quot;MENDELEY_CITATION_31389615-fd6e-428a-9037-14f1942e5df1&quot;,&quot;properties&quot;:{&quot;noteIndex&quot;:0},&quot;isEdited&quot;:false,&quot;manualOverride&quot;:{&quot;isManuallyOverridden&quot;:false,&quot;citeprocText&quot;:&quot;(SBTi, 2025)&quot;,&quot;manualOverrideText&quot;:&quot;&quot;},&quot;citationTag&quot;:&quot;MENDELEY_CITATION_v3_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&quot;,&quot;citationItems&quot;:[{&quot;id&quot;:&quot;dd9d9b2f-ad11-30a9-b914-7de0e68fb0b1&quot;,&quot;itemData&quot;:{&quot;type&quot;:&quot;report&quot;,&quot;id&quot;:&quot;dd9d9b2f-ad11-30a9-b914-7de0e68fb0b1&quot;,&quot;title&quot;:&quot;SBTi Corporate net-zero standard&quot;,&quot;author&quot;:[{&quot;family&quot;:&quot;SBTi&quot;,&quot;given&quot;:&quot;&quot;,&quot;parse-names&quot;:false,&quot;dropping-particle&quot;:&quot;&quot;,&quot;non-dropping-particle&quot;:&quot;&quot;}],&quot;issued&quot;:{&quot;date-parts&quot;:[[2025,9]]},&quot;container-title-short&quot;:&quot;&quot;},&quot;isTemporary&quot;:false}]},{&quot;citationID&quot;:&quot;MENDELEY_CITATION_05b44602-149f-4519-95ec-bde6e9ec96bf&quot;,&quot;properties&quot;:{&quot;noteIndex&quot;:0},&quot;isEdited&quot;:false,&quot;manualOverride&quot;:{&quot;isManuallyOverridden&quot;:false,&quot;citeprocText&quot;:&quot;(Ranganathan et al., 2004; SBTi, 2025)&quot;,&quot;manualOverrideText&quot;:&quot;&quot;},&quot;citationTag&quot;:&quot;MENDELEY_CITATION_v3_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&quot;,&quot;citationItems&quot;:[{&quot;id&quot;:&quot;6d434b1c-d687-3193-8786-c265933c6e44&quot;,&quot;itemData&quot;:{&quot;type&quot;:&quot;report&quot;,&quot;id&quot;:&quot;6d434b1c-d687-3193-8786-c265933c6e44&quot;,&quot;title&quot;:&quot;The Greenhouse Gas Protocol&quot;,&quot;author&quot;:[{&quot;family&quot;:&quot;Ranganathan&quot;,&quot;given&quot;:&quot;Janet&quot;,&quot;parse-names&quot;:false,&quot;dropping-particle&quot;:&quot;&quot;,&quot;non-dropping-particle&quot;:&quot;&quot;},{&quot;family&quot;:&quot;Corbier&quot;,&quot;given&quot;:&quot;Laurent&quot;,&quot;parse-names&quot;:false,&quot;dropping-particle&quot;:&quot;&quot;,&quot;non-dropping-particle&quot;:&quot;&quot;},{&quot;family&quot;:&quot;Schmitz&quot;,&quot;given&quot;:&quot;Simon&quot;,&quot;parse-names&quot;:false,&quot;dropping-particle&quot;:&quot;&quot;,&quot;non-dropping-particle&quot;:&quot;&quot;},{&quot;family&quot;:&quot;Oren&quot;,&quot;given&quot;:&quot;Kjell&quot;,&quot;parse-names&quot;:false,&quot;dropping-particle&quot;:&quot;&quot;,&quot;non-dropping-particle&quot;:&quot;&quot;},{&quot;family&quot;:&quot;Dawson&quot;,&quot;given&quot;:&quot;Brian&quot;,&quot;parse-names&quot;:false,&quot;dropping-particle&quot;:&quot;&quot;,&quot;non-dropping-particle&quot;:&quot;&quot;},{&quot;family&quot;:&quot;Spannagle&quot;,&quot;given&quot;:&quot;Matt&quot;,&quot;parse-names&quot;:false,&quot;dropping-particle&quot;:&quot;&quot;,&quot;non-dropping-particle&quot;:&quot;&quot;},{&quot;family&quot;:&quot;Bp&quot;,&quot;given&quot;:&quot;Mike Mcmahon&quot;,&quot;parse-names&quot;:false,&quot;dropping-particle&quot;:&quot;&quot;,&quot;non-dropping-particle&quot;:&quot;&quot;},{&quot;family&quot;:&quot;Boileau&quot;,&quot;given&quot;:&quot;Pierre&quot;,&quot;parse-names&quot;:false,&quot;dropping-particle&quot;:&quot;&quot;,&quot;non-dropping-particle&quot;:&quot;&quot;},{&quot;family&quot;:&quot;Canada&quot;,&quot;given&quot;:&quot;Environment&quot;,&quot;parse-names&quot;:false,&quot;dropping-particle&quot;:&quot;&quot;,&quot;non-dropping-particle&quot;:&quot;&quot;},{&quot;family&quot;:&quot;Frederick&quot;,&quot;given&quot;:&quot;Rob&quot;,&quot;parse-names&quot;:false,&quot;dropping-particle&quot;:&quot;&quot;,&quot;non-dropping-particle&quot;:&quot;&quot;},{&quot;family&quot;:&quot;Vanderborght&quot;,&quot;given&quot;:&quot;Bruno&quot;,&quot;parse-names&quot;:false,&quot;dropping-particle&quot;:&quot;&quot;,&quot;non-dropping-particle&quot;:&quot;&quot;},{&quot;family&quot;:&quot;Thomson&quot;,&quot;given&quot;:&quot;Holcim Fraser&quot;,&quot;parse-names&quot;:false,&quot;dropping-particle&quot;:&quot;&quot;,&quot;non-dropping-particle&quot;:&quot;&quot;},{&quot;family&quot;:&quot;Kitamura&quot;,&quot;given&quot;:&quot;Koichi&quot;,&quot;parse-names&quot;:false,&quot;dropping-particle&quot;:&quot;&quot;,&quot;non-dropping-particle&quot;:&quot;&quot;},{&quot;family&quot;:&quot;Woo&quot;,&quot;given&quot;:&quot;Chi Mun&quot;,&quot;parse-names&quot;:false,&quot;dropping-particle&quot;:&quot;&quot;,&quot;non-dropping-particle&quot;:&quot;&quot;},{&quot;family&quot;:&quot;Naseem&quot;,&quot;given&quot;:&quot;&amp;&quot;,&quot;parse-names&quot;:false,&quot;dropping-particle&quot;:&quot;&quot;,&quot;non-dropping-particle&quot;:&quot;&quot;},{&quot;family&quot;:&quot;Kpmg&quot;,&quot;given&quot;:&quot;Pankhida&quot;,&quot;parse-names&quot;:false,&quot;dropping-particle&quot;:&quot;&quot;,&quot;non-dropping-particle&quot;:&quot;&quot;},{&quot;family&quot;:&quot;Miner&quot;,&quot;given&quot;:&quot;Reid&quot;,&quot;parse-names&quot;:false,&quot;dropping-particle&quot;:&quot;&quot;,&quot;non-dropping-particle&quot;:&quot;&quot;},{&quot;family&quot;:&quot;Pricewaterhousecoopers&quot;,&quot;given&quot;:&quot;Laurent Segalen&quot;,&quot;parse-names&quot;:false,&quot;dropping-particle&quot;:&quot;&quot;,&quot;non-dropping-particle&quot;:&quot;&quot;},{&quot;family&quot;:&quot;Koch&quot;,&quot;given&quot;:&quot;Jasper&quot;,&quot;parse-names&quot;:false,&quot;dropping-particle&quot;:&quot;&quot;,&quot;non-dropping-particle&quot;:&quot;&quot;},{&quot;family&quot;:&quot;Bhattacharjee&quot;,&quot;given&quot;:&quot;Somnath&quot;,&quot;parse-names&quot;:false,&quot;dropping-particle&quot;:&quot;&quot;,&quot;non-dropping-particle&quot;:&quot;&quot;},{&quot;family&quot;:&quot;Cummis&quot;,&quot;given&quot;:&quot;Cynthia&quot;,&quot;parse-names&quot;:false,&quot;dropping-particle&quot;:&quot;&quot;,&quot;non-dropping-particle&quot;:&quot;&quot;},{&quot;family&quot;:&quot;Eaton&quot;,&quot;given&quot;:&quot;Rebecca&quot;,&quot;parse-names&quot;:false,&quot;dropping-particle&quot;:&quot;&quot;,&quot;non-dropping-particle&quot;:&quot;&quot;},{&quot;family&quot;:&quot;Gillenwater&quot;,&quot;given&quot;:&quot;Michael&quot;,&quot;parse-names&quot;:false,&quot;dropping-particle&quot;:&quot;&quot;,&quot;non-dropping-particle&quot;:&quot;&quot;},{&quot;family&quot;:&quot;Pricewaterhousecoopers&quot;,&quot;given&quot;:&quot;Marie Marache&quot;,&quot;parse-names&quot;:false,&quot;dropping-particle&quot;:&quot;&quot;,&quot;non-dropping-particle&quot;:&quot;&quot;},{&quot;family&quot;:&quot;Acosta&quot;,&quot;given&quot;:&quot;Roberto&quot;,&quot;parse-names&quot;:false,&quot;dropping-particle&quot;:&quot;&quot;,&quot;non-dropping-particle&quot;:&quot;&quot;},{&quot;family&quot;:&quot;Camobreco&quot;,&quot;given&quot;:&quot;Vincent&quot;,&quot;parse-names&quot;:false,&quot;dropping-particle&quot;:&quot;&quot;,&quot;non-dropping-particle&quot;:&quot;&quot;}],&quot;issued&quot;:{&quot;date-parts&quot;:[[2004,3]]},&quot;container-title-short&quot;:&quot;&quot;},&quot;isTemporary&quot;:false},{&quot;id&quot;:&quot;dd9d9b2f-ad11-30a9-b914-7de0e68fb0b1&quot;,&quot;itemData&quot;:{&quot;type&quot;:&quot;report&quot;,&quot;id&quot;:&quot;dd9d9b2f-ad11-30a9-b914-7de0e68fb0b1&quot;,&quot;title&quot;:&quot;SBTi Corporate net-zero standard&quot;,&quot;author&quot;:[{&quot;family&quot;:&quot;SBTi&quot;,&quot;given&quot;:&quot;&quot;,&quot;parse-names&quot;:false,&quot;dropping-particle&quot;:&quot;&quot;,&quot;non-dropping-particle&quot;:&quot;&quot;}],&quot;issued&quot;:{&quot;date-parts&quot;:[[2025,9]]},&quot;container-title-short&quot;:&quot;&quot;},&quot;isTemporary&quot;:false}]},{&quot;citationID&quot;:&quot;MENDELEY_CITATION_3d4d2a20-498a-4b59-b0e7-8c5a8fbd33c4&quot;,&quot;properties&quot;:{&quot;noteIndex&quot;:0},&quot;isEdited&quot;:false,&quot;manualOverride&quot;:{&quot;isManuallyOverridden&quot;:false,&quot;citeprocText&quot;:&quot;(Heide, Hauschild, et al., 2023; Robiou du Pont et al., 2024)&quot;,&quot;manualOverrideText&quot;:&quot;&quot;},&quot;citationTag&quot;:&quot;MENDELEY_CITATION_v3_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&quot;,&quot;citationItems&quot;:[{&quot;id&quot;:&quot;6a58f8e3-d524-3540-9648-9a7f903f6e48&quot;,&quot;itemData&quot;:{&quot;type&quot;:&quot;article-journal&quot;,&quot;id&quot;:&quot;6a58f8e3-d524-3540-9648-9a7f903f6e48&quot;,&quot;title&quot;:&quot;Reflecting the importance of human needs fulfilment in absolute sustainability assessments: Development of a sharing principle&quot;,&quot;author&quot;:[{&quot;family&quot;:&quot;Heide&quot;,&quot;given&quot;:&quot;Mia&quot;,&quot;parse-names&quot;:false,&quot;dropping-particle&quot;:&quot;&quot;,&quot;non-dropping-particle&quot;:&quot;&quot;},{&quot;family&quot;:&quot;Hauschild&quot;,&quot;given&quot;:&quot;Michael Z.&quot;,&quot;parse-names&quot;:false,&quot;dropping-particle&quot;:&quot;&quot;,&quot;non-dropping-particle&quot;:&quot;&quot;},{&quot;family&quot;:&quot;Ryberg&quot;,&quot;given&quot;:&quot;Morten&quot;,&quot;parse-names&quot;:false,&quot;dropping-particle&quot;:&quot;&quot;,&quot;non-dropping-particle&quot;:&quot;&quot;}],&quot;container-title&quot;:&quot;Journal of Industrial Ecology&quot;,&quot;container-title-short&quot;:&quot;J. Ind. Ecol.&quot;,&quot;DOI&quot;:&quot;10.1111/jiec.13405&quot;,&quot;ISSN&quot;:&quot;1088-1980&quot;,&quot;URL&quot;:&quot;https://onlinelibrary.wiley.com/doi/10.1111/jiec.13405&quot;,&quot;issued&quot;:{&quot;date-parts&quot;:[[2023,5,23]]}},&quot;isTemporary&quot;:false},{&quot;id&quot;:&quot;74b1c656-e7b4-3f9b-9fa2-563933ea7dc6&quot;,&quot;itemData&quot;:{&quot;type&quot;:&quot;article-journal&quot;,&quot;id&quot;:&quot;74b1c656-e7b4-3f9b-9fa2-563933ea7dc6&quot;,&quot;title&quot;:&quot;Corporate emissions targets and the neglect of future innovators&quot;,&quot;author&quot;:[{&quot;family&quot;:&quot;Robiou du Pont&quot;,&quot;given&quot;:&quot;Yann&quot;,&quot;parse-names&quot;:false,&quot;dropping-particle&quot;:&quot;&quot;,&quot;non-dropping-particle&quot;:&quot;&quot;},{&quot;family&quot;:&quot;Rogelj&quot;,&quot;given&quot;:&quot;Joeri&quot;,&quot;parse-names&quot;:false,&quot;dropping-particle&quot;:&quot;&quot;,&quot;non-dropping-particle&quot;:&quot;&quot;},{&quot;family&quot;:&quot;Hsu&quot;,&quot;given&quot;:&quot;Angel&quot;,&quot;parse-names&quot;:false,&quot;dropping-particle&quot;:&quot;&quot;,&quot;non-dropping-particle&quot;:&quot;&quot;},{&quot;family&quot;:&quot;Vuuren&quot;,&quot;given&quot;:&quot;Detlef&quot;,&quot;parse-names&quot;:false,&quot;dropping-particle&quot;:&quot;&quot;,&quot;non-dropping-particle&quot;:&quot;van&quot;},{&quot;family&quot;:&quot;Hoepner&quot;,&quot;given&quot;:&quot;Andreas G.F.&quot;,&quot;parse-names&quot;:false,&quot;dropping-particle&quot;:&quot;&quot;,&quot;non-dropping-particle&quot;:&quot;&quot;}],&quot;container-title&quot;:&quot;Science&quot;,&quot;container-title-short&quot;:&quot;Science (1979).&quot;,&quot;DOI&quot;:&quot;10.1126/science.adl5081&quot;,&quot;ISSN&quot;:&quot;10959203&quot;,&quot;PMID&quot;:&quot;38662813&quot;,&quot;issued&quot;:{&quot;date-parts&quot;:[[2024,4,26]]},&quot;page&quot;:&quot;388-390&quot;,&quot;abstract&quot;:&quot;Widely recognized as key partners for achieving international climate goals (1, 2), businesses like to indicate that their targets and activities are “Paris-aligned.” In response, research and initiatives have emerged to guide and assess whether companies’ targets represent an adequate mitigation effort to achieve the Paris Agreement. Here, we highlight conceptual limitations of effort-sharing approaches applied to companies and argue that the fundamental assumption of using emission-reduction targets as the central and often sole metric for setting or benchmarking individual corporations’ climate action ambition is simply insufficient because future innovators are neglected. Although emissions targets can help curb emissions, we detail the risks of relying on individual corporation’s emissions targets to guide and track progress in aligning the economy with the Paris Agreement goals. Last, we clarify the distinct roles of companies as agents of innovation and of market regulators and supervisors as either definers or enforcers of market-wide objectives for sustainability.&quot;,&quot;publisher&quot;:&quot;American Association for the Advancement of Science&quot;,&quot;issue&quot;:&quot;6694&quot;,&quot;volume&quot;:&quot;384&quot;},&quot;isTemporary&quot;:false}]},{&quot;citationID&quot;:&quot;MENDELEY_CITATION_d7cfca46-a542-4c69-a7a2-5acc39418d09&quot;,&quot;properties&quot;:{&quot;noteIndex&quot;:0},&quot;isEdited&quot;:false,&quot;manualOverride&quot;:{&quot;isManuallyOverridden&quot;:false,&quot;citeprocText&quot;:&quot;(Bjørn et al., 2021; IEA, 2021; Krabbe et al., 2015; SBTi, 2025)&quot;,&quot;manualOverrideText&quot;:&quot;&quot;},&quot;citationTag&quot;:&quot;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&quot;,&quot;citationItems&quot;:[{&quot;id&quot;:&quot;fc32f8de-7cb2-3457-a0eb-b335bd3cae98&quot;,&quot;itemData&quot;:{&quot;type&quot;:&quot;article-journal&quot;,&quot;id&quot;:&quot;fc32f8de-7cb2-3457-a0eb-b335bd3cae98&quot;,&quot;title&quot;:&quot;From the Paris Agreement to corporate climate commitments: evaluation of seven methods for setting 'science-based' emission targets&quot;,&quot;author&quot;:[{&quot;family&quot;:&quot;Bjørn&quot;,&quot;given&quot;:&quot;Anders&quot;,&quot;parse-names&quot;:false,&quot;dropping-particle&quot;:&quot;&quot;,&quot;non-dropping-particle&quot;:&quot;&quot;},{&quot;family&quot;:&quot;Lloyd&quot;,&quot;given&quot;:&quot;Shannon&quot;,&quot;parse-names&quot;:false,&quot;dropping-particle&quot;:&quot;&quot;,&quot;non-dropping-particle&quot;:&quot;&quot;},{&quot;family&quot;:&quot;Matthews&quot;,&quot;given&quot;:&quot;Damon&quot;,&quot;parse-names&quot;:false,&quot;dropping-particle&quot;:&quot;&quot;,&quot;non-dropping-particle&quot;:&quot;&quot;}],&quot;container-title&quot;:&quot;Environmental Research Letters&quot;,&quot;DOI&quot;:&quot;10.1088/1748-9326/abe57b&quot;,&quot;ISSN&quot;:&quot;17489326&quot;,&quot;issued&quot;:{&quot;date-parts&quot;:[[2021,5,1]]},&quot;abstract&quot;:&quot;While large companies routinely announce greenhouse gas emissions targets, few have derived targets based on global climate goals. This changed in 2015 with the creation of the science based targets (SBTs) initiative, which provides guidelines for setting emission targets in line with the temperature goal of the Paris Agreement. SBTs have now been set by more than 500 companies. Methods for setting such targets are not presented in a comparable way in target-setting guidelines and concerns that certain methods may lead to overshoot of the temperature goal have not been investigated. Here, we systematically characterize and compare all seven broadly applicable target-setting methods and quantify the balance between collective corporate SBTs and global allowable emissions for individual methods and different method mixes. We use a simplified global production scenario composed of eight archetypical companies to evaluate target-setting methods across a range of company characteristics and global emission scenarios. The methods vary greatly with respect to emission allocation principles, required company variables and embedded global emission scenarios. Some methods treat companies largely the same, while others differentiate between company types based on geography, economic sector, projected growth rate or baseline emission intensity. The application of individual target-setting methods as well as different mixes of methods tend to result in an imbalance between time-integrated aggregated SBTs and global allowable emissions. The sign and size of this imbalance is in some cases sensitive to the shape of the global emission pathway and the distribution of variables between the company archetypes. We recommend that the SBT initiative (a) use our SBT method characterisation to present methods in a systematic way, (b) consider our emission imbalance analysis in its method recommendations, (c) disclose underlying reasons for its method recommendations, and (d) require transparency from companies on the calculation of established SBTs.&quot;,&quot;publisher&quot;:&quot;IOP Publishing Ltd&quot;,&quot;issue&quot;:&quot;5&quot;,&quot;volume&quot;:&quot;16&quot;,&quot;container-title-short&quot;:&quot;&quot;},&quot;isTemporary&quot;:false},{&quot;id&quot;:&quot;a7c6f072-94e5-3b5b-a069-59e8a1a2d0bc&quot;,&quot;itemData&quot;:{&quot;type&quot;:&quot;article-journal&quot;,&quot;id&quot;:&quot;a7c6f072-94e5-3b5b-a069-59e8a1a2d0bc&quot;,&quot;title&quot;:&quot;Aligning corporate greenhouse-gas emissions targets with climate goals&quot;,&quot;author&quot;:[{&quot;family&quot;:&quot;Krabbe&quot;,&quot;given&quot;:&quot;Oskar&quot;,&quot;parse-names&quot;:false,&quot;dropping-particle&quot;:&quot;&quot;,&quot;non-dropping-particle&quot;:&quot;&quot;},{&quot;family&quot;:&quot;Linthorst&quot;,&quot;given&quot;:&quot;Giel&quot;,&quot;parse-names&quot;:false,&quot;dropping-particle&quot;:&quot;&quot;,&quot;non-dropping-particle&quot;:&quot;&quot;},{&quot;family&quot;:&quot;Blok&quot;,&quot;given&quot;:&quot;Kornelis&quot;,&quot;parse-names&quot;:false,&quot;dropping-particle&quot;:&quot;&quot;,&quot;non-dropping-particle&quot;:&quot;&quot;},{&quot;family&quot;:&quot;Crijns-Graus&quot;,&quot;given&quot;:&quot;Wina&quot;,&quot;parse-names&quot;:false,&quot;dropping-particle&quot;:&quot;&quot;,&quot;non-dropping-particle&quot;:&quot;&quot;},{&quot;family&quot;:&quot;Vuuren&quot;,&quot;given&quot;:&quot;Detlef P.&quot;,&quot;parse-names&quot;:false,&quot;dropping-particle&quot;:&quot;&quot;,&quot;non-dropping-particle&quot;:&quot;Van&quot;},{&quot;family&quot;:&quot;Höhne&quot;,&quot;given&quot;:&quot;Niklas&quot;,&quot;parse-names&quot;:false,&quot;dropping-particle&quot;:&quot;&quot;,&quot;non-dropping-particle&quot;:&quot;&quot;},{&quot;family&quot;:&quot;Faria&quot;,&quot;given&quot;:&quot;Pedro&quot;,&quot;parse-names&quot;:false,&quot;dropping-particle&quot;:&quot;&quot;,&quot;non-dropping-particle&quot;:&quot;&quot;},{&quot;family&quot;:&quot;Aden&quot;,&quot;given&quot;:&quot;Nate&quot;,&quot;parse-names&quot;:false,&quot;dropping-particle&quot;:&quot;&quot;,&quot;non-dropping-particle&quot;:&quot;&quot;},{&quot;family&quot;:&quot;Pineda&quot;,&quot;given&quot;:&quot;Alberto Carrillo&quot;,&quot;parse-names&quot;:false,&quot;dropping-particle&quot;:&quot;&quot;,&quot;non-dropping-particle&quot;:&quot;&quot;}],&quot;container-title&quot;:&quot;Nature Climate Change&quot;,&quot;container-title-short&quot;:&quot;Nat. Clim. Chang.&quot;,&quot;DOI&quot;:&quot;10.1038/nclimate2770&quot;,&quot;ISSN&quot;:&quot;17586798&quot;,&quot;issued&quot;:{&quot;date-parts&quot;:[[2015]]},&quot;page&quot;:&quot;1057-1060&quot;,&quot;abstract&quot;:&quot;Corporate climate action is increasingly considered important in driving the transition towards a low-carbon economy. For this, it is critical to ensure translation of global goals to greenhouse-gas (GHG) emissions reduction targets at company level. At the moment, however, there is a lack of clear methods to derive consistent corporate target setting that keeps cumulative corporate GHG emissions within a specific carbon budget (for example, 550-1,300GtCO2 between 2011 and 2050 for the 2°C target). Here we propose a method for corporate emissions target setting that derives carbon intensity pathways for companies based on sectoral pathways from existing mitigation scenarios: the Sectoral Decarbonization Approach (SDA). These company targets take activity growth and initial performance into account. Next to target setting on company level, the SDA can be used by companies, policymakers, investors or other stakeholders as a benchmark for tracking corporate climate performance and actions, providing a mechanism for corporate accountability.&quot;,&quot;issue&quot;:&quot;12&quot;,&quot;volume&quot;:&quot;5&quot;},&quot;isTemporary&quot;:false},{&quot;id&quot;:&quot;dd9d9b2f-ad11-30a9-b914-7de0e68fb0b1&quot;,&quot;itemData&quot;:{&quot;type&quot;:&quot;report&quot;,&quot;id&quot;:&quot;dd9d9b2f-ad11-30a9-b914-7de0e68fb0b1&quot;,&quot;title&quot;:&quot;SBTi Corporate net-zero standard&quot;,&quot;author&quot;:[{&quot;family&quot;:&quot;SBTi&quot;,&quot;given&quot;:&quot;&quot;,&quot;parse-names&quot;:false,&quot;dropping-particle&quot;:&quot;&quot;,&quot;non-dropping-particle&quot;:&quot;&quot;}],&quot;issued&quot;:{&quot;date-parts&quot;:[[2025,9]]},&quot;container-title-short&quot;:&quot;&quot;},&quot;isTemporary&quot;:false},{&quot;id&quot;:&quot;0df26f8c-4327-3d8a-971d-7a63e5e15b89&quot;,&quot;itemData&quot;:{&quot;type&quot;:&quot;article&quot;,&quot;id&quot;:&quot;0df26f8c-4327-3d8a-971d-7a63e5e15b89&quot;,&quot;title&quot;:&quot;Net Zero by 2050&quot;,&quot;author&quot;:[{&quot;family&quot;:&quot;IEA&quot;,&quot;given&quot;:&quot;&quot;,&quot;parse-names&quot;:false,&quot;dropping-particle&quot;:&quot;&quot;,&quot;non-dropping-particle&quot;:&quot;&quot;}],&quot;accessed&quot;:{&quot;date-parts&quot;:[[2025,11,25]]},&quot;URL&quot;:&quot;https://www.iea.org/reports/net-zero-by-2050&quot;,&quot;issued&quot;:{&quot;date-parts&quot;:[[2021]]},&quot;publisher-place&quot;:&quot;Paris&quot;,&quot;container-title-short&quot;:&quot;&quot;},&quot;isTemporary&quot;:false}]},{&quot;citationID&quot;:&quot;MENDELEY_CITATION_65845606-90bf-4869-88c9-80b9a365f83c&quot;,&quot;properties&quot;:{&quot;noteIndex&quot;:0},&quot;isEdited&quot;:false,&quot;manualOverride&quot;:{&quot;isManuallyOverridden&quot;:false,&quot;citeprocText&quot;:&quot;(Bjørn et al., 2020; Heide, Hauschild, et al., 2023; Hjalsted et al., 2021; Oosterhoff et al., 2023; Ryberg et al., 2020)&quot;,&quot;manualOverrideText&quot;:&quot;&quot;},&quot;citationTag&quot;:&quot;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&quot;,&quot;citationItems&quot;:[{&quot;id&quot;:&quot;f9244778-8053-35eb-831b-9888c6f02b15&quot;,&quot;itemData&quot;:{&quot;type&quot;:&quot;article-journal&quot;,&quot;id&quot;:&quot;f9244778-8053-35eb-831b-9888c6f02b15&quot;,&quot;title&quot;:&quot;Sharing the safe operating space: Exploring ethical allocation principles to operationalize the planetary boundaries and assess absolute sustainability at individual and industrial sector levels&quot;,&quot;author&quot;:[{&quot;family&quot;:&quot;Hjalsted&quot;,&quot;given&quot;:&quot;Anjila Wegge&quot;,&quot;parse-names&quot;:false,&quot;dropping-particle&quot;:&quot;&quot;,&quot;non-dropping-particle&quot;:&quot;&quot;},{&quot;family&quot;:&quot;Laurent&quot;,&quot;given&quot;:&quot;Alexis&quot;,&quot;parse-names&quot;:false,&quot;dropping-particle&quot;:&quot;&quot;,&quot;non-dropping-particle&quot;:&quot;&quot;},{&quot;family&quot;:&quot;Andersen&quot;,&quot;given&quot;:&quot;Martin Marchman&quot;,&quot;parse-names&quot;:false,&quot;dropping-particle&quot;:&quot;&quot;,&quot;non-dropping-particle&quot;:&quot;&quot;},{&quot;family&quot;:&quot;Olsen&quot;,&quot;given&quot;:&quot;Karen Holm&quot;,&quot;parse-names&quot;:false,&quot;dropping-particle&quot;:&quot;&quot;,&quot;non-dropping-particle&quot;:&quot;&quot;},{&quot;family&quot;:&quot;Ryberg&quot;,&quot;given&quot;:&quot;Morten&quot;,&quot;parse-names&quot;:false,&quot;dropping-particle&quot;:&quot;&quot;,&quot;non-dropping-particle&quot;:&quot;&quot;},{&quot;family&quot;:&quot;Hauschild&quot;,&quot;given&quot;:&quot;Michael&quot;,&quot;parse-names&quot;:false,&quot;dropping-particle&quot;:&quot;&quot;,&quot;non-dropping-particle&quot;:&quot;&quot;}],&quot;container-title&quot;:&quot;Journal of Industrial Ecology&quot;,&quot;container-title-short&quot;:&quot;J. Ind. Ecol.&quot;,&quot;DOI&quot;:&quot;10.1111/jiec.13050&quot;,&quot;ISSN&quot;:&quot;15309290&quot;,&quot;issued&quot;:{&quot;date-parts&quot;:[[2021]]},&quot;page&quot;:&quot;6-19&quot;,&quot;abstract&quot;:&quot;In the light of increasing human pressures on the Earth system, the issue of sharing in the face of scarcity is more pressing than ever. The planetary boundary framework identifies and quantifies nine environmental boundaries and corresponding human pressures. However, when aiming to make the concept operational for decision support it is unclear how this safe operating space (SOS) within each of the planetary boundaries should be shared. This study proposes a two-step approach, where the operating space is first downscaled to the individual level using ethical allocation principles and next scaled up to a higher organizational level using different upscaling methods. For the downscaling, three allocation principles are demonstrated: egalitarian (equal per capita); grandfathering (proportional to current share of the total impacts); and ability to pay (proportional to economic activity). For upscaling from the individual level final consumption expenditure is used as a proxy for the priority that the individual gives to the product or sector. In an alternative upscaling approach, an additional upscaling factor is based on the eco-efficiency (ratio between turnover and environmental impact) of the product or sector. A demonstration of the method's application is given by applying the framework to two of the planetary boundaries, climate change and biogeochemical flows, with the Danish, Indian and global dairy sectors as cases. It is demonstrated how the choices of allocation and upscaling approaches influence the results differently in the three cases. The developed framework is shown to support an informed and transparent selection of allocation principles and upscaling methods and it provides a step toward standardization of distributing the SOS in absolute environmental sustainability assessments.&quot;,&quot;issue&quot;:&quot;1&quot;,&quot;volume&quot;:&quot;25&quot;},&quot;isTemporary&quot;:false},{&quot;id&quot;:&quot;2bc97cef-af85-3dd5-9254-b05e71aec350&quot;,&quot;itemData&quot;:{&quot;type&quot;:&quot;article-journal&quot;,&quot;id&quot;:&quot;2bc97cef-af85-3dd5-9254-b05e71aec350&quot;,&quot;title&quot;:&quot;Downscaling the planetary boundaries in absolute environmental sustainability assessments – A review&quot;,&quot;author&quot;:[{&quot;family&quot;:&quot;Ryberg&quot;,&quot;given&quot;:&quot;Morten W.&quot;,&quot;parse-names&quot;:false,&quot;dropping-particle&quot;:&quot;&quot;,&quot;non-dropping-particle&quot;:&quot;&quot;},{&quot;family&quot;:&quot;Andersen&quot;,&quot;given&quot;:&quot;Martin Marchman&quot;,&quot;parse-names&quot;:false,&quot;dropping-particle&quot;:&quot;&quot;,&quot;non-dropping-particle&quot;:&quot;&quot;},{&quot;family&quot;:&quot;Owsianiak&quot;,&quot;given&quot;:&quot;Mikołaj&quot;,&quot;parse-names&quot;:false,&quot;dropping-particle&quot;:&quot;&quot;,&quot;non-dropping-particle&quot;:&quot;&quot;},{&quot;family&quot;:&quot;Hauschild&quot;,&quot;given&quot;:&quot;Michael Z.&quot;,&quot;parse-names&quot;:false,&quot;dropping-particle&quot;:&quot;&quot;,&quot;non-dropping-particle&quot;:&quot;&quot;}],&quot;container-title&quot;:&quot;Journal of Cleaner Production&quot;,&quot;container-title-short&quot;:&quot;J. Clean. Prod.&quot;,&quot;DOI&quot;:&quot;10.1016/j.jclepro.2020.123287&quot;,&quot;ISSN&quot;:&quot;09596526&quot;,&quot;issued&quot;:{&quot;date-parts&quot;:[[2020]]},&quot;abstract&quot;:&quot;The safe operating space as defined by the Planetary Boundaries framework can be used as an environmental sustainability reference in absolute environmental sustainability assessments (AESAs). In AESAs, the safe operating space must be distributed among human activities so impacts associated with an activity can be related to its assigned share of the safe operating space to assess if the activity can be considered absolute sustainable. To ensure choices concerning sharing principles in AESA are deliberate, there is a need for understanding the distributive justice theory underlying the sharing principles. This study provides a framework for determining and communicating the distributive justice theories that underlie the choice of sharing principles in AESA. To comprehensively describe a sharing principle in relation to distributive justice theories, seven dimensions must be defined, i.e. target, currency, pattern, geographical scope, temporal scope, clauses, and constraints. We conducted a review of sharing principles used in AESAs in relation to contemporary distributive justice theories. 18 studies were identified with 34 sharing principles being applied. The most commonly applied sharing principle is equal per capita sharing of the safe operating space among countries or individuals. This was often combined with utilitarian principles for sharing among industrial units. Based on the review and analysis of the results, we provide recommendations on best practice for defining sharing principles in AESAs systematically based on distributive justice theories and recommendations for further research. The framework developed in this study provide a first step towards a systematic and informed selection of sharing principles used in AESAs.&quot;,&quot;volume&quot;:&quot;276&quot;},&quot;isTemporary&quot;:false},{&quot;id&quot;:&quot;fcb089d4-bbb5-3f0e-ad30-35e4cab6b01b&quot;,&quot;itemData&quot;:{&quot;type&quot;:&quot;article-journal&quot;,&quot;id&quot;:&quot;fcb089d4-bbb5-3f0e-ad30-35e4cab6b01b&quot;,&quot;title&quot;:&quot;Review of life-cycle based methods for absolute environmental sustainability assessment and their applications&quot;,&quot;author&quot;:[{&quot;family&quot;:&quot;Bjørn&quot;,&quot;given&quot;:&quot;Anders&quot;,&quot;parse-names&quot;:false,&quot;dropping-particle&quot;:&quot;&quot;,&quot;non-dropping-particle&quot;:&quot;&quot;},{&quot;family&quot;:&quot;Chandrakumar&quot;,&quot;given&quot;:&quot;Chanjief&quot;,&quot;parse-names&quot;:false,&quot;dropping-particle&quot;:&quot;&quot;,&quot;non-dropping-particle&quot;:&quot;&quot;},{&quot;family&quot;:&quot;Boulay&quot;,&quot;given&quot;:&quot;Anne Marie&quot;,&quot;parse-names&quot;:false,&quot;dropping-particle&quot;:&quot;&quot;,&quot;non-dropping-particle&quot;:&quot;&quot;},{&quot;family&quot;:&quot;Doka&quot;,&quot;given&quot;:&quot;Gabor&quot;,&quot;parse-names&quot;:false,&quot;dropping-particle&quot;:&quot;&quot;,&quot;non-dropping-particle&quot;:&quot;&quot;},{&quot;family&quot;:&quot;Fang&quot;,&quot;given&quot;:&quot;Kai&quot;,&quot;parse-names&quot;:false,&quot;dropping-particle&quot;:&quot;&quot;,&quot;non-dropping-particle&quot;:&quot;&quot;},{&quot;family&quot;:&quot;Gondran&quot;,&quot;given&quot;:&quot;Natacha&quot;,&quot;parse-names&quot;:false,&quot;dropping-particle&quot;:&quot;&quot;,&quot;non-dropping-particle&quot;:&quot;&quot;},{&quot;family&quot;:&quot;Hauschild&quot;,&quot;given&quot;:&quot;Michael Zwicky&quot;,&quot;parse-names&quot;:false,&quot;dropping-particle&quot;:&quot;&quot;,&quot;non-dropping-particle&quot;:&quot;&quot;},{&quot;family&quot;:&quot;Kerkhof&quot;,&quot;given&quot;:&quot;Annemarie&quot;,&quot;parse-names&quot;:false,&quot;dropping-particle&quot;:&quot;&quot;,&quot;non-dropping-particle&quot;:&quot;&quot;},{&quot;family&quot;:&quot;King&quot;,&quot;given&quot;:&quot;Henry&quot;,&quot;parse-names&quot;:false,&quot;dropping-particle&quot;:&quot;&quot;,&quot;non-dropping-particle&quot;:&quot;&quot;},{&quot;family&quot;:&quot;Margni&quot;,&quot;given&quot;:&quot;Manuele&quot;,&quot;parse-names&quot;:false,&quot;dropping-particle&quot;:&quot;&quot;,&quot;non-dropping-particle&quot;:&quot;&quot;},{&quot;family&quot;:&quot;McLaren&quot;,&quot;given&quot;:&quot;Sarah&quot;,&quot;parse-names&quot;:false,&quot;dropping-particle&quot;:&quot;&quot;,&quot;non-dropping-particle&quot;:&quot;&quot;},{&quot;family&quot;:&quot;Mueller&quot;,&quot;given&quot;:&quot;Carina&quot;,&quot;parse-names&quot;:false,&quot;dropping-particle&quot;:&quot;&quot;,&quot;non-dropping-particle&quot;:&quot;&quot;},{&quot;family&quot;:&quot;Owsianiak&quot;,&quot;given&quot;:&quot;Mikołaj&quot;,&quot;parse-names&quot;:false,&quot;dropping-particle&quot;:&quot;&quot;,&quot;non-dropping-particle&quot;:&quot;&quot;},{&quot;family&quot;:&quot;Peters&quot;,&quot;given&quot;:&quot;Greg&quot;,&quot;parse-names&quot;:false,&quot;dropping-particle&quot;:&quot;&quot;,&quot;non-dropping-particle&quot;:&quot;&quot;},{&quot;family&quot;:&quot;Roos&quot;,&quot;given&quot;:&quot;Sandra&quot;,&quot;parse-names&quot;:false,&quot;dropping-particle&quot;:&quot;&quot;,&quot;non-dropping-particle&quot;:&quot;&quot;},{&quot;family&quot;:&quot;Sala&quot;,&quot;given&quot;:&quot;Serenella&quot;,&quot;parse-names&quot;:false,&quot;dropping-particle&quot;:&quot;&quot;,&quot;non-dropping-particle&quot;:&quot;&quot;},{&quot;family&quot;:&quot;Sandin&quot;,&quot;given&quot;:&quot;Gustav&quot;,&quot;parse-names&quot;:false,&quot;dropping-particle&quot;:&quot;&quot;,&quot;non-dropping-particle&quot;:&quot;&quot;},{&quot;family&quot;:&quot;Sim&quot;,&quot;given&quot;:&quot;Sarah&quot;,&quot;parse-names&quot;:false,&quot;dropping-particle&quot;:&quot;&quot;,&quot;non-dropping-particle&quot;:&quot;&quot;},{&quot;family&quot;:&quot;Vargas-Gonzalez&quot;,&quot;given&quot;:&quot;Marcial&quot;,&quot;parse-names&quot;:false,&quot;dropping-particle&quot;:&quot;&quot;,&quot;non-dropping-particle&quot;:&quot;&quot;},{&quot;family&quot;:&quot;Ryberg&quot;,&quot;given&quot;:&quot;Morten&quot;,&quot;parse-names&quot;:false,&quot;dropping-particle&quot;:&quot;&quot;,&quot;non-dropping-particle&quot;:&quot;&quot;}],&quot;container-title&quot;:&quot;Environmental Research Letters&quot;,&quot;DOI&quot;:&quot;10.1088/1748-9326/ab89d7&quot;,&quot;ISSN&quot;:&quot;17489326&quot;,&quot;issued&quot;:{&quot;date-parts&quot;:[[2020]]},&quot;abstract&quot;:&quot;In many regions and at the planetary scale, human pressures on the environment exceed levels that natural systems can sustain. These pressures are caused by networks of human activities, which often extend across countries and continents due to global trade. This has led to an increasing requirement for methods that enable absolute environmental sustainability assessment (AESA) of anthropogenic systems and which have a basis in life cycle assessment (LCA). Such methods enable the comparison of environmental impacts of products, companies, nations, etc, with an assigned share of environmental carrying capacity for various impact categories. This study is the first systematic review of LCA-based AESA methods and their applications. After developing a framework for LCA-based AESA methods, we identified 45 relevant studies through an initial survey, database searches and citation analysis. We characterized these studies according to their intended application, impact categories, basis of carrying capacity estimates, spatial differentiation of environmental model and principles for assigning carrying capacity. We then characterized all method applications and synthesized their results. Based on this assessment, we present recommendations to practitioners on the selection and use of existing LCA-based AESA methods, as well as ways to perform assessments and communicate results to decision-makers. Furthermore, we identify future research priorities intended to extend coverage of all components of the proposed method framework, improve modeling and increase the applicability of methods.&quot;,&quot;issue&quot;:&quot;8&quot;,&quot;volume&quot;:&quot;15&quot;,&quot;container-title-short&quot;:&quot;&quot;},&quot;isTemporary&quot;:false},{&quot;id&quot;:&quot;6a58f8e3-d524-3540-9648-9a7f903f6e48&quot;,&quot;itemData&quot;:{&quot;type&quot;:&quot;article-journal&quot;,&quot;id&quot;:&quot;6a58f8e3-d524-3540-9648-9a7f903f6e48&quot;,&quot;title&quot;:&quot;Reflecting the importance of human needs fulfilment in absolute sustainability assessments: Development of a sharing principle&quot;,&quot;author&quot;:[{&quot;family&quot;:&quot;Heide&quot;,&quot;given&quot;:&quot;Mia&quot;,&quot;parse-names&quot;:false,&quot;dropping-particle&quot;:&quot;&quot;,&quot;non-dropping-particle&quot;:&quot;&quot;},{&quot;family&quot;:&quot;Hauschild&quot;,&quot;given&quot;:&quot;Michael Z.&quot;,&quot;parse-names&quot;:false,&quot;dropping-particle&quot;:&quot;&quot;,&quot;non-dropping-particle&quot;:&quot;&quot;},{&quot;family&quot;:&quot;Ryberg&quot;,&quot;given&quot;:&quot;Morten&quot;,&quot;parse-names&quot;:false,&quot;dropping-particle&quot;:&quot;&quot;,&quot;non-dropping-particle&quot;:&quot;&quot;}],&quot;container-title&quot;:&quot;Journal of Industrial Ecology&quot;,&quot;container-title-short&quot;:&quot;J. Ind. Ecol.&quot;,&quot;DOI&quot;:&quot;10.1111/jiec.13405&quot;,&quot;ISSN&quot;:&quot;1088-1980&quot;,&quot;URL&quot;:&quot;https://onlinelibrary.wiley.com/doi/10.1111/jiec.13405&quot;,&quot;issued&quot;:{&quot;date-parts&quot;:[[2023,5,23]]}},&quot;isTemporary&quot;:false},{&quot;id&quot;:&quot;b238516a-b094-33d6-9ff3-89a4d67f794a&quot;,&quot;itemData&quot;:{&quot;type&quot;:&quot;article-journal&quot;,&quot;id&quot;:&quot;b238516a-b094-33d6-9ff3-89a4d67f794a&quot;,&quot;title&quot;:&quot;A new consistent framework for assignment of safe operating space to B2C and B2B industries for use in absolute environmental sustainability assessments&quot;,&quot;author&quot;:[{&quot;family&quot;:&quot;Oosterhoff&quot;,&quot;given&quot;:&quot;Hendrik Christiaan&quot;,&quot;parse-names&quot;:false,&quot;dropping-particle&quot;:&quot;&quot;,&quot;non-dropping-particle&quot;:&quot;&quot;},{&quot;family&quot;:&quot;Golsteijn&quot;,&quot;given&quot;:&quot;Laura&quot;,&quot;parse-names&quot;:false,&quot;dropping-particle&quot;:&quot;&quot;,&quot;non-dropping-particle&quot;:&quot;&quot;},{&quot;family&quot;:&quot;Laurent&quot;,&quot;given&quot;:&quot;Alexis&quot;,&quot;parse-names&quot;:false,&quot;dropping-particle&quot;:&quot;&quot;,&quot;non-dropping-particle&quot;:&quot;&quot;},{&quot;family&quot;:&quot;Ryberg&quot;,&quot;given&quot;:&quot;Morten Walbech&quot;,&quot;parse-names&quot;:false,&quot;dropping-particle&quot;:&quot;&quot;,&quot;non-dropping-particle&quot;:&quot;&quot;}],&quot;container-title&quot;:&quot;Journal of Cleaner Production&quot;,&quot;container-title-short&quot;:&quot;J. Clean. Prod.&quot;,&quot;DOI&quot;:&quot;10.1016/j.jclepro.2023.136574&quot;,&quot;ISSN&quot;:&quot;09596526&quot;,&quot;issued&quot;:{&quot;date-parts&quot;:[[2023,5,1]]},&quot;abstract&quot;:&quot;The planetary boundaries define a safe operating space for humanity to act within without potentially destabilizing the planet. The safe operating space is often used a sustainability reference in Absolute Environmental Sustainability Assessments (AESAs) where a share of the safe operating space (SoSOS) is assigned to the assessed activity. An identified challenge is that current methods are suited for business-to-consumer (B2C) industries and companies, but ill-suited for assessments of business-to-business (B2B) as the sharing is often based on the direct value to humans. Thus, this study presents a systematic framework for assigning a SoSOS to both B2C and B2B industries and companies. The framework uses multi-region input-output models to link industries and to estimate the direct and indirect value to humans for both B2B and B2C industries. The framework was tested in a case study for a B2B company to show its application and to evaluate the sensitivity of the framework towards different modelling choices. The results of the case study and sensitivity analyses were used to provide recommendations for further improvement of the framework. While there is still need for improvement and refinement, the framework shows large potential. Mainly because it directly facilitates AESA of B2B industries and companies, in order to help gauging their environmental performance relative to absolute boundaries and, thus, provide better basis supporting strategic sustainability related activities.&quot;,&quot;publisher&quot;:&quot;Elsevier Ltd&quot;,&quot;volume&quot;:&quot;399&quot;},&quot;isTemporary&quot;:false}]},{&quot;citationID&quot;:&quot;MENDELEY_CITATION_9c1fdc4a-4a25-4805-a5d0-ae7c777af50e&quot;,&quot;properties&quot;:{&quot;noteIndex&quot;:0},&quot;isEdited&quot;:false,&quot;manualOverride&quot;:{&quot;isManuallyOverridden&quot;:false,&quot;citeprocText&quot;:&quot;(Boivent et al., 2025; Heide, Dudka, et al., 2023; Heide, Hauschild, et al., 2023)&quot;,&quot;manualOverrideText&quot;:&quot;&quot;},&quot;citationTag&quot;:&quot;MENDELEY_CITATION_v3_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&quot;,&quot;citationItems&quot;:[{&quot;id&quot;:&quot;6a58f8e3-d524-3540-9648-9a7f903f6e48&quot;,&quot;itemData&quot;:{&quot;type&quot;:&quot;article-journal&quot;,&quot;id&quot;:&quot;6a58f8e3-d524-3540-9648-9a7f903f6e48&quot;,&quot;title&quot;:&quot;Reflecting the importance of human needs fulfilment in absolute sustainability assessments: Development of a sharing principle&quot;,&quot;author&quot;:[{&quot;family&quot;:&quot;Heide&quot;,&quot;given&quot;:&quot;Mia&quot;,&quot;parse-names&quot;:false,&quot;dropping-particle&quot;:&quot;&quot;,&quot;non-dropping-particle&quot;:&quot;&quot;},{&quot;family&quot;:&quot;Hauschild&quot;,&quot;given&quot;:&quot;Michael Z.&quot;,&quot;parse-names&quot;:false,&quot;dropping-particle&quot;:&quot;&quot;,&quot;non-dropping-particle&quot;:&quot;&quot;},{&quot;family&quot;:&quot;Ryberg&quot;,&quot;given&quot;:&quot;Morten&quot;,&quot;parse-names&quot;:false,&quot;dropping-particle&quot;:&quot;&quot;,&quot;non-dropping-particle&quot;:&quot;&quot;}],&quot;container-title&quot;:&quot;Journal of Industrial Ecology&quot;,&quot;container-title-short&quot;:&quot;J. Ind. Ecol.&quot;,&quot;DOI&quot;:&quot;10.1111/jiec.13405&quot;,&quot;ISSN&quot;:&quot;1088-1980&quot;,&quot;URL&quot;:&quot;https://onlinelibrary.wiley.com/doi/10.1111/jiec.13405&quot;,&quot;issued&quot;:{&quot;date-parts&quot;:[[2023,5,23]]}},&quot;isTemporary&quot;:false},{&quot;id&quot;:&quot;a54b554d-9a7d-37aa-b2c7-bbf61c72f7f5&quot;,&quot;itemData&quot;:{&quot;type&quot;:&quot;article-journal&quot;,&quot;id&quot;:&quot;a54b554d-9a7d-37aa-b2c7-bbf61c72f7f5&quot;,&quot;title&quot;:&quot;Absolute sustainable CO2-limits for buildings should reflect their function. A case study of four building typologies&quot;,&quot;author&quot;:[{&quot;family&quot;:&quot;Heide&quot;,&quot;given&quot;:&quot;Mia&quot;,&quot;parse-names&quot;:false,&quot;dropping-particle&quot;:&quot;&quot;,&quot;non-dropping-particle&quot;:&quot;&quot;},{&quot;family&quot;:&quot;Dudka&quot;,&quot;given&quot;:&quot;Katarzyna Maria&quot;,&quot;parse-names&quot;:false,&quot;dropping-particle&quot;:&quot;&quot;,&quot;non-dropping-particle&quot;:&quot;&quot;},{&quot;family&quot;:&quot;Hauschild&quot;,&quot;given&quot;:&quot;Michael Z.&quot;,&quot;parse-names&quot;:false,&quot;dropping-particle&quot;:&quot;&quot;,&quot;non-dropping-particle&quot;:&quot;&quot;}],&quot;container-title&quot;:&quot;Developments in the Built Environment&quot;,&quot;DOI&quot;:&quot;10.1016/j.dibe.2023.100175&quot;,&quot;ISSN&quot;:&quot;26661659&quot;,&quot;issued&quot;:{&quot;date-parts&quot;:[[2023,10,1]]},&quot;abstract&quot;:&quot;Absolute sustainability gains increasing attention in the building industry. Absolute climate limits is often expressed in kg CO2-eq/m2/yr. This type of threshold has one main problem; it is specified per area, which rewards larger buildings regardless of the need that they fulfill. This way of setting climate limits may thus lead to increased future impacts from buildings. The purpose of this study is developing principles for differentiated CO2-limits for buildings, that reflect the importance of the function that the building delivers to its users. We use the Fulfillment of Human Needs sharing principle building on a sufficientarian ethical norm. The method was demonstrated on four buildings; residential, university, hospital and kindergarten, and guidance is given on how to apply the method for any building typology. This study should be seen as demonstration of a concept for determining different CO2-limits for different building typologies.&quot;,&quot;publisher&quot;:&quot;Elsevier Ltd&quot;,&quot;volume&quot;:&quot;15&quot;,&quot;container-title-short&quot;:&quot;&quot;},&quot;isTemporary&quot;:false},{&quot;id&quot;:&quot;a4370a10-2f7f-3721-9450-ffaabab90ed8&quot;,&quot;itemData&quot;:{&quot;type&quot;:&quot;article-journal&quot;,&quot;id&quot;:&quot;a4370a10-2f7f-3721-9450-ffaabab90ed8&quot;,&quot;title&quot;:&quot;From regional human needs to dynamic product climate targets [Preprint]&quot;,&quot;author&quot;:[{&quot;family&quot;:&quot;Boivent&quot;,&quot;given&quot;:&quot;Solène&quot;,&quot;parse-names&quot;:false,&quot;dropping-particle&quot;:&quot;&quot;,&quot;non-dropping-particle&quot;:&quot;&quot;},{&quot;family&quot;:&quot;Serrano&quot;,&quot;given&quot;:&quot;Teddy&quot;,&quot;parse-names&quot;:false,&quot;dropping-particle&quot;:&quot;&quot;,&quot;non-dropping-particle&quot;:&quot;&quot;},{&quot;family&quot;:&quot;Bjørn&quot;,&quot;given&quot;:&quot;Anders&quot;,&quot;parse-names&quot;:false,&quot;dropping-particle&quot;:&quot;&quot;,&quot;non-dropping-particle&quot;:&quot;&quot;},{&quot;family&quot;:&quot;Hauschild&quot;,&quot;given&quot;:&quot;Michael&quot;,&quot;parse-names&quot;:false,&quot;dropping-particle&quot;:&quot;&quot;,&quot;non-dropping-particle&quot;:&quot;&quot;}],&quot;container-title&quot;:&quot;SSRN&quot;,&quot;container-title-short&quot;:&quot;SSRN&quot;,&quot;URL&quot;:&quot;https://ssrn.com/abstract=5840605&quot;,&quot;issued&quot;:{&quot;date-parts&quot;:[[2025]]}},&quot;isTemporary&quot;:false}]},{&quot;citationID&quot;:&quot;MENDELEY_CITATION_4a5da4f4-62d6-4e12-98da-b29d3ef82915&quot;,&quot;properties&quot;:{&quot;noteIndex&quot;:0},&quot;isEdited&quot;:false,&quot;manualOverride&quot;:{&quot;isManuallyOverridden&quot;:false,&quot;citeprocText&quot;:&quot;(Birgisdottir et al., 2023; Kromand et al., 2025; Schlesier et al., 2024)&quot;,&quot;manualOverrideText&quot;:&quot;&quot;},&quot;citationTag&quot;:&quot;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&quot;,&quot;citationItems&quot;:[{&quot;id&quot;:&quot;ac6d9fa5-2431-33fa-8214-f19598019874&quot;,&quot;itemData&quot;:{&quot;type&quot;:&quot;paper-conference&quot;,&quot;id&quot;:&quot;ac6d9fa5-2431-33fa-8214-f19598019874&quot;,&quot;title&quot;:&quot;The Doughnut for Urban Development: Manual, Appendix and Database&quot;,&quot;author&quot;:[{&quot;family&quot;:&quot;Birgisdottir&quot;,&quot;given&quot;:&quot;Harpa&quot;,&quot;parse-names&quot;:false,&quot;dropping-particle&quot;:&quot;&quot;,&quot;non-dropping-particle&quot;:&quot;&quot;},{&quot;family&quot;:&quot;Bjørn&quot;,&quot;given&quot;:&quot;Anders&quot;,&quot;parse-names&quot;:false,&quot;dropping-particle&quot;:&quot;&quot;,&quot;non-dropping-particle&quot;:&quot;&quot;},{&quot;family&quot;:&quot;Branny&quot;,&quot;given&quot;:&quot;Artur&quot;,&quot;parse-names&quot;:false,&quot;dropping-particle&quot;:&quot;&quot;,&quot;non-dropping-particle&quot;:&quot;&quot;},{&quot;family&quot;:&quot;Clausen&quot;,&quot;given&quot;:&quot;Caroline&quot;,&quot;parse-names&quot;:false,&quot;dropping-particle&quot;:&quot;&quot;,&quot;non-dropping-particle&quot;:&quot;&quot;},{&quot;family&quot;:&quot;Fanning&quot;,&quot;given&quot;:&quot;Andrew&quot;,&quot;parse-names&quot;:false,&quot;dropping-particle&quot;:&quot;&quot;,&quot;non-dropping-particle&quot;:&quot;&quot;},{&quot;family&quot;:&quot;Fetzer&quot;,&quot;given&quot;:&quot;Ingo&quot;,&quot;parse-names&quot;:false,&quot;dropping-particle&quot;:&quot;&quot;,&quot;non-dropping-particle&quot;:&quot;&quot;},{&quot;family&quot;:&quot;Francart&quot;,&quot;given&quot;:&quot;Nicolas&quot;,&quot;parse-names&quot;:false,&quot;dropping-particle&quot;:&quot;&quot;,&quot;non-dropping-particle&quot;:&quot;&quot;},{&quot;family&quot;:&quot;Grcheva&quot;,&quot;given&quot;:&quot;Leonora&quot;,&quot;parse-names&quot;:false,&quot;dropping-particle&quot;:&quot;&quot;,&quot;non-dropping-particle&quot;:&quot;&quot;},{&quot;family&quot;:&quot;Heide&quot;,&quot;given&quot;:&quot;Mia&quot;,&quot;parse-names&quot;:false,&quot;dropping-particle&quot;:&quot;&quot;,&quot;non-dropping-particle&quot;:&quot;&quot;},{&quot;family&quot;:&quot;Lassen&quot;,&quot;given&quot;:&quot;Emil&quot;,&quot;parse-names&quot;:false,&quot;dropping-particle&quot;:&quot;&quot;,&quot;non-dropping-particle&quot;:&quot;&quot;}],&quot;container-title&quot;:&quot;Launch event of the Doughnut for Urban Development&quot;,&quot;issued&quot;:{&quot;date-parts&quot;:[[2023]]},&quot;publisher&quot;:&quot;The Danish Architectural Press&quot;,&quot;container-title-short&quot;:&quot;&quot;},&quot;isTemporary&quot;:false},{&quot;id&quot;:&quot;ac81fdc7-5066-3ca0-a5b8-ff51e69b2fe9&quot;,&quot;itemData&quot;:{&quot;type&quot;:&quot;article-journal&quot;,&quot;id&quot;:&quot;ac81fdc7-5066-3ca0-a5b8-ff51e69b2fe9&quot;,&quot;title&quot;:&quot;Measuring the Doughnut: A good life for all is possible within planetary boundaries: Measuring the Doughnut&quot;,&quot;author&quot;:[{&quot;family&quot;:&quot;Schlesier&quot;,&quot;given&quot;:&quot;Hauke&quot;,&quot;parse-names&quot;:false,&quot;dropping-particle&quot;:&quot;&quot;,&quot;non-dropping-particle&quot;:&quot;&quot;},{&quot;family&quot;:&quot;Schäfer&quot;,&quot;given&quot;:&quot;Malte&quot;,&quot;parse-names&quot;:false,&quot;dropping-particle&quot;:&quot;&quot;,&quot;non-dropping-particle&quot;:&quot;&quot;},{&quot;family&quot;:&quot;Desing&quot;,&quot;given&quot;:&quot;Harald&quot;,&quot;parse-names&quot;:false,&quot;dropping-particle&quot;:&quot;&quot;,&quot;non-dropping-particle&quot;:&quot;&quot;}],&quot;container-title&quot;:&quot;Journal of Cleaner Production&quot;,&quot;container-title-short&quot;:&quot;J. Clean. Prod.&quot;,&quot;DOI&quot;:&quot;10.1016/j.jclepro.2024.141447&quot;,&quot;ISSN&quot;:&quot;09596526&quot;,&quot;issued&quot;:{&quot;date-parts&quot;:[[2024,4,5]]},&quot;abstract&quot;:&quot;Humanity is continuing a path towards ecological instability. While resource consumption is unprecedented, significant parts of the human population are still deprived of decent living. The safe and just operating space postulates that it is possible to simultaneously stay within ecological limits and fulfil basic needs. However, evidence that such a state can be achieved given existing population and available technologies is lacking. Here, we attempt to show whether a safe and just space exists by modelling material and energy requirements for satisfying basic needs with various technological scenarios. Environmental impacts of a basket of products representing basic needs satisfaction are measured through life cycle analysis and compared to planetary boundaries for the first time. We find that all planetary boundaries considered can be respected for 8.0 and 10.4 billion people with a probability of 81% and 73% respectively. However, this requires a fossil-free energy system, and an essentially vegan diet as well as no additional cropland conversion. To actually create and enlarge a safe and just operating space, carbon dioxide emissions, biodiversity, Phosphorus and Nitrogen emissions would need to be further reduced, mainly by improved agricultural practices and material circularity. Significance Statement The purpose of this study is to find out if humanity can fulfil basic needs for all humans without destabilizing the Earth system. This information is relevant for identifying pathways to futures in which all humans can live good lives without compromising the livelihoods of future generations. Our results show that it is theoretically possible to satisfy the basic needs of 10.4 billion people within ecological limits. However, large-scale transformations in all sectors and dietary changes are necessary to guarantee safe climate conditions.&quot;,&quot;publisher&quot;:&quot;Elsevier Ltd&quot;,&quot;volume&quot;:&quot;448&quot;},&quot;isTemporary&quot;:false},{&quot;id&quot;:&quot;7a0d290a-f287-32f6-bf9b-210c676cd63a&quot;,&quot;itemData&quot;:{&quot;type&quot;:&quot;article-journal&quot;,&quot;id&quot;:&quot;7a0d290a-f287-32f6-bf9b-210c676cd63a&quot;,&quot;title&quot;:&quot;Developing sufficiency-based sharing principles for absolute environmental sustainability assessment using decent living standards and planetary boundaries&quot;,&quot;author&quot;:[{&quot;family&quot;:&quot;Kromand&quot;,&quot;given&quot;:&quot;Jonas Balsby&quot;,&quot;parse-names&quot;:false,&quot;dropping-particle&quot;:&quot;&quot;,&quot;non-dropping-particle&quot;:&quot;&quot;},{&quot;family&quot;:&quot;Tilsted&quot;,&quot;given&quot;:&quot;Joachim Peter&quot;,&quot;parse-names&quot;:false,&quot;dropping-particle&quot;:&quot;&quot;,&quot;non-dropping-particle&quot;:&quot;&quot;},{&quot;family&quot;:&quot;Bjørn&quot;,&quot;given&quot;:&quot;Anders&quot;,&quot;parse-names&quot;:false,&quot;dropping-particle&quot;:&quot;&quot;,&quot;non-dropping-particle&quot;:&quot;&quot;}],&quot;container-title&quot;:&quot;Sustainable Production and Consumption&quot;,&quot;container-title-short&quot;:&quot;Sustain. Prod. Consum.&quot;,&quot;DOI&quot;:&quot;10.1016/j.spc.2025.01.008&quot;,&quot;ISSN&quot;:&quot;23525509&quot;,&quot;issued&quot;:{&quot;date-parts&quot;:[[2025,3,1]]},&quot;page&quot;:&quot;516-529&quot;,&quot;abstract&quot;:&quot;Absolute environmental sustainability assessments quantify the environmental impacts of human activities in relation to ecological carrying capacities. Such assessments necessitate the application of sharing principles to allocate shares of carrying capacity to actors and activities at different scales, including products, companies, sectors, and countries. This can help decision-makers set targets and take actions accordingly. Although a range of approaches exist, sharing principles that prioritize human needs fulfillment for all people are not properly developed. To address this gap, we develop sufficiency-based sharing principles. We do so by quantifying the life cycle impacts of satisfying decent living standards for the population of a high-income country in 2050 (Denmark) and comparing these impacts to planetary boundaries to identify a possible ‘sufficiency consumption space’. From this exercise, we infer two sharing principles. The first sharing principle assigns the allowed environmental impacts to all decent living standard consumption categories across 16 life cycle impact categories. The second sharing principle uses the degree of luxury of all goods and services in the economy, operationalized by expenditure elasticities, as a principle to share the sufficiency consumption space at a product-level. Together, these two sharing principles form a coherent suggestion for how to share a country's safe operating space, split between decent living consumption and remaining consumption. Our study thereby represents the first systematic and quantitative attempt at allocating a country's safe operating space according to human needs fulfillment and prioritizing a sufficiency consumption space according to the degree of luxury. Future research can address limitations of our study by, for example, using more granular life cycle inventory data and household expenditure data.&quot;,&quot;publisher&quot;:&quot;Elsevier B.V.&quot;,&quot;volume&quot;:&quot;54&quot;},&quot;isTemporary&quot;:false}]},{&quot;citationID&quot;:&quot;MENDELEY_CITATION_3bb763e5-6a71-46be-90c9-593cd1efc577&quot;,&quot;properties&quot;:{&quot;noteIndex&quot;:0},&quot;isEdited&quot;:false,&quot;manualOverride&quot;:{&quot;isManuallyOverridden&quot;:false,&quot;citeprocText&quot;:&quot;(Finkbeiner et al., 2006)&quot;,&quot;manualOverrideText&quot;:&quot;&quot;},&quot;citationTag&quot;:&quot;MENDELEY_CITATION_v3_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&quot;,&quot;citationItems&quot;:[{&quot;id&quot;:&quot;ff65acc9-282a-3efa-a196-3ad2d7910c86&quot;,&quot;itemData&quot;:{&quot;type&quot;:&quot;article&quot;,&quot;id&quot;:&quot;ff65acc9-282a-3efa-a196-3ad2d7910c86&quot;,&quot;title&quot;:&quot;The new international standards for life cycle assessment: ISO 14040 and ISO 14044&quot;,&quot;author&quot;:[{&quot;family&quot;:&quot;Finkbeiner&quot;,&quot;given&quot;:&quot;Matthias&quot;,&quot;parse-names&quot;:false,&quot;dropping-particle&quot;:&quot;&quot;,&quot;non-dropping-particle&quot;:&quot;&quot;},{&quot;family&quot;:&quot;Inaba&quot;,&quot;given&quot;:&quot;Atsushi&quot;,&quot;parse-names&quot;:false,&quot;dropping-particle&quot;:&quot;&quot;,&quot;non-dropping-particle&quot;:&quot;&quot;},{&quot;family&quot;:&quot;Tan&quot;,&quot;given&quot;:&quot;Reginald B.H.&quot;,&quot;parse-names&quot;:false,&quot;dropping-particle&quot;:&quot;&quot;,&quot;non-dropping-particle&quot;:&quot;&quot;},{&quot;family&quot;:&quot;Christiansen&quot;,&quot;given&quot;:&quot;Kim&quot;,&quot;parse-names&quot;:false,&quot;dropping-particle&quot;:&quot;&quot;,&quot;non-dropping-particle&quot;:&quot;&quot;},{&quot;family&quot;:&quot;Klüppel&quot;,&quot;given&quot;:&quot;Hans Jürgen&quot;,&quot;parse-names&quot;:false,&quot;dropping-particle&quot;:&quot;&quot;,&quot;non-dropping-particle&quot;:&quot;&quot;}],&quot;container-title&quot;:&quot;International Journal of Life Cycle Assessment&quot;,&quot;DOI&quot;:&quot;10.1065/lca2006.02.002&quot;,&quot;ISSN&quot;:&quot;09483349&quot;,&quot;issued&quot;:{&quot;date-parts&quot;:[[2006]]},&quot;page&quot;:&quot;80-85&quot;,&quot;abstract&quot;:&quot;Background, Aims and Scope. The development of the international standards for life cycle assessment (ISO 14040:1997, ISO 14041:1999, ISO 14042:2000, ISO 14043:2000) was an important step to consolidate procedures and methods of LCA. Their contribution to the general acceptance of LCA by all stakeholders and by the international community was crucial. Currently, the process of the revision of this first generation of LCA standards is close to completion. The paper explains the outline as well as formal and technical changes of the coming new international standards of LCA, i.e. the new ISO 14040 and ISO 14044. Methods. The paper refers to life cycle assessment based on the international standards for LCA (ISO 14040:1997, ISO 14041:1999, ISO 14042:2000, ISO 14043:2000). The content relates to the Final Draft International Standard (FDIS) versions of the new ISO 14040 and ISO 14044. Results and Discussion. With the publication of the two new standards, ISO 14040 and ISO 14044, the existing four standards ISO 14040:1997, ISO 14041:1999, ISO 14042:2000 and ISO 14043:2000 are technically revised, cancelled and replaced. According to the scope of the revision, the core part of the technical contents remains unchanged. Improved readability and the removal of errors and inconsistencies was the focus of the revision. However, despite the fact that the main technical content was confirmed to be still valid, some relevant formal and technical changes were made. On the technical side these include e.g. the addition of principles for LCA, the addition of an annex about applications, the addition of several definitions (e.g. product, process, etc.), clarifications concerning LCA intended to be used in comparative assertions intended to be disclosed to the public, clarifications concerning the critical review panel, clarifications concerning system boundary, etc. On the formal side, changes include the reduced number of standards, a reduced number of annexes, a reduced number of pages that contain requirements, alignment of definitions and clarification of compliance with the standards. Conclusion. The two new standards, ISO 14040 and ISO 14044, reconfirm the validity of the main technical content of the previous standards. Errors and inconsistencies were removed and the readability was improved. The added technical content is in line with the previous requirements and serves mainly as a clarification of the technical content. The unanimous vote on the Draft International Standard versions proved that this was achieved on the basis of the broadest possible international consensus. Recommendation and Outlook. Currently the national member bodies undertake the final voting on the FDIS-versions of the standards. Based on the voting results at the previous stages of the documents, a positive result is expected. The publication of the new international standards for life cycle assessment (ISO 14040 and ISO 14044) is expected around mid-2006. For the sake of the international and stakeholder acceptance of LCA, it is recommended that the new standards serve as core reference documents for the users and practitioners of LCA. © 2006 ecomed publishers (Verlagsgruppe Hüthig Jehle Rehm GmbH).&quot;,&quot;publisher&quot;:&quot;Springer Verlag&quot;,&quot;issue&quot;:&quot;2&quot;,&quot;volume&quot;:&quot;11&quot;,&quot;container-title-short&quot;:&quot;&quot;},&quot;isTemporary&quot;:false}]},{&quot;citationID&quot;:&quot;MENDELEY_CITATION_3b990e31-5721-462f-8e47-8b5c970fff2a&quot;,&quot;properties&quot;:{&quot;noteIndex&quot;:0},&quot;isEdited&quot;:false,&quot;manualOverride&quot;:{&quot;isManuallyOverridden&quot;:false,&quot;citeprocText&quot;:&quot;(Oosterhoff et al., 2023; Rodrigues et al., 2021)&quot;,&quot;manualOverrideText&quot;:&quot;&quot;},&quot;citationTag&quot;:&quot;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&quot;,&quot;citationItems&quot;:[{&quot;id&quot;:&quot;b238516a-b094-33d6-9ff3-89a4d67f794a&quot;,&quot;itemData&quot;:{&quot;type&quot;:&quot;article-journal&quot;,&quot;id&quot;:&quot;b238516a-b094-33d6-9ff3-89a4d67f794a&quot;,&quot;title&quot;:&quot;A new consistent framework for assignment of safe operating space to B2C and B2B industries for use in absolute environmental sustainability assessments&quot;,&quot;author&quot;:[{&quot;family&quot;:&quot;Oosterhoff&quot;,&quot;given&quot;:&quot;Hendrik Christiaan&quot;,&quot;parse-names&quot;:false,&quot;dropping-particle&quot;:&quot;&quot;,&quot;non-dropping-particle&quot;:&quot;&quot;},{&quot;family&quot;:&quot;Golsteijn&quot;,&quot;given&quot;:&quot;Laura&quot;,&quot;parse-names&quot;:false,&quot;dropping-particle&quot;:&quot;&quot;,&quot;non-dropping-particle&quot;:&quot;&quot;},{&quot;family&quot;:&quot;Laurent&quot;,&quot;given&quot;:&quot;Alexis&quot;,&quot;parse-names&quot;:false,&quot;dropping-particle&quot;:&quot;&quot;,&quot;non-dropping-particle&quot;:&quot;&quot;},{&quot;family&quot;:&quot;Ryberg&quot;,&quot;given&quot;:&quot;Morten Walbech&quot;,&quot;parse-names&quot;:false,&quot;dropping-particle&quot;:&quot;&quot;,&quot;non-dropping-particle&quot;:&quot;&quot;}],&quot;container-title&quot;:&quot;Journal of Cleaner Production&quot;,&quot;container-title-short&quot;:&quot;J. Clean. Prod.&quot;,&quot;DOI&quot;:&quot;10.1016/j.jclepro.2023.136574&quot;,&quot;ISSN&quot;:&quot;09596526&quot;,&quot;issued&quot;:{&quot;date-parts&quot;:[[2023,5,1]]},&quot;abstract&quot;:&quot;The planetary boundaries define a safe operating space for humanity to act within without potentially destabilizing the planet. The safe operating space is often used a sustainability reference in Absolute Environmental Sustainability Assessments (AESAs) where a share of the safe operating space (SoSOS) is assigned to the assessed activity. An identified challenge is that current methods are suited for business-to-consumer (B2C) industries and companies, but ill-suited for assessments of business-to-business (B2B) as the sharing is often based on the direct value to humans. Thus, this study presents a systematic framework for assigning a SoSOS to both B2C and B2B industries and companies. The framework uses multi-region input-output models to link industries and to estimate the direct and indirect value to humans for both B2B and B2C industries. The framework was tested in a case study for a B2B company to show its application and to evaluate the sensitivity of the framework towards different modelling choices. The results of the case study and sensitivity analyses were used to provide recommendations for further improvement of the framework. While there is still need for improvement and refinement, the framework shows large potential. Mainly because it directly facilitates AESA of B2B industries and companies, in order to help gauging their environmental performance relative to absolute boundaries and, thus, provide better basis supporting strategic sustainability related activities.&quot;,&quot;publisher&quot;:&quot;Elsevier Ltd&quot;,&quot;volume&quot;:&quot;399&quot;},&quot;isTemporary&quot;:false},{&quot;id&quot;:&quot;f2261343-7407-333d-ab1d-e403329eb828&quot;,&quot;itemData&quot;:{&quot;type&quot;:&quot;article-journal&quot;,&quot;id&quot;:&quot;f2261343-7407-333d-ab1d-e403329eb828&quot;,&quot;title&quot;:&quot;Application of the absolute environmental sustainability assessment framework to multifunctional systems – The case of municipal solid waste management&quot;,&quot;author&quot;:[{&quot;family&quot;:&quot;Rodrigues&quot;,&quot;given&quot;:&quot;Jérémy&quot;,&quot;parse-names&quot;:false,&quot;dropping-particle&quot;:&quot;&quot;,&quot;non-dropping-particle&quot;:&quot;&quot;},{&quot;family&quot;:&quot;Gondran&quot;,&quot;given&quot;:&quot;Natacha&quot;,&quot;parse-names&quot;:false,&quot;dropping-particle&quot;:&quot;&quot;,&quot;non-dropping-particle&quot;:&quot;&quot;},{&quot;family&quot;:&quot;Beziat&quot;,&quot;given&quot;:&quot;Adrien&quot;,&quot;parse-names&quot;:false,&quot;dropping-particle&quot;:&quot;&quot;,&quot;non-dropping-particle&quot;:&quot;&quot;},{&quot;family&quot;:&quot;Laforest&quot;,&quot;given&quot;:&quot;Valérie&quot;,&quot;parse-names&quot;:false,&quot;dropping-particle&quot;:&quot;&quot;,&quot;non-dropping-particle&quot;:&quot;&quot;}],&quot;container-title&quot;:&quot;Journal of Cleaner Production&quot;,&quot;container-title-short&quot;:&quot;J. Clean. Prod.&quot;,&quot;DOI&quot;:&quot;10.1016/j.jclepro.2021.129034&quot;,&quot;ISSN&quot;:&quot;09596526&quot;,&quot;issued&quot;:{&quot;date-parts&quot;:[[2021,11,1]]},&quot;abstract&quot;:&quot;The Absolute Environmental Sustainability Assessment (AESA) framework is an emerging field in environmental research that aims at comparing the estimated environmental burden generated by a system on its life cycle to the carrying capacity that can be assigned to this system, i.e. the amount of impacts that it can cause without causing unacceptable impairment of ecosystem functional integrity. This paper aims to expand the AESA framework to multifunctional systems. We applied it to a simplified case study based on municipal solid waste (MSW) management, since such a system provides several functions such as reduction of the quantity and toxicity of waste, production of heat, electricity or secondary materials. Thus, we could identify the specific questions that arise from this multifunctionality in the context of AESA. Based on the theory of AESA, we developed a four-steps methodology to identify the most significant impacts at both system and global scales. That methodology consisted of (step 1) quantifying the impacts of the studied system with conventional Life Cycle Assessment (LCA) followed by a normalisation step; (step 2) quantifying the number of beneficiaries from this system; (step 3) identifying impact categories for which the studied system causes significant impacts and global carrying capacities are exceeded; and (step 4) quantifying the Assigned Carrying Capacity (ACC) of the system, based on a utilitarian perspective and its contribution to the satisfaction of human needs. We then applied this methodology to a simplified model of the MSW management implemented in the Lyon Metropolitan Area (France), as a proof of concept. Steps 1 to 3 helped elaborate a hierarchy of impact categories, highlighting which ones should be reduced in priority. Step 4 required significant knowledge about how the functions of the studied system were used, both directly and indirectly, to satisfy human needs. We used national Supply and Use Tables and several simplifying hypotheses to that end. We also tested different sharing principles based on macroeconomic indicators. This variety of sharing principles helped refine the hierarchy developed in Step 3 by identifying which carrying capacities were most certainly exceeded by the studied system.&quot;,&quot;publisher&quot;:&quot;Elsevier Ltd&quot;,&quot;volume&quot;:&quot;322&quot;},&quot;isTemporary&quot;:false}]},{&quot;citationID&quot;:&quot;MENDELEY_CITATION_2afa79bc-b06e-4dd4-8d3b-e715909ec44f&quot;,&quot;properties&quot;:{&quot;noteIndex&quot;:0},&quot;isEdited&quot;:false,&quot;manualOverride&quot;:{&quot;isManuallyOverridden&quot;:false,&quot;citeprocText&quot;:&quot;(Creutzig et al., 2018; IPCC, 2023)&quot;,&quot;manualOverrideText&quot;:&quot;&quot;},&quot;citationTag&quot;:&quot;MENDELEY_CITATION_v3_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&quot;,&quot;citationItems&quot;:[{&quot;id&quot;:&quot;119c68df-468d-3b01-857a-c253034a60fa&quot;,&quot;itemData&quot;:{&quot;type&quot;:&quot;chapter&quot;,&quot;id&quot;:&quot;119c68df-468d-3b01-857a-c253034a60fa&quot;,&quot;title&quot;:&quot;Summary for Policymakers - Working Group III Contribution to the Sixth Assessment Report of the Intergovernmental Panel on Climate Change&quot;,&quot;author&quot;:[{&quot;family&quot;:&quot;IPCC&quot;,&quot;given&quot;:&quot;&quot;,&quot;parse-names&quot;:false,&quot;dropping-particle&quot;:&quot;&quot;,&quot;non-dropping-particle&quot;:&quot;&quot;}],&quot;container-title&quot;:&quot;Climate Change 2022 - Mitigation of Climate Change&quot;,&quot;DOI&quot;:&quot;10.1017/9781009157926.001&quot;,&quot;URL&quot;:&quot;https://www.cambridge.org/core/product/identifier/9781009157926%23pre2/type/book_part&quot;,&quot;issued&quot;:{&quot;date-parts&quot;:[[2023,8,17]]},&quot;page&quot;:&quot;3-48&quot;,&quot;publisher&quot;:&quot;Cambridge University Press&quot;,&quot;container-title-short&quot;:&quot;&quot;},&quot;isTemporary&quot;:false},{&quot;id&quot;:&quot;ea3936ae-bf4c-3f99-bf40-52d966f80de5&quot;,&quot;itemData&quot;:{&quot;type&quot;:&quot;article&quot;,&quot;id&quot;:&quot;ea3936ae-bf4c-3f99-bf40-52d966f80de5&quot;,&quot;title&quot;:&quot;Towards demand-side solutions for mitigating climate change&quot;,&quot;author&quot;:[{&quot;family&quot;:&quot;Creutzig&quot;,&quot;given&quot;:&quot;Felix&quot;,&quot;parse-names&quot;:false,&quot;dropping-particle&quot;:&quot;&quot;,&quot;non-dropping-particle&quot;:&quot;&quot;},{&quot;family&quot;:&quot;Roy&quot;,&quot;given&quot;:&quot;Joyashree&quot;,&quot;parse-names&quot;:false,&quot;dropping-particle&quot;:&quot;&quot;,&quot;non-dropping-particle&quot;:&quot;&quot;},{&quot;family&quot;:&quot;Lamb&quot;,&quot;given&quot;:&quot;William F.&quot;,&quot;parse-names&quot;:false,&quot;dropping-particle&quot;:&quot;&quot;,&quot;non-dropping-particle&quot;:&quot;&quot;},{&quot;family&quot;:&quot;Azevedo&quot;,&quot;given&quot;:&quot;Inês M.L.&quot;,&quot;parse-names&quot;:false,&quot;dropping-particle&quot;:&quot;&quot;,&quot;non-dropping-particle&quot;:&quot;&quot;},{&quot;family&quot;:&quot;Bruine De Bruin&quot;,&quot;given&quot;:&quot;Wändi&quot;,&quot;parse-names&quot;:false,&quot;dropping-particle&quot;:&quot;&quot;,&quot;non-dropping-particle&quot;:&quot;&quot;},{&quot;family&quot;:&quot;Dalkmann&quot;,&quot;given&quot;:&quot;Holger&quot;,&quot;parse-names&quot;:false,&quot;dropping-particle&quot;:&quot;&quot;,&quot;non-dropping-particle&quot;:&quot;&quot;},{&quot;family&quot;:&quot;Edelenbosch&quot;,&quot;given&quot;:&quot;Oreane Y.&quot;,&quot;parse-names&quot;:false,&quot;dropping-particle&quot;:&quot;&quot;,&quot;non-dropping-particle&quot;:&quot;&quot;},{&quot;family&quot;:&quot;Geels&quot;,&quot;given&quot;:&quot;Frank W.&quot;,&quot;parse-names&quot;:false,&quot;dropping-particle&quot;:&quot;&quot;,&quot;non-dropping-particle&quot;:&quot;&quot;},{&quot;family&quot;:&quot;Grubler&quot;,&quot;given&quot;:&quot;Arnulf&quot;,&quot;parse-names&quot;:false,&quot;dropping-particle&quot;:&quot;&quot;,&quot;non-dropping-particle&quot;:&quot;&quot;},{&quot;family&quot;:&quot;Hepburn&quot;,&quot;given&quot;:&quot;Cameron&quot;,&quot;parse-names&quot;:false,&quot;dropping-particle&quot;:&quot;&quot;,&quot;non-dropping-particle&quot;:&quot;&quot;},{&quot;family&quot;:&quot;Hertwich&quot;,&quot;given&quot;:&quot;Edgar G.&quot;,&quot;parse-names&quot;:false,&quot;dropping-particle&quot;:&quot;&quot;,&quot;non-dropping-particle&quot;:&quot;&quot;},{&quot;family&quot;:&quot;Khosla&quot;,&quot;given&quot;:&quot;Radhika&quot;,&quot;parse-names&quot;:false,&quot;dropping-particle&quot;:&quot;&quot;,&quot;non-dropping-particle&quot;:&quot;&quot;},{&quot;family&quot;:&quot;Mattauch&quot;,&quot;given&quot;:&quot;Linus&quot;,&quot;parse-names&quot;:false,&quot;dropping-particle&quot;:&quot;&quot;,&quot;non-dropping-particle&quot;:&quot;&quot;},{&quot;family&quot;:&quot;Minx&quot;,&quot;given&quot;:&quot;Jan C.&quot;,&quot;parse-names&quot;:false,&quot;dropping-particle&quot;:&quot;&quot;,&quot;non-dropping-particle&quot;:&quot;&quot;},{&quot;family&quot;:&quot;Ramakrishnan&quot;,&quot;given&quot;:&quot;Anjali&quot;,&quot;parse-names&quot;:false,&quot;dropping-particle&quot;:&quot;&quot;,&quot;non-dropping-particle&quot;:&quot;&quot;},{&quot;family&quot;:&quot;Rao&quot;,&quot;given&quot;:&quot;Narasimha D.&quot;,&quot;parse-names&quot;:false,&quot;dropping-particle&quot;:&quot;&quot;,&quot;non-dropping-particle&quot;:&quot;&quot;},{&quot;family&quot;:&quot;Steinberger&quot;,&quot;given&quot;:&quot;Julia K.&quot;,&quot;parse-names&quot;:false,&quot;dropping-particle&quot;:&quot;&quot;,&quot;non-dropping-particle&quot;:&quot;&quot;},{&quot;family&quot;:&quot;Tavoni&quot;,&quot;given&quot;:&quot;Massimo&quot;,&quot;parse-names&quot;:false,&quot;dropping-particle&quot;:&quot;&quot;,&quot;non-dropping-particle&quot;:&quot;&quot;},{&quot;family&quot;:&quot;Ürge-Vorsatz&quot;,&quot;given&quot;:&quot;Diana&quot;,&quot;parse-names&quot;:false,&quot;dropping-particle&quot;:&quot;&quot;,&quot;non-dropping-particle&quot;:&quot;&quot;},{&quot;family&quot;:&quot;Weber&quot;,&quot;given&quot;:&quot;Elke U.&quot;,&quot;parse-names&quot;:false,&quot;dropping-particle&quot;:&quot;&quot;,&quot;non-dropping-particle&quot;:&quot;&quot;}],&quot;container-title&quot;:&quot;Nature Climate Change&quot;,&quot;container-title-short&quot;:&quot;Nat. Clim. Chang.&quot;,&quot;DOI&quot;:&quot;10.1038/s41558-018-0121-1&quot;,&quot;ISSN&quot;:&quot;17586798&quot;,&quot;issued&quot;:{&quot;date-parts&quot;:[[2018,4,1]]},&quot;page&quot;:&quot;268-271&quot;,&quot;abstract&quot;:&quot;Research on climate change mitigation tends to focus on supply-side technology solutions. A better understanding of demand-side solutions is missing. We propose a transdisciplinary approach to identify demand-side climate solutions, investigate their mitigation potential, detail policy measures and assess their implications for well-being.&quot;,&quot;publisher&quot;:&quot;Nature Publishing Group&quot;,&quot;issue&quot;:&quot;4&quot;,&quot;volume&quot;:&quot;8&quot;},&quot;isTemporary&quot;:false}]},{&quot;citationID&quot;:&quot;MENDELEY_CITATION_4f3fca53-5f1c-4b62-934a-d9c42973b2b5&quot;,&quot;properties&quot;:{&quot;noteIndex&quot;:0},&quot;isEdited&quot;:false,&quot;manualOverride&quot;:{&quot;isManuallyOverridden&quot;:true,&quot;citeprocText&quot;:&quot;(Boivent et al., 2025)&quot;,&quot;manualOverrideText&quot;:&quot;Boivent et al. (2025)&quot;},&quot;citationTag&quot;:&quot;MENDELEY_CITATION_v3_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&quot;,&quot;citationItems&quot;:[{&quot;id&quot;:&quot;a4370a10-2f7f-3721-9450-ffaabab90ed8&quot;,&quot;itemData&quot;:{&quot;type&quot;:&quot;article-journal&quot;,&quot;id&quot;:&quot;a4370a10-2f7f-3721-9450-ffaabab90ed8&quot;,&quot;title&quot;:&quot;From regional human needs to dynamic product climate targets [Preprint]&quot;,&quot;author&quot;:[{&quot;family&quot;:&quot;Boivent&quot;,&quot;given&quot;:&quot;Solène&quot;,&quot;parse-names&quot;:false,&quot;dropping-particle&quot;:&quot;&quot;,&quot;non-dropping-particle&quot;:&quot;&quot;},{&quot;family&quot;:&quot;Serrano&quot;,&quot;given&quot;:&quot;Teddy&quot;,&quot;parse-names&quot;:false,&quot;dropping-particle&quot;:&quot;&quot;,&quot;non-dropping-particle&quot;:&quot;&quot;},{&quot;family&quot;:&quot;Bjørn&quot;,&quot;given&quot;:&quot;Anders&quot;,&quot;parse-names&quot;:false,&quot;dropping-particle&quot;:&quot;&quot;,&quot;non-dropping-particle&quot;:&quot;&quot;},{&quot;family&quot;:&quot;Hauschild&quot;,&quot;given&quot;:&quot;Michael&quot;,&quot;parse-names&quot;:false,&quot;dropping-particle&quot;:&quot;&quot;,&quot;non-dropping-particle&quot;:&quot;&quot;}],&quot;container-title&quot;:&quot;SSRN&quot;,&quot;container-title-short&quot;:&quot;SSRN&quot;,&quot;URL&quot;:&quot;https://ssrn.com/abstract=5840605&quot;,&quot;issued&quot;:{&quot;date-parts&quot;:[[2025]]}},&quot;isTemporary&quot;:false}]},{&quot;citationID&quot;:&quot;MENDELEY_CITATION_3b65ef06-7031-4169-9b97-22bc649653af&quot;,&quot;properties&quot;:{&quot;noteIndex&quot;:0},&quot;isEdited&quot;:false,&quot;manualOverride&quot;:{&quot;isManuallyOverridden&quot;:true,&quot;citeprocText&quot;:&quot;(Boivent et al., 2025)&quot;,&quot;manualOverrideText&quot;:&quot;Boivent et al. (2025)&quot;},&quot;citationTag&quot;:&quot;MENDELEY_CITATION_v3_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&quot;,&quot;citationItems&quot;:[{&quot;id&quot;:&quot;a4370a10-2f7f-3721-9450-ffaabab90ed8&quot;,&quot;itemData&quot;:{&quot;type&quot;:&quot;article-journal&quot;,&quot;id&quot;:&quot;a4370a10-2f7f-3721-9450-ffaabab90ed8&quot;,&quot;title&quot;:&quot;From regional human needs to dynamic product climate targets [Preprint]&quot;,&quot;author&quot;:[{&quot;family&quot;:&quot;Boivent&quot;,&quot;given&quot;:&quot;Solène&quot;,&quot;parse-names&quot;:false,&quot;dropping-particle&quot;:&quot;&quot;,&quot;non-dropping-particle&quot;:&quot;&quot;},{&quot;family&quot;:&quot;Serrano&quot;,&quot;given&quot;:&quot;Teddy&quot;,&quot;parse-names&quot;:false,&quot;dropping-particle&quot;:&quot;&quot;,&quot;non-dropping-particle&quot;:&quot;&quot;},{&quot;family&quot;:&quot;Bjørn&quot;,&quot;given&quot;:&quot;Anders&quot;,&quot;parse-names&quot;:false,&quot;dropping-particle&quot;:&quot;&quot;,&quot;non-dropping-particle&quot;:&quot;&quot;},{&quot;family&quot;:&quot;Hauschild&quot;,&quot;given&quot;:&quot;Michael&quot;,&quot;parse-names&quot;:false,&quot;dropping-particle&quot;:&quot;&quot;,&quot;non-dropping-particle&quot;:&quot;&quot;}],&quot;container-title&quot;:&quot;SSRN&quot;,&quot;container-title-short&quot;:&quot;SSRN&quot;,&quot;URL&quot;:&quot;https://ssrn.com/abstract=5840605&quot;,&quot;issued&quot;:{&quot;date-parts&quot;:[[2025]]}},&quot;isTemporary&quot;:false}]},{&quot;citationID&quot;:&quot;MENDELEY_CITATION_7f3800a0-7927-40b3-ab1a-83f4e6d5936c&quot;,&quot;properties&quot;:{&quot;noteIndex&quot;:0},&quot;isEdited&quot;:false,&quot;manualOverride&quot;:{&quot;isManuallyOverridden&quot;:false,&quot;citeprocText&quot;:&quot;(Clausen et al., 2025; Levasseur et al., 2010)&quot;,&quot;manualOverrideText&quot;:&quot;&quot;},&quot;citationTag&quot;:&quot;MENDELEY_CITATION_v3_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&quot;,&quot;citationItems&quot;:[{&quot;id&quot;:&quot;6f25852b-d20d-3d47-87e7-6b2ec8926e92&quot;,&quot;itemData&quot;:{&quot;type&quot;:&quot;article&quot;,&quot;id&quot;:&quot;6f25852b-d20d-3d47-87e7-6b2ec8926e92&quot;,&quot;title&quot;:&quot;Absolute environmental sustainability assessments of long-lived systems: A review of challenges with the representation of time and future research directions&quot;,&quot;author&quot;:[{&quot;family&quot;:&quot;Clausen&quot;,&quot;given&quot;:&quot;Caroline Amalie&quot;,&quot;parse-names&quot;:false,&quot;dropping-particle&quot;:&quot;&quot;,&quot;non-dropping-particle&quot;:&quot;&quot;},{&quot;family&quot;:&quot;Hauschild&quot;,&quot;given&quot;:&quot;Michael Zwicky&quot;,&quot;parse-names&quot;:false,&quot;dropping-particle&quot;:&quot;&quot;,&quot;non-dropping-particle&quot;:&quot;&quot;},{&quot;family&quot;:&quot;Bjørn&quot;,&quot;given&quot;:&quot;Anders&quot;,&quot;parse-names&quot;:false,&quot;dropping-particle&quot;:&quot;&quot;,&quot;non-dropping-particle&quot;:&quot;&quot;}],&quot;container-title&quot;:&quot;Sustainable Production and Consumption&quot;,&quot;container-title-short&quot;:&quot;Sustain. Prod. Consum.&quot;,&quot;DOI&quot;:&quot;10.1016/j.spc.2025.06.006&quot;,&quot;ISSN&quot;:&quot;23525509&quot;,&quot;issued&quot;:{&quot;date-parts&quot;:[[2025,9,1]]},&quot;page&quot;:&quot;140-150&quot;,&quot;abstract&quot;:&quot;In Absolute Environmental Sustainability Assessment (AESA) various changes over time in e.g., technologies, environmental conditions, and socio-economic conditions are typically not explicitly considered. This may lead to a risk of invalid results and conclusions in assessments of product systems with a long lifetime (e.g., buildings), on the extent to which its future environmental impacts will be low enough. The aim of this study is to identify possible changes to AESA for improved representation of different types of changes throughout the lifetime of long-lived systems. First, we carried out a meta review of existing reviews of AESAs and dynamic life cycle assessments (LCAs) to compile pre-identified challenges related to the time dimension. Second, we identified and reviewed relevant AESA studies that specifically focus on long-lived systems to identify the current practices. We identified 52 time-related challenges from the meta review and grouped them according to methodological- and stakeholder relevance. Most challenges are relevant for LCA development, including for researchers and practitioners. We found that most of the 14 identified AESA studies of long-lived systems focus on the representation of changes over time in the life cycle inventory phase, while changes over time in characterization factors, carrying capacities and the data for sharing the carrying capacities are rarely considered. Lastly, we offer suggestions for improvements to the current practice of AESA that can potentially address the identified challenges, such as consistent use of future scenarios (e.g., the shared socioeconomic pathways) throughout the phases of an AESA, e.g., for estimating prospective characterization factors and carrying capacities, and for sharing the carrying capacities. Our study contributes to the field of AESA by highlighting critical areas in need of future research to enable appropriate representation of time in studies of long-lived systems.&quot;,&quot;publisher&quot;:&quot;Elsevier B.V.&quot;,&quot;volume&quot;:&quot;58&quot;},&quot;isTemporary&quot;:false},{&quot;id&quot;:&quot;9ad6f1ff-5f23-39fd-9f6d-d99c731a8cf3&quot;,&quot;itemData&quot;:{&quot;type&quot;:&quot;article-journal&quot;,&quot;id&quot;:&quot;9ad6f1ff-5f23-39fd-9f6d-d99c731a8cf3&quot;,&quot;title&quot;:&quot;Considering time in LCA: Dynamic LCA and its application to global warming impact assessments&quot;,&quot;author&quot;:[{&quot;family&quot;:&quot;Levasseur&quot;,&quot;given&quot;:&quot;Annie&quot;,&quot;parse-names&quot;:false,&quot;dropping-particle&quot;:&quot;&quot;,&quot;non-dropping-particle&quot;:&quot;&quot;},{&quot;family&quot;:&quot;Lesage&quot;,&quot;given&quot;:&quot;Pascal&quot;,&quot;parse-names&quot;:false,&quot;dropping-particle&quot;:&quot;&quot;,&quot;non-dropping-particle&quot;:&quot;&quot;},{&quot;family&quot;:&quot;Margni&quot;,&quot;given&quot;:&quot;Manuele&quot;,&quot;parse-names&quot;:false,&quot;dropping-particle&quot;:&quot;&quot;,&quot;non-dropping-particle&quot;:&quot;&quot;},{&quot;family&quot;:&quot;Deschěnes&quot;,&quot;given&quot;:&quot;Louise&quot;,&quot;parse-names&quot;:false,&quot;dropping-particle&quot;:&quot;&quot;,&quot;non-dropping-particle&quot;:&quot;&quot;},{&quot;family&quot;:&quot;Samson&quot;,&quot;given&quot;:&quot;Réjean&quot;,&quot;parse-names&quot;:false,&quot;dropping-particle&quot;:&quot;&quot;,&quot;non-dropping-particle&quot;:&quot;&quot;}],&quot;container-title&quot;:&quot;Environmental Science and Technology&quot;,&quot;container-title-short&quot;:&quot;Environ. Sci. Technol.&quot;,&quot;DOI&quot;:&quot;10.1021/es9030003&quot;,&quot;ISSN&quot;:&quot;0013936X&quot;,&quot;PMID&quot;:&quot;20302334&quot;,&quot;issued&quot;:{&quot;date-parts&quot;:[[2010,4,15]]},&quot;page&quot;:&quot;3169-3174&quot;,&quot;abstract&quot;:&quot;The lack of temporal information is an important limitation of life cycle assessment (LCA). A dynamic LCA approach is proposed to improve the accuracy of LCA by addressing the inconsistency of temporal assessment. This approach consists of first computing a dynamic life cycle inventory (LCI), considering the temporal profile of emissions. Then, time-dependent characterization factors are calculated to assess the dynamic LCI in real-time impact scores for any given time horizon. Although generally applicable to any impact category, this approach is developed here for global warming, based on the radiative forcing concept. This case study demonstrates that the use of global warming potentials for a given time horizon to characterize greenhouse gas emissions leads to an inconsistency between the time frame chosen for the analysis and the time period covered by the LCA results. Dynamic LCA is applied to the US EPA LCA on renewable fuels, which compares the life cycle greenhouse gas emissions of different biofuels with fossil fuels including land-use change emissions. The comparison of the results obtained with both traditional and dynamic LCA approaches shows that the difference can be important enough to change the conclusions on whether or not a biofuel meets some given global warming reduction targets. © 2010 American Chemical Society.&quot;,&quot;issue&quot;:&quot;8&quot;,&quot;volume&quot;:&quot;44&quot;},&quot;isTemporary&quot;:false}]},{&quot;citationID&quot;:&quot;MENDELEY_CITATION_7d0c2e5a-a63d-4dbe-9ee4-d13a3430ba13&quot;,&quot;properties&quot;:{&quot;noteIndex&quot;:0},&quot;isEdited&quot;:false,&quot;manualOverride&quot;:{&quot;isManuallyOverridden&quot;:false,&quot;citeprocText&quot;:&quot;(Bjørn et al., 2020)&quot;,&quot;manualOverrideText&quot;:&quot;&quot;},&quot;citationTag&quot;:&quot;MENDELEY_CITATION_v3_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&quot;,&quot;citationItems&quot;:[{&quot;id&quot;:&quot;fcb089d4-bbb5-3f0e-ad30-35e4cab6b01b&quot;,&quot;itemData&quot;:{&quot;type&quot;:&quot;article-journal&quot;,&quot;id&quot;:&quot;fcb089d4-bbb5-3f0e-ad30-35e4cab6b01b&quot;,&quot;title&quot;:&quot;Review of life-cycle based methods for absolute environmental sustainability assessment and their applications&quot;,&quot;author&quot;:[{&quot;family&quot;:&quot;Bjørn&quot;,&quot;given&quot;:&quot;Anders&quot;,&quot;parse-names&quot;:false,&quot;dropping-particle&quot;:&quot;&quot;,&quot;non-dropping-particle&quot;:&quot;&quot;},{&quot;family&quot;:&quot;Chandrakumar&quot;,&quot;given&quot;:&quot;Chanjief&quot;,&quot;parse-names&quot;:false,&quot;dropping-particle&quot;:&quot;&quot;,&quot;non-dropping-particle&quot;:&quot;&quot;},{&quot;family&quot;:&quot;Boulay&quot;,&quot;given&quot;:&quot;Anne Marie&quot;,&quot;parse-names&quot;:false,&quot;dropping-particle&quot;:&quot;&quot;,&quot;non-dropping-particle&quot;:&quot;&quot;},{&quot;family&quot;:&quot;Doka&quot;,&quot;given&quot;:&quot;Gabor&quot;,&quot;parse-names&quot;:false,&quot;dropping-particle&quot;:&quot;&quot;,&quot;non-dropping-particle&quot;:&quot;&quot;},{&quot;family&quot;:&quot;Fang&quot;,&quot;given&quot;:&quot;Kai&quot;,&quot;parse-names&quot;:false,&quot;dropping-particle&quot;:&quot;&quot;,&quot;non-dropping-particle&quot;:&quot;&quot;},{&quot;family&quot;:&quot;Gondran&quot;,&quot;given&quot;:&quot;Natacha&quot;,&quot;parse-names&quot;:false,&quot;dropping-particle&quot;:&quot;&quot;,&quot;non-dropping-particle&quot;:&quot;&quot;},{&quot;family&quot;:&quot;Hauschild&quot;,&quot;given&quot;:&quot;Michael Zwicky&quot;,&quot;parse-names&quot;:false,&quot;dropping-particle&quot;:&quot;&quot;,&quot;non-dropping-particle&quot;:&quot;&quot;},{&quot;family&quot;:&quot;Kerkhof&quot;,&quot;given&quot;:&quot;Annemarie&quot;,&quot;parse-names&quot;:false,&quot;dropping-particle&quot;:&quot;&quot;,&quot;non-dropping-particle&quot;:&quot;&quot;},{&quot;family&quot;:&quot;King&quot;,&quot;given&quot;:&quot;Henry&quot;,&quot;parse-names&quot;:false,&quot;dropping-particle&quot;:&quot;&quot;,&quot;non-dropping-particle&quot;:&quot;&quot;},{&quot;family&quot;:&quot;Margni&quot;,&quot;given&quot;:&quot;Manuele&quot;,&quot;parse-names&quot;:false,&quot;dropping-particle&quot;:&quot;&quot;,&quot;non-dropping-particle&quot;:&quot;&quot;},{&quot;family&quot;:&quot;McLaren&quot;,&quot;given&quot;:&quot;Sarah&quot;,&quot;parse-names&quot;:false,&quot;dropping-particle&quot;:&quot;&quot;,&quot;non-dropping-particle&quot;:&quot;&quot;},{&quot;family&quot;:&quot;Mueller&quot;,&quot;given&quot;:&quot;Carina&quot;,&quot;parse-names&quot;:false,&quot;dropping-particle&quot;:&quot;&quot;,&quot;non-dropping-particle&quot;:&quot;&quot;},{&quot;family&quot;:&quot;Owsianiak&quot;,&quot;given&quot;:&quot;Mikołaj&quot;,&quot;parse-names&quot;:false,&quot;dropping-particle&quot;:&quot;&quot;,&quot;non-dropping-particle&quot;:&quot;&quot;},{&quot;family&quot;:&quot;Peters&quot;,&quot;given&quot;:&quot;Greg&quot;,&quot;parse-names&quot;:false,&quot;dropping-particle&quot;:&quot;&quot;,&quot;non-dropping-particle&quot;:&quot;&quot;},{&quot;family&quot;:&quot;Roos&quot;,&quot;given&quot;:&quot;Sandra&quot;,&quot;parse-names&quot;:false,&quot;dropping-particle&quot;:&quot;&quot;,&quot;non-dropping-particle&quot;:&quot;&quot;},{&quot;family&quot;:&quot;Sala&quot;,&quot;given&quot;:&quot;Serenella&quot;,&quot;parse-names&quot;:false,&quot;dropping-particle&quot;:&quot;&quot;,&quot;non-dropping-particle&quot;:&quot;&quot;},{&quot;family&quot;:&quot;Sandin&quot;,&quot;given&quot;:&quot;Gustav&quot;,&quot;parse-names&quot;:false,&quot;dropping-particle&quot;:&quot;&quot;,&quot;non-dropping-particle&quot;:&quot;&quot;},{&quot;family&quot;:&quot;Sim&quot;,&quot;given&quot;:&quot;Sarah&quot;,&quot;parse-names&quot;:false,&quot;dropping-particle&quot;:&quot;&quot;,&quot;non-dropping-particle&quot;:&quot;&quot;},{&quot;family&quot;:&quot;Vargas-Gonzalez&quot;,&quot;given&quot;:&quot;Marcial&quot;,&quot;parse-names&quot;:false,&quot;dropping-particle&quot;:&quot;&quot;,&quot;non-dropping-particle&quot;:&quot;&quot;},{&quot;family&quot;:&quot;Ryberg&quot;,&quot;given&quot;:&quot;Morten&quot;,&quot;parse-names&quot;:false,&quot;dropping-particle&quot;:&quot;&quot;,&quot;non-dropping-particle&quot;:&quot;&quot;}],&quot;container-title&quot;:&quot;Environmental Research Letters&quot;,&quot;DOI&quot;:&quot;10.1088/1748-9326/ab89d7&quot;,&quot;ISSN&quot;:&quot;17489326&quot;,&quot;issued&quot;:{&quot;date-parts&quot;:[[2020]]},&quot;abstract&quot;:&quot;In many regions and at the planetary scale, human pressures on the environment exceed levels that natural systems can sustain. These pressures are caused by networks of human activities, which often extend across countries and continents due to global trade. This has led to an increasing requirement for methods that enable absolute environmental sustainability assessment (AESA) of anthropogenic systems and which have a basis in life cycle assessment (LCA). Such methods enable the comparison of environmental impacts of products, companies, nations, etc, with an assigned share of environmental carrying capacity for various impact categories. This study is the first systematic review of LCA-based AESA methods and their applications. After developing a framework for LCA-based AESA methods, we identified 45 relevant studies through an initial survey, database searches and citation analysis. We characterized these studies according to their intended application, impact categories, basis of carrying capacity estimates, spatial differentiation of environmental model and principles for assigning carrying capacity. We then characterized all method applications and synthesized their results. Based on this assessment, we present recommendations to practitioners on the selection and use of existing LCA-based AESA methods, as well as ways to perform assessments and communicate results to decision-makers. Furthermore, we identify future research priorities intended to extend coverage of all components of the proposed method framework, improve modeling and increase the applicability of methods.&quot;,&quot;issue&quot;:&quot;8&quot;,&quot;volume&quot;:&quot;15&quot;,&quot;container-title-short&quot;:&quot;&quot;},&quot;isTemporary&quot;:false}]},{&quot;citationID&quot;:&quot;MENDELEY_CITATION_fc77938c-02ea-46b0-a19f-4f6776432b55&quot;,&quot;properties&quot;:{&quot;noteIndex&quot;:0},&quot;isEdited&quot;:false,&quot;manualOverride&quot;:{&quot;isManuallyOverridden&quot;:false,&quot;citeprocText&quot;:&quot;(Ranganathan et al., 2004)&quot;,&quot;manualOverrideText&quot;:&quot;&quot;},&quot;citationTag&quot;:&quot;MENDELEY_CITATION_v3_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&quot;,&quot;citationItems&quot;:[{&quot;id&quot;:&quot;6d434b1c-d687-3193-8786-c265933c6e44&quot;,&quot;itemData&quot;:{&quot;type&quot;:&quot;report&quot;,&quot;id&quot;:&quot;6d434b1c-d687-3193-8786-c265933c6e44&quot;,&quot;title&quot;:&quot;The Greenhouse Gas Protocol&quot;,&quot;author&quot;:[{&quot;family&quot;:&quot;Ranganathan&quot;,&quot;given&quot;:&quot;Janet&quot;,&quot;parse-names&quot;:false,&quot;dropping-particle&quot;:&quot;&quot;,&quot;non-dropping-particle&quot;:&quot;&quot;},{&quot;family&quot;:&quot;Corbier&quot;,&quot;given&quot;:&quot;Laurent&quot;,&quot;parse-names&quot;:false,&quot;dropping-particle&quot;:&quot;&quot;,&quot;non-dropping-particle&quot;:&quot;&quot;},{&quot;family&quot;:&quot;Schmitz&quot;,&quot;given&quot;:&quot;Simon&quot;,&quot;parse-names&quot;:false,&quot;dropping-particle&quot;:&quot;&quot;,&quot;non-dropping-particle&quot;:&quot;&quot;},{&quot;family&quot;:&quot;Oren&quot;,&quot;given&quot;:&quot;Kjell&quot;,&quot;parse-names&quot;:false,&quot;dropping-particle&quot;:&quot;&quot;,&quot;non-dropping-particle&quot;:&quot;&quot;},{&quot;family&quot;:&quot;Dawson&quot;,&quot;given&quot;:&quot;Brian&quot;,&quot;parse-names&quot;:false,&quot;dropping-particle&quot;:&quot;&quot;,&quot;non-dropping-particle&quot;:&quot;&quot;},{&quot;family&quot;:&quot;Spannagle&quot;,&quot;given&quot;:&quot;Matt&quot;,&quot;parse-names&quot;:false,&quot;dropping-particle&quot;:&quot;&quot;,&quot;non-dropping-particle&quot;:&quot;&quot;},{&quot;family&quot;:&quot;Bp&quot;,&quot;given&quot;:&quot;Mike Mcmahon&quot;,&quot;parse-names&quot;:false,&quot;dropping-particle&quot;:&quot;&quot;,&quot;non-dropping-particle&quot;:&quot;&quot;},{&quot;family&quot;:&quot;Boileau&quot;,&quot;given&quot;:&quot;Pierre&quot;,&quot;parse-names&quot;:false,&quot;dropping-particle&quot;:&quot;&quot;,&quot;non-dropping-particle&quot;:&quot;&quot;},{&quot;family&quot;:&quot;Canada&quot;,&quot;given&quot;:&quot;Environment&quot;,&quot;parse-names&quot;:false,&quot;dropping-particle&quot;:&quot;&quot;,&quot;non-dropping-particle&quot;:&quot;&quot;},{&quot;family&quot;:&quot;Frederick&quot;,&quot;given&quot;:&quot;Rob&quot;,&quot;parse-names&quot;:false,&quot;dropping-particle&quot;:&quot;&quot;,&quot;non-dropping-particle&quot;:&quot;&quot;},{&quot;family&quot;:&quot;Vanderborght&quot;,&quot;given&quot;:&quot;Bruno&quot;,&quot;parse-names&quot;:false,&quot;dropping-particle&quot;:&quot;&quot;,&quot;non-dropping-particle&quot;:&quot;&quot;},{&quot;family&quot;:&quot;Thomson&quot;,&quot;given&quot;:&quot;Holcim Fraser&quot;,&quot;parse-names&quot;:false,&quot;dropping-particle&quot;:&quot;&quot;,&quot;non-dropping-particle&quot;:&quot;&quot;},{&quot;family&quot;:&quot;Kitamura&quot;,&quot;given&quot;:&quot;Koichi&quot;,&quot;parse-names&quot;:false,&quot;dropping-particle&quot;:&quot;&quot;,&quot;non-dropping-particle&quot;:&quot;&quot;},{&quot;family&quot;:&quot;Woo&quot;,&quot;given&quot;:&quot;Chi Mun&quot;,&quot;parse-names&quot;:false,&quot;dropping-particle&quot;:&quot;&quot;,&quot;non-dropping-particle&quot;:&quot;&quot;},{&quot;family&quot;:&quot;Naseem&quot;,&quot;given&quot;:&quot;&amp;&quot;,&quot;parse-names&quot;:false,&quot;dropping-particle&quot;:&quot;&quot;,&quot;non-dropping-particle&quot;:&quot;&quot;},{&quot;family&quot;:&quot;Kpmg&quot;,&quot;given&quot;:&quot;Pankhida&quot;,&quot;parse-names&quot;:false,&quot;dropping-particle&quot;:&quot;&quot;,&quot;non-dropping-particle&quot;:&quot;&quot;},{&quot;family&quot;:&quot;Miner&quot;,&quot;given&quot;:&quot;Reid&quot;,&quot;parse-names&quot;:false,&quot;dropping-particle&quot;:&quot;&quot;,&quot;non-dropping-particle&quot;:&quot;&quot;},{&quot;family&quot;:&quot;Pricewaterhousecoopers&quot;,&quot;given&quot;:&quot;Laurent Segalen&quot;,&quot;parse-names&quot;:false,&quot;dropping-particle&quot;:&quot;&quot;,&quot;non-dropping-particle&quot;:&quot;&quot;},{&quot;family&quot;:&quot;Koch&quot;,&quot;given&quot;:&quot;Jasper&quot;,&quot;parse-names&quot;:false,&quot;dropping-particle&quot;:&quot;&quot;,&quot;non-dropping-particle&quot;:&quot;&quot;},{&quot;family&quot;:&quot;Bhattacharjee&quot;,&quot;given&quot;:&quot;Somnath&quot;,&quot;parse-names&quot;:false,&quot;dropping-particle&quot;:&quot;&quot;,&quot;non-dropping-particle&quot;:&quot;&quot;},{&quot;family&quot;:&quot;Cummis&quot;,&quot;given&quot;:&quot;Cynthia&quot;,&quot;parse-names&quot;:false,&quot;dropping-particle&quot;:&quot;&quot;,&quot;non-dropping-particle&quot;:&quot;&quot;},{&quot;family&quot;:&quot;Eaton&quot;,&quot;given&quot;:&quot;Rebecca&quot;,&quot;parse-names&quot;:false,&quot;dropping-particle&quot;:&quot;&quot;,&quot;non-dropping-particle&quot;:&quot;&quot;},{&quot;family&quot;:&quot;Gillenwater&quot;,&quot;given&quot;:&quot;Michael&quot;,&quot;parse-names&quot;:false,&quot;dropping-particle&quot;:&quot;&quot;,&quot;non-dropping-particle&quot;:&quot;&quot;},{&quot;family&quot;:&quot;Pricewaterhousecoopers&quot;,&quot;given&quot;:&quot;Marie Marache&quot;,&quot;parse-names&quot;:false,&quot;dropping-particle&quot;:&quot;&quot;,&quot;non-dropping-particle&quot;:&quot;&quot;},{&quot;family&quot;:&quot;Acosta&quot;,&quot;given&quot;:&quot;Roberto&quot;,&quot;parse-names&quot;:false,&quot;dropping-particle&quot;:&quot;&quot;,&quot;non-dropping-particle&quot;:&quot;&quot;},{&quot;family&quot;:&quot;Camobreco&quot;,&quot;given&quot;:&quot;Vincent&quot;,&quot;parse-names&quot;:false,&quot;dropping-particle&quot;:&quot;&quot;,&quot;non-dropping-particle&quot;:&quot;&quot;}],&quot;issued&quot;:{&quot;date-parts&quot;:[[2004,3]]},&quot;container-title-short&quot;:&quot;&quot;},&quot;isTemporary&quot;:false}]},{&quot;citationID&quot;:&quot;MENDELEY_CITATION_a890d246-0ecc-4ae1-afd7-9dc2e940d01e&quot;,&quot;properties&quot;:{&quot;noteIndex&quot;:0},&quot;isEdited&quot;:false,&quot;manualOverride&quot;:{&quot;isManuallyOverridden&quot;:false,&quot;citeprocText&quot;:&quot;(Tukker et al., 2018)&quot;,&quot;manualOverrideText&quot;:&quot;&quot;},&quot;citationTag&quot;:&quot;MENDELEY_CITATION_v3_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&quot;,&quot;citationItems&quot;:[{&quot;id&quot;:&quot;e3a536ad-1cb6-3266-8521-3cbb9442749f&quot;,&quot;itemData&quot;:{&quot;type&quot;:&quot;article-journal&quot;,&quot;id&quot;:&quot;e3a536ad-1cb6-3266-8521-3cbb9442749f&quot;,&quot;title&quot;:&quot;Recent Progress in Assessment of Resource Efficiency and Environmental Impacts Embodied in Trade: An Introduction to this Special Issue&quot;,&quot;author&quot;:[{&quot;family&quot;:&quot;Tukker&quot;,&quot;given&quot;:&quot;Arnold&quot;,&quot;parse-names&quot;:false,&quot;dropping-particle&quot;:&quot;&quot;,&quot;non-dropping-particle&quot;:&quot;&quot;},{&quot;family&quot;:&quot;Giljum&quot;,&quot;given&quot;:&quot;Stefan&quot;,&quot;parse-names&quot;:false,&quot;dropping-particle&quot;:&quot;&quot;,&quot;non-dropping-particle&quot;:&quot;&quot;},{&quot;family&quot;:&quot;Wood&quot;,&quot;given&quot;:&quot;Richard&quot;,&quot;parse-names&quot;:false,&quot;dropping-particle&quot;:&quot;&quot;,&quot;non-dropping-particle&quot;:&quot;&quot;}],&quot;container-title&quot;:&quot;Journal of Industrial Ecology&quot;,&quot;container-title-short&quot;:&quot;J. Ind. Ecol.&quot;,&quot;DOI&quot;:&quot;10.1111/jiec.12736&quot;,&quot;ISSN&quot;:&quot;15309290&quot;,&quot;issued&quot;:{&quot;date-parts&quot;:[[2018,6,1]]},&quot;page&quot;:&quot;489-501&quot;,&quot;abstract&quot;:&quot;This paper serves as an introduction to this special issue on the use of multiregional input-output modeling in assessments of natural resource use and resource use efficiency. Due to globalization, growth in trade has outpaced growth in global gross domestic product (GDP). As a consequence, impacts of consumption of a country increasingly take place abroad. Various methods have been developed to perform so-called footprint analyses. We argue that global multiregional input-output (GMRIO) analysis has the largest potential to provide a consistent accounting framework to calculate a variety of different footprint indicators. The state of the art in GMRIO has, however, various shortcomings, such as limited sector and regional detail and incomplete extensions. The work presented in this special issue addresses a number of such problems and how to possibly overcome them, focusing on the construction of a new GMRIO database (EXIOBASE V3). This database includes long time series in both current and constant prices, a high level of product and sector detail, a physical representation of the world economy, and allows analyzing which footprints out of the many possible indicators provide most information for policy making. Various options for empirical analyses are presented in this special issue. Finally, we analyze how GMRIOs can be further standardized and gradually moved from the scientific to the official statistical domain.&quot;,&quot;publisher&quot;:&quot;Blackwell Publishing&quot;,&quot;issue&quot;:&quot;3&quot;,&quot;volume&quot;:&quot;22&quot;},&quot;isTemporary&quot;:false}]},{&quot;citationID&quot;:&quot;MENDELEY_CITATION_3061a726-396b-458c-a83e-71b00a1cf833&quot;,&quot;properties&quot;:{&quot;noteIndex&quot;:0},&quot;isEdited&quot;:false,&quot;manualOverride&quot;:{&quot;isManuallyOverridden&quot;:true,&quot;citeprocText&quot;:&quot;(IPCC, 2023)&quot;,&quot;manualOverrideText&quot;:&quot;(IPCC, 2023b)&quot;},&quot;citationTag&quot;:&quot;MENDELEY_CITATION_v3_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&quot;,&quot;citationItems&quot;:[{&quot;id&quot;:&quot;119c68df-468d-3b01-857a-c253034a60fa&quot;,&quot;itemData&quot;:{&quot;type&quot;:&quot;chapter&quot;,&quot;id&quot;:&quot;119c68df-468d-3b01-857a-c253034a60fa&quot;,&quot;title&quot;:&quot;Summary for Policymakers - Working Group III Contribution to the Sixth Assessment Report of the Intergovernmental Panel on Climate Change&quot;,&quot;author&quot;:[{&quot;family&quot;:&quot;IPCC&quot;,&quot;given&quot;:&quot;&quot;,&quot;parse-names&quot;:false,&quot;dropping-particle&quot;:&quot;&quot;,&quot;non-dropping-particle&quot;:&quot;&quot;}],&quot;container-title&quot;:&quot;Climate Change 2022 - Mitigation of Climate Change&quot;,&quot;DOI&quot;:&quot;10.1017/9781009157926.001&quot;,&quot;URL&quot;:&quot;https://www.cambridge.org/core/product/identifier/9781009157926%23pre2/type/book_part&quot;,&quot;issued&quot;:{&quot;date-parts&quot;:[[2023,8,17]]},&quot;page&quot;:&quot;3-48&quot;,&quot;publisher&quot;:&quot;Cambridge University Press&quot;,&quot;container-title-short&quot;:&quot;&quot;},&quot;isTemporary&quot;:false}]},{&quot;citationID&quot;:&quot;MENDELEY_CITATION_e8134e6f-5b64-4274-b4c6-9f210338c7a5&quot;,&quot;properties&quot;:{&quot;noteIndex&quot;:0},&quot;isEdited&quot;:false,&quot;manualOverride&quot;:{&quot;isManuallyOverridden&quot;:true,&quot;citeprocText&quot;:&quot;(Boivent et al., 2025)&quot;,&quot;manualOverrideText&quot;:&quot;Boivent et al. (2025)&quot;},&quot;citationTag&quot;:&quot;MENDELEY_CITATION_v3_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&quot;,&quot;citationItems&quot;:[{&quot;id&quot;:&quot;a4370a10-2f7f-3721-9450-ffaabab90ed8&quot;,&quot;itemData&quot;:{&quot;type&quot;:&quot;article-journal&quot;,&quot;id&quot;:&quot;a4370a10-2f7f-3721-9450-ffaabab90ed8&quot;,&quot;title&quot;:&quot;From regional human needs to dynamic product climate targets [Preprint]&quot;,&quot;author&quot;:[{&quot;family&quot;:&quot;Boivent&quot;,&quot;given&quot;:&quot;Solène&quot;,&quot;parse-names&quot;:false,&quot;dropping-particle&quot;:&quot;&quot;,&quot;non-dropping-particle&quot;:&quot;&quot;},{&quot;family&quot;:&quot;Serrano&quot;,&quot;given&quot;:&quot;Teddy&quot;,&quot;parse-names&quot;:false,&quot;dropping-particle&quot;:&quot;&quot;,&quot;non-dropping-particle&quot;:&quot;&quot;},{&quot;family&quot;:&quot;Bjørn&quot;,&quot;given&quot;:&quot;Anders&quot;,&quot;parse-names&quot;:false,&quot;dropping-particle&quot;:&quot;&quot;,&quot;non-dropping-particle&quot;:&quot;&quot;},{&quot;family&quot;:&quot;Hauschild&quot;,&quot;given&quot;:&quot;Michael&quot;,&quot;parse-names&quot;:false,&quot;dropping-particle&quot;:&quot;&quot;,&quot;non-dropping-particle&quot;:&quot;&quot;}],&quot;container-title&quot;:&quot;SSRN&quot;,&quot;container-title-short&quot;:&quot;SSRN&quot;,&quot;URL&quot;:&quot;https://ssrn.com/abstract=5840605&quot;,&quot;issued&quot;:{&quot;date-parts&quot;:[[2025]]}},&quot;isTemporary&quot;:false}]},{&quot;citationID&quot;:&quot;MENDELEY_CITATION_d9e599db-f8ce-42ee-97d3-06137e12b90e&quot;,&quot;properties&quot;:{&quot;noteIndex&quot;:0},&quot;isEdited&quot;:false,&quot;manualOverride&quot;:{&quot;isManuallyOverridden&quot;:false,&quot;citeprocText&quot;:&quot;(Miller &amp;#38; Blair, 2009)&quot;,&quot;manualOverrideText&quot;:&quot;&quot;},&quot;citationTag&quot;:&quot;MENDELEY_CITATION_v3_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&quot;,&quot;citationItems&quot;:[{&quot;id&quot;:&quot;8695d053-f577-3ab0-a854-568fe494d5a1&quot;,&quot;itemData&quot;:{&quot;type&quot;:&quot;book&quot;,&quot;id&quot;:&quot;8695d053-f577-3ab0-a854-568fe494d5a1&quot;,&quot;title&quot;:&quot;Input-output analysis: foundations and extensions&quot;,&quot;author&quot;:[{&quot;family&quot;:&quot;Miller&quot;,&quot;given&quot;:&quot;Ronald E&quot;,&quot;parse-names&quot;:false,&quot;dropping-particle&quot;:&quot;&quot;,&quot;non-dropping-particle&quot;:&quot;&quot;},{&quot;family&quot;:&quot;Blair&quot;,&quot;given&quot;:&quot;Peter D&quot;,&quot;parse-names&quot;:false,&quot;dropping-particle&quot;:&quot;&quot;,&quot;non-dropping-particle&quot;:&quot;&quot;}],&quot;ISBN&quot;:&quot;1139477595&quot;,&quot;issued&quot;:{&quot;date-parts&quot;:[[2009]]},&quot;publisher&quot;:&quot;Cambridge university press&quot;,&quot;container-title-short&quot;:&quot;&quot;},&quot;isTemporary&quot;:false}]},{&quot;citationID&quot;:&quot;MENDELEY_CITATION_5587323d-ce1d-4246-85be-ff824a51e763&quot;,&quot;properties&quot;:{&quot;noteIndex&quot;:0},&quot;isEdited&quot;:false,&quot;manualOverride&quot;:{&quot;isManuallyOverridden&quot;:true,&quot;citeprocText&quot;:&quot;(Boivent et al., 2025)&quot;,&quot;manualOverrideText&quot;:&quot;Boivent et al., 2025&quot;},&quot;citationTag&quot;:&quot;MENDELEY_CITATION_v3_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&quot;,&quot;citationItems&quot;:[{&quot;id&quot;:&quot;a4370a10-2f7f-3721-9450-ffaabab90ed8&quot;,&quot;itemData&quot;:{&quot;type&quot;:&quot;article-journal&quot;,&quot;id&quot;:&quot;a4370a10-2f7f-3721-9450-ffaabab90ed8&quot;,&quot;title&quot;:&quot;From regional human needs to dynamic product climate targets [Preprint]&quot;,&quot;author&quot;:[{&quot;family&quot;:&quot;Boivent&quot;,&quot;given&quot;:&quot;Solène&quot;,&quot;parse-names&quot;:false,&quot;dropping-particle&quot;:&quot;&quot;,&quot;non-dropping-particle&quot;:&quot;&quot;},{&quot;family&quot;:&quot;Serrano&quot;,&quot;given&quot;:&quot;Teddy&quot;,&quot;parse-names&quot;:false,&quot;dropping-particle&quot;:&quot;&quot;,&quot;non-dropping-particle&quot;:&quot;&quot;},{&quot;family&quot;:&quot;Bjørn&quot;,&quot;given&quot;:&quot;Anders&quot;,&quot;parse-names&quot;:false,&quot;dropping-particle&quot;:&quot;&quot;,&quot;non-dropping-particle&quot;:&quot;&quot;},{&quot;family&quot;:&quot;Hauschild&quot;,&quot;given&quot;:&quot;Michael&quot;,&quot;parse-names&quot;:false,&quot;dropping-particle&quot;:&quot;&quot;,&quot;non-dropping-particle&quot;:&quot;&quot;}],&quot;container-title&quot;:&quot;SSRN&quot;,&quot;container-title-short&quot;:&quot;SSRN&quot;,&quot;URL&quot;:&quot;https://ssrn.com/abstract=5840605&quot;,&quot;issued&quot;:{&quot;date-parts&quot;:[[2025]]}},&quot;isTemporary&quot;:false}]},{&quot;citationID&quot;:&quot;MENDELEY_CITATION_b513100d-f954-4822-ae40-0f1533a00824&quot;,&quot;properties&quot;:{&quot;noteIndex&quot;:0},&quot;isEdited&quot;:false,&quot;manualOverride&quot;:{&quot;isManuallyOverridden&quot;:true,&quot;citeprocText&quot;:&quot;(Thammaraksa et al., 2025)&quot;,&quot;manualOverrideText&quot;:&quot;Thammaraksa et al. (2025)&quot;},&quot;citationTag&quot;:&quot;MENDELEY_CITATION_v3_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&quot;,&quot;citationItems&quot;:[{&quot;id&quot;:&quot;06ef2396-19e4-3ef3-9119-9ea8b04aaa3e&quot;,&quot;itemData&quot;:{&quot;type&quot;:&quot;article-journal&quot;,&quot;id&quot;:&quot;06ef2396-19e4-3ef3-9119-9ea8b04aaa3e&quot;,&quot;title&quot;:&quot;What Is a Sustainable Company?&quot;,&quot;author&quot;:[{&quot;family&quot;:&quot;Thammaraksa&quot;,&quot;given&quot;:&quot;Chonlawan&quot;,&quot;parse-names&quot;:false,&quot;dropping-particle&quot;:&quot;&quot;,&quot;non-dropping-particle&quot;:&quot;&quot;},{&quot;family&quot;:&quot;Hauschild&quot;,&quot;given&quot;:&quot;Michael Zwicky&quot;,&quot;parse-names&quot;:false,&quot;dropping-particle&quot;:&quot;&quot;,&quot;non-dropping-particle&quot;:&quot;&quot;},{&quot;family&quot;:&quot;Pontoppidan&quot;,&quot;given&quot;:&quot;Caroline Aggestam&quot;,&quot;parse-names&quot;:false,&quot;dropping-particle&quot;:&quot;&quot;,&quot;non-dropping-particle&quot;:&quot;&quot;},{&quot;family&quot;:&quot;Laurent&quot;,&quot;given&quot;:&quot;Alexis&quot;,&quot;parse-names&quot;:false,&quot;dropping-particle&quot;:&quot;&quot;,&quot;non-dropping-particle&quot;:&quot;&quot;}],&quot;container-title&quot;:&quot;Business Strategy and the Environment&quot;,&quot;container-title-short&quot;:&quot;Bus. Strategy Environ.&quot;,&quot;DOI&quot;:&quot;10.1002/bse.4138&quot;,&quot;ISSN&quot;:&quot;10990836&quot;,&quot;issued&quot;:{&quot;date-parts&quot;:[[2025,3,1]]},&quot;page&quot;:&quot;3635-3655&quot;,&quot;abstract&quot;:&quot;Defining a sustainable company presents challenges due to evolving sustainability contexts, diverse theoretical perspectives, and conflicting definitions. This often results in overlooking broader, macrolevel sustainability constructs, leading to a fragmented understanding of what a sustainable company really is. To overcome these issues, this study synthesizes insights from multiple disciplines to form a holistic understanding of sustainability in business. A six-dimensional framework for defining corporate sustainability is proposed, categorized into fundamental and managerial dimensions. Five fundamental dimensions are used to characterize and outline a “sustainability continuum” in a business context with respect to sustainable development principles. A conceptual methodology is outlined to address sustainability management, defined as the sixth dimension. Using the proposed framework, company challenges to reach the sustainability goals are discussed. In particular, the developed “sustainability continuum” offers clarity to the concept of business sustainability, enabling companies to evaluate their compliance with sustainability criteria and comprehend their sustainability status.&quot;,&quot;publisher&quot;:&quot;John Wiley and Sons Ltd&quot;,&quot;issue&quot;:&quot;3&quot;,&quot;volume&quot;:&quot;34&quot;},&quot;isTemporary&quot;:false}]},{&quot;citationID&quot;:&quot;MENDELEY_CITATION_cab261d5-d151-4f3d-b90a-a05201217536&quot;,&quot;properties&quot;:{&quot;noteIndex&quot;:0},&quot;isEdited&quot;:false,&quot;manualOverride&quot;:{&quot;isManuallyOverridden&quot;:false,&quot;citeprocText&quot;:&quot;(OECD, 2023)&quot;,&quot;manualOverrideText&quot;:&quot;&quot;},&quot;citationTag&quot;:&quot;MENDELEY_CITATION_v3_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&quot;,&quot;citationItems&quot;:[{&quot;id&quot;:&quot;7b24a616-a472-36e5-ad4a-43907c393fea&quot;,&quot;itemData&quot;:{&quot;type&quot;:&quot;report&quot;,&quot;id&quot;:&quot;7b24a616-a472-36e5-ad4a-43907c393fea&quot;,&quot;title&quot;:&quot;OECD Guidelines for Multinational Enterprises on Responsible Business Conduct&quot;,&quot;author&quot;:[{&quot;family&quot;:&quot;OECD&quot;,&quot;given&quot;:&quot;&quot;,&quot;parse-names&quot;:false,&quot;dropping-particle&quot;:&quot;&quot;,&quot;non-dropping-particle&quot;:&quot;&quot;}],&quot;DOI&quot;:&quot;10.1787/81f92357-en&quot;,&quot;ISBN&quot;:&quot;9789264605985&quot;,&quot;URL&quot;:&quot;https://doi.org/10.1787/81f92357-en.&quot;,&quot;issued&quot;:{&quot;date-parts&quot;:[[2023,6,8]]},&quot;publisher-place&quot;:&quot;Paris&quot;,&quot;container-title-short&quot;:&quot;&quot;},&quot;isTemporary&quot;:false}]},{&quot;citationID&quot;:&quot;MENDELEY_CITATION_adad8c53-8a43-4977-ada4-d8c8670fc3d3&quot;,&quot;properties&quot;:{&quot;noteIndex&quot;:0},&quot;isEdited&quot;:false,&quot;manualOverride&quot;:{&quot;isManuallyOverridden&quot;:false,&quot;citeprocText&quot;:&quot;(European Council, 2026)&quot;,&quot;manualOverrideText&quot;:&quot;&quot;},&quot;citationTag&quot;:&quot;MENDELEY_CITATION_v3_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&quot;,&quot;citationItems&quot;:[{&quot;id&quot;:&quot;6caaabfe-68ac-3ee3-a006-b78c0bfb56ff&quot;,&quot;itemData&quot;:{&quot;type&quot;:&quot;webpage&quot;,&quot;id&quot;:&quot;6caaabfe-68ac-3ee3-a006-b78c0bfb56ff&quot;,&quot;title&quot;:&quot;Russia's war against Ukraine: EU sanctions&quot;,&quot;author&quot;:[{&quot;family&quot;:&quot;European Council&quot;,&quot;given&quot;:&quot;&quot;,&quot;parse-names&quot;:false,&quot;dropping-particle&quot;:&quot;&quot;,&quot;non-dropping-particle&quot;:&quot;&quot;}],&quot;accessed&quot;:{&quot;date-parts&quot;:[[2026,4,27]]},&quot;URL&quot;:&quot;https://www.consilium.europa.eu/en/policies/sanctions-against-russia/&quot;,&quot;issued&quot;:{&quot;date-parts&quot;:[[2026,4,23]]},&quot;container-title-short&quot;:&quot;&quot;},&quot;isTemporary&quot;:false}]},{&quot;citationID&quot;:&quot;MENDELEY_CITATION_7e1f427d-c1b4-456e-a88d-debe9ec9e089&quot;,&quot;properties&quot;:{&quot;noteIndex&quot;:0},&quot;isEdited&quot;:false,&quot;manualOverride&quot;:{&quot;isManuallyOverridden&quot;:false,&quot;citeprocText&quot;:&quot;(UN, 2013)&quot;,&quot;manualOverrideText&quot;:&quot;&quot;},&quot;citationTag&quot;:&quot;MENDELEY_CITATION_v3_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&quot;,&quot;citationItems&quot;:[{&quot;id&quot;:&quot;3d188a4f-5768-39a5-a7be-a2f81545da66&quot;,&quot;itemData&quot;:{&quot;type&quot;:&quot;article&quot;,&quot;id&quot;:&quot;3d188a4f-5768-39a5-a7be-a2f81545da66&quot;,&quot;title&quot;:&quot;The Arms Trade Treaty&quot;,&quot;author&quot;:[{&quot;family&quot;:&quot;UN&quot;,&quot;given&quot;:&quot;&quot;,&quot;parse-names&quot;:false,&quot;dropping-particle&quot;:&quot;&quot;,&quot;non-dropping-particle&quot;:&quot;&quot;}],&quot;issued&quot;:{&quot;date-parts&quot;:[[2013,6,3]]},&quot;publisher-place&quot;:&quot;New York City&quot;,&quot;container-title-short&quot;:&quot;&quot;},&quot;isTemporary&quot;:false}]},{&quot;citationID&quot;:&quot;MENDELEY_CITATION_eb0507ba-e57e-41ae-8d29-81dfd4a2e999&quot;,&quot;properties&quot;:{&quot;noteIndex&quot;:0},&quot;isEdited&quot;:false,&quot;manualOverride&quot;:{&quot;isManuallyOverridden&quot;:false,&quot;citeprocText&quot;:&quot;(Reynolds, 2024)&quot;,&quot;manualOverrideText&quot;:&quot;&quot;},&quot;citationTag&quot;:&quot;MENDELEY_CITATION_v3_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&quot;,&quot;citationItems&quot;:[{&quot;id&quot;:&quot;ab172729-1d5e-31f7-97ba-3f5fb1f6ef5d&quot;,&quot;itemData&quot;:{&quot;type&quot;:&quot;article&quot;,&quot;id&quot;:&quot;ab172729-1d5e-31f7-97ba-3f5fb1f6ef5d&quot;,&quot;title&quot;:&quot;Unpacking the Challenges of Supply Chain Transparency and Traceability: Perspectives from Industry Practitioners&quot;,&quot;author&quot;:[{&quot;family&quot;:&quot;Reynolds&quot;,&quot;given&quot;:&quot;Samantha&quot;,&quot;parse-names&quot;:false,&quot;dropping-particle&quot;:&quot;&quot;,&quot;non-dropping-particle&quot;:&quot;&quot;}],&quot;DOI&quot;:&quot;10.20944/preprints202406.0644.v1&quot;,&quot;URL&quot;:&quot;https://www.preprints.org/manuscript/202406.0644/v1&quot;,&quot;issued&quot;:{&quot;date-parts&quot;:[[2024,6,11]]},&quot;abstract&quot;:&quot;&lt;p&gt;Supply chain transparency and traceability have become increasingly important in today's globalized and interconnected business environment. This qualitative research explores the challenges and perspectives of industry practitioners regarding supply chain transparency and traceability. Drawing on semi-structured interviews with a diverse group of supply chain professionals, the study identifies key themes including difficulties in achieving visibility beyond immediate suppliers, data fragmentation and inconsistency, barriers to technology adoption, regulatory compliance, cultural and organizational factors, impacts on supplier relationships, and the influence of the COVID-19 pandemic and sustainability goals. The findings highlight the complex nature of these challenges and the need for collaborative, multi-stakeholder approaches to address them effectively. Despite the challenges, the study also reveals the potential benefits of transparency and traceability for enhancing supply chain resilience, sustainability, and stakeholder trust. Moving forward, companies must leverage technological innovations, establish clear communication channels with suppliers, navigate regulatory complexities, and foster a culture of transparency and accountability within their organizations. Future research should focus on practical strategies for implementing transparency and traceability initiatives, as well as evaluating their impact on supply chain performance and sustainability outcomes.&lt;/p&gt;&quot;,&quot;container-title-short&quot;:&quot;&quot;},&quot;isTemporary&quot;:false}]},{&quot;citationID&quot;:&quot;MENDELEY_CITATION_9593e4ce-c8ad-4bda-8f79-1a39c08c5331&quot;,&quot;properties&quot;:{&quot;noteIndex&quot;:0},&quot;isEdited&quot;:false,&quot;manualOverride&quot;:{&quot;isManuallyOverridden&quot;:false,&quot;citeprocText&quot;:&quot;(European Union, 2024; Zhang &amp;#38; Seuring, 2024)&quot;,&quot;manualOverrideText&quot;:&quot;&quot;},&quot;citationTag&quot;:&quot;MENDELEY_CITATION_v3_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&quot;,&quot;citationItems&quot;:[{&quot;id&quot;:&quot;9c550bf2-4cdc-3f6c-b406-8579334aa057&quot;,&quot;itemData&quot;:{&quot;type&quot;:&quot;article-journal&quot;,&quot;id&quot;:&quot;9c550bf2-4cdc-3f6c-b406-8579334aa057&quot;,&quot;title&quot;:&quot;Digital product passport for sustainable and circular supply chain management: a structured review of use cases&quot;,&quot;author&quot;:[{&quot;family&quot;:&quot;Zhang&quot;,&quot;given&quot;:&quot;Abraham&quot;,&quot;parse-names&quot;:false,&quot;dropping-particle&quot;:&quot;&quot;,&quot;non-dropping-particle&quot;:&quot;&quot;},{&quot;family&quot;:&quot;Seuring&quot;,&quot;given&quot;:&quot;Stefan&quot;,&quot;parse-names&quot;:false,&quot;dropping-particle&quot;:&quot;&quot;,&quot;non-dropping-particle&quot;:&quot;&quot;}],&quot;container-title&quot;:&quot;International Journal of Logistics Research and Applications&quot;,&quot;DOI&quot;:&quot;10.1080/13675567.2024.2374256&quot;,&quot;ISSN&quot;:&quot;1469848X&quot;,&quot;issued&quot;:{&quot;date-parts&quot;:[[2024]]},&quot;page&quot;:&quot;2513-2540&quot;,&quot;abstract&quot;:&quot;Digital product passport (DPP) is a key regulatory element of the latest European Union’s Circular Economy Action Plan. By enhancing product traceability and supply chain transparency, its upcoming mandatory implementation aspires to improve resource circularity, cut emissions, and strengthen supply chain governance. However, the extant literature lacks a comprehensive understanding of DPP use cases in the supply chain and how they enable sustainable and circular supply chain management (SCM). To address this knowledge gap, this study first provides an overview of the current state of DPP in policy and practice. Based on a structured review of 82 DPP supply chain use cases in academic literature, we synthesise the functional areas that DPP can add value to improving supply chain sustainability and circularity. Informed by the review findings, we first discuss theoretical and practical implications of DPP-enabled sustainable and circular SCM, and then prioritise research needs in the emerging research domain.&quot;,&quot;publisher&quot;:&quot;Taylor and Francis Ltd.&quot;,&quot;issue&quot;:&quot;12&quot;,&quot;volume&quot;:&quot;27&quot;,&quot;container-title-short&quot;:&quot;&quot;},&quot;isTemporary&quot;:false},{&quot;id&quot;:&quot;7d2b2bba-1668-3217-adbd-66f7da866d7c&quot;,&quot;itemData&quot;:{&quot;type&quot;:&quot;webpage&quot;,&quot;id&quot;:&quot;7d2b2bba-1668-3217-adbd-66f7da866d7c&quot;,&quot;title&quot;:&quot;EU's Digital Product Passport: Advancing transparency and sustainability | data.europa.eu&quot;,&quot;author&quot;:[{&quot;family&quot;:&quot;European Union&quot;,&quot;given&quot;:&quot;&quot;,&quot;parse-names&quot;:false,&quot;dropping-particle&quot;:&quot;&quot;,&quot;non-dropping-particle&quot;:&quot;&quot;}],&quot;accessed&quot;:{&quot;date-parts&quot;:[[2026,2,6]]},&quot;URL&quot;:&quot;https://data.europa.eu/en/news-events/news/eus-digital-product-passport-advancing-transparency-and-sustainability&quot;,&quot;issued&quot;:{&quot;date-parts&quot;:[[2024,9,27]]},&quot;container-title-short&quot;:&quot;&quot;},&quot;isTemporary&quot;:false}]},{&quot;citationID&quot;:&quot;MENDELEY_CITATION_876fbc04-c009-4e13-8b17-bd02835a53f9&quot;,&quot;properties&quot;:{&quot;noteIndex&quot;:0},&quot;isEdited&quot;:false,&quot;manualOverride&quot;:{&quot;isManuallyOverridden&quot;:true,&quot;citeprocText&quot;:&quot;(Katafuchi et al., 2025)&quot;,&quot;manualOverrideText&quot;:&quot;(e.g., Katafuchi et al., 2025)&quot;},&quot;citationTag&quot;:&quot;MENDELEY_CITATION_v3_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&quot;,&quot;citationItems&quot;:[{&quot;id&quot;:&quot;95117126-9812-38d9-bdde-15d3dcc1f91f&quot;,&quot;itemData&quot;:{&quot;type&quot;:&quot;article-journal&quot;,&quot;id&quot;:&quot;95117126-9812-38d9-bdde-15d3dcc1f91f&quot;,&quot;title&quot;:&quot;Construction of an enterprise-level global supply chain database&quot;,&quot;author&quot;:[{&quot;family&quot;:&quot;Katafuchi&quot;,&quot;given&quot;:&quot;Yuya&quot;,&quot;parse-names&quot;:false,&quot;dropping-particle&quot;:&quot;&quot;,&quot;non-dropping-particle&quot;:&quot;&quot;},{&quot;family&quot;:&quot;Li&quot;,&quot;given&quot;:&quot;Xinmeng&quot;,&quot;parse-names&quot;:false,&quot;dropping-particle&quot;:&quot;&quot;,&quot;non-dropping-particle&quot;:&quot;&quot;},{&quot;family&quot;:&quot;Moran&quot;,&quot;given&quot;:&quot;Daniel&quot;,&quot;parse-names&quot;:false,&quot;dropping-particle&quot;:&quot;&quot;,&quot;non-dropping-particle&quot;:&quot;&quot;},{&quot;family&quot;:&quot;Yamada&quot;,&quot;given&quot;:&quot;Taiki&quot;,&quot;parse-names&quot;:false,&quot;dropping-particle&quot;:&quot;&quot;,&quot;non-dropping-particle&quot;:&quot;&quot;},{&quot;family&quot;:&quot;Fujii&quot;,&quot;given&quot;:&quot;Hidemichi&quot;,&quot;parse-names&quot;:false,&quot;dropping-particle&quot;:&quot;&quot;,&quot;non-dropping-particle&quot;:&quot;&quot;},{&quot;family&quot;:&quot;Kanemoto&quot;,&quot;given&quot;:&quot;Keiichiro&quot;,&quot;parse-names&quot;:false,&quot;dropping-particle&quot;:&quot;&quot;,&quot;non-dropping-particle&quot;:&quot;&quot;}],&quot;container-title&quot;:&quot;Nature Communications &quot;,&quot;DOI&quot;:&quot;10.1038/s41467-025-66083-2&quot;,&quot;ISSN&quot;:&quot;20411723&quot;,&quot;PMID&quot;:&quot;41402254&quot;,&quot;issued&quot;:{&quot;date-parts&quot;:[[2025,12,1]]},&quot;abstract&quot;:&quot;Data tracing global supply chains, commonly captured in input–output models, is a foundational resource across economic, regulatory, investment, defense, and environmental applications. Such models provide insight into interdependency and environmental burden-shifting, forming part of the empirical basis for policies such as Scope 3 embodied emissions targets, supply chain transparency, life cycle assessments, and product declarations. Current approaches, based on national statistics, remain constrained by sector-level resolution, limiting their precision and utility in certain applications. Here, we document the construction of an enterprise-level multi-regional input–output (EMRIO) table. This database merges official national input–output tables with publicly available firm-level production and transaction data, creating a globally consistent account of purchases and sales across 9,466 companies, 86,305 subsegments, and 121 countries. The finer resolution allows supply chain transactions to be represented in greater detail, providing an additional resource for analyses and policy tools requiring more disaggregated supply chain information.&quot;,&quot;publisher&quot;:&quot;Nature Research&quot;,&quot;issue&quot;:&quot;1&quot;,&quot;volume&quot;:&quot;16&quot;,&quot;container-title-short&quot;:&quot;&quot;},&quot;isTemporary&quot;:false}]},{&quot;citationID&quot;:&quot;MENDELEY_CITATION_7e75684b-bf45-495e-b871-f66b0c12d9e5&quot;,&quot;properties&quot;:{&quot;noteIndex&quot;:0},&quot;isEdited&quot;:false,&quot;manualOverride&quot;:{&quot;isManuallyOverridden&quot;:false,&quot;citeprocText&quot;:&quot;(Bjørn et al., 2021; Robiou du Pont et al., 2024)&quot;,&quot;manualOverrideText&quot;:&quot;&quot;},&quot;citationTag&quot;:&quot;MENDELEY_CITATION_v3_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&quot;,&quot;citationItems&quot;:[{&quot;id&quot;:&quot;74b1c656-e7b4-3f9b-9fa2-563933ea7dc6&quot;,&quot;itemData&quot;:{&quot;type&quot;:&quot;article-journal&quot;,&quot;id&quot;:&quot;74b1c656-e7b4-3f9b-9fa2-563933ea7dc6&quot;,&quot;title&quot;:&quot;Corporate emissions targets and the neglect of future innovators&quot;,&quot;author&quot;:[{&quot;family&quot;:&quot;Robiou du Pont&quot;,&quot;given&quot;:&quot;Yann&quot;,&quot;parse-names&quot;:false,&quot;dropping-particle&quot;:&quot;&quot;,&quot;non-dropping-particle&quot;:&quot;&quot;},{&quot;family&quot;:&quot;Rogelj&quot;,&quot;given&quot;:&quot;Joeri&quot;,&quot;parse-names&quot;:false,&quot;dropping-particle&quot;:&quot;&quot;,&quot;non-dropping-particle&quot;:&quot;&quot;},{&quot;family&quot;:&quot;Hsu&quot;,&quot;given&quot;:&quot;Angel&quot;,&quot;parse-names&quot;:false,&quot;dropping-particle&quot;:&quot;&quot;,&quot;non-dropping-particle&quot;:&quot;&quot;},{&quot;family&quot;:&quot;Vuuren&quot;,&quot;given&quot;:&quot;Detlef&quot;,&quot;parse-names&quot;:false,&quot;dropping-particle&quot;:&quot;&quot;,&quot;non-dropping-particle&quot;:&quot;van&quot;},{&quot;family&quot;:&quot;Hoepner&quot;,&quot;given&quot;:&quot;Andreas G.F.&quot;,&quot;parse-names&quot;:false,&quot;dropping-particle&quot;:&quot;&quot;,&quot;non-dropping-particle&quot;:&quot;&quot;}],&quot;container-title&quot;:&quot;Science&quot;,&quot;container-title-short&quot;:&quot;Science (1979).&quot;,&quot;DOI&quot;:&quot;10.1126/science.adl5081&quot;,&quot;ISSN&quot;:&quot;10959203&quot;,&quot;PMID&quot;:&quot;38662813&quot;,&quot;issued&quot;:{&quot;date-parts&quot;:[[2024,4,26]]},&quot;page&quot;:&quot;388-390&quot;,&quot;abstract&quot;:&quot;Widely recognized as key partners for achieving international climate goals (1, 2), businesses like to indicate that their targets and activities are “Paris-aligned.” In response, research and initiatives have emerged to guide and assess whether companies’ targets represent an adequate mitigation effort to achieve the Paris Agreement. Here, we highlight conceptual limitations of effort-sharing approaches applied to companies and argue that the fundamental assumption of using emission-reduction targets as the central and often sole metric for setting or benchmarking individual corporations’ climate action ambition is simply insufficient because future innovators are neglected. Although emissions targets can help curb emissions, we detail the risks of relying on individual corporation’s emissions targets to guide and track progress in aligning the economy with the Paris Agreement goals. Last, we clarify the distinct roles of companies as agents of innovation and of market regulators and supervisors as either definers or enforcers of market-wide objectives for sustainability.&quot;,&quot;publisher&quot;:&quot;American Association for the Advancement of Science&quot;,&quot;issue&quot;:&quot;6694&quot;,&quot;volume&quot;:&quot;384&quot;},&quot;isTemporary&quot;:false},{&quot;id&quot;:&quot;fc32f8de-7cb2-3457-a0eb-b335bd3cae98&quot;,&quot;itemData&quot;:{&quot;type&quot;:&quot;article-journal&quot;,&quot;id&quot;:&quot;fc32f8de-7cb2-3457-a0eb-b335bd3cae98&quot;,&quot;title&quot;:&quot;From the Paris Agreement to corporate climate commitments: evaluation of seven methods for setting 'science-based' emission targets&quot;,&quot;author&quot;:[{&quot;family&quot;:&quot;Bjørn&quot;,&quot;given&quot;:&quot;Anders&quot;,&quot;parse-names&quot;:false,&quot;dropping-particle&quot;:&quot;&quot;,&quot;non-dropping-particle&quot;:&quot;&quot;},{&quot;family&quot;:&quot;Lloyd&quot;,&quot;given&quot;:&quot;Shannon&quot;,&quot;parse-names&quot;:false,&quot;dropping-particle&quot;:&quot;&quot;,&quot;non-dropping-particle&quot;:&quot;&quot;},{&quot;family&quot;:&quot;Matthews&quot;,&quot;given&quot;:&quot;Damon&quot;,&quot;parse-names&quot;:false,&quot;dropping-particle&quot;:&quot;&quot;,&quot;non-dropping-particle&quot;:&quot;&quot;}],&quot;container-title&quot;:&quot;Environmental Research Letters&quot;,&quot;DOI&quot;:&quot;10.1088/1748-9326/abe57b&quot;,&quot;ISSN&quot;:&quot;17489326&quot;,&quot;issued&quot;:{&quot;date-parts&quot;:[[2021,5,1]]},&quot;abstract&quot;:&quot;While large companies routinely announce greenhouse gas emissions targets, few have derived targets based on global climate goals. This changed in 2015 with the creation of the science based targets (SBTs) initiative, which provides guidelines for setting emission targets in line with the temperature goal of the Paris Agreement. SBTs have now been set by more than 500 companies. Methods for setting such targets are not presented in a comparable way in target-setting guidelines and concerns that certain methods may lead to overshoot of the temperature goal have not been investigated. Here, we systematically characterize and compare all seven broadly applicable target-setting methods and quantify the balance between collective corporate SBTs and global allowable emissions for individual methods and different method mixes. We use a simplified global production scenario composed of eight archetypical companies to evaluate target-setting methods across a range of company characteristics and global emission scenarios. The methods vary greatly with respect to emission allocation principles, required company variables and embedded global emission scenarios. Some methods treat companies largely the same, while others differentiate between company types based on geography, economic sector, projected growth rate or baseline emission intensity. The application of individual target-setting methods as well as different mixes of methods tend to result in an imbalance between time-integrated aggregated SBTs and global allowable emissions. The sign and size of this imbalance is in some cases sensitive to the shape of the global emission pathway and the distribution of variables between the company archetypes. We recommend that the SBT initiative (a) use our SBT method characterisation to present methods in a systematic way, (b) consider our emission imbalance analysis in its method recommendations, (c) disclose underlying reasons for its method recommendations, and (d) require transparency from companies on the calculation of established SBTs.&quot;,&quot;publisher&quot;:&quot;IOP Publishing Ltd&quot;,&quot;issue&quot;:&quot;5&quot;,&quot;volume&quot;:&quot;16&quot;,&quot;container-title-short&quot;:&quot;&quot;},&quot;isTemporary&quot;:false}]},{&quot;citationID&quot;:&quot;MENDELEY_CITATION_e7ee4d5f-49f7-4ae7-baf4-e45fea8788c7&quot;,&quot;properties&quot;:{&quot;noteIndex&quot;:0},&quot;isEdited&quot;:false,&quot;manualOverride&quot;:{&quot;isManuallyOverridden&quot;:false,&quot;citeprocText&quot;:&quot;(Boivent et al., 2025)&quot;,&quot;manualOverrideText&quot;:&quot;&quot;},&quot;citationTag&quot;:&quot;MENDELEY_CITATION_v3_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&quot;,&quot;citationItems&quot;:[{&quot;id&quot;:&quot;a4370a10-2f7f-3721-9450-ffaabab90ed8&quot;,&quot;itemData&quot;:{&quot;type&quot;:&quot;article-journal&quot;,&quot;id&quot;:&quot;a4370a10-2f7f-3721-9450-ffaabab90ed8&quot;,&quot;title&quot;:&quot;From regional human needs to dynamic product climate targets [Preprint]&quot;,&quot;author&quot;:[{&quot;family&quot;:&quot;Boivent&quot;,&quot;given&quot;:&quot;Solène&quot;,&quot;parse-names&quot;:false,&quot;dropping-particle&quot;:&quot;&quot;,&quot;non-dropping-particle&quot;:&quot;&quot;},{&quot;family&quot;:&quot;Serrano&quot;,&quot;given&quot;:&quot;Teddy&quot;,&quot;parse-names&quot;:false,&quot;dropping-particle&quot;:&quot;&quot;,&quot;non-dropping-particle&quot;:&quot;&quot;},{&quot;family&quot;:&quot;Bjørn&quot;,&quot;given&quot;:&quot;Anders&quot;,&quot;parse-names&quot;:false,&quot;dropping-particle&quot;:&quot;&quot;,&quot;non-dropping-particle&quot;:&quot;&quot;},{&quot;family&quot;:&quot;Hauschild&quot;,&quot;given&quot;:&quot;Michael&quot;,&quot;parse-names&quot;:false,&quot;dropping-particle&quot;:&quot;&quot;,&quot;non-dropping-particle&quot;:&quot;&quot;}],&quot;container-title&quot;:&quot;SSRN&quot;,&quot;container-title-short&quot;:&quot;SSRN&quot;,&quot;URL&quot;:&quot;https://ssrn.com/abstract=5840605&quot;,&quot;issued&quot;:{&quot;date-parts&quot;:[[2025]]}},&quot;isTemporary&quot;:false}]},{&quot;citationID&quot;:&quot;MENDELEY_CITATION_940552e1-453b-447a-a03b-3991d5e24c48&quot;,&quot;properties&quot;:{&quot;noteIndex&quot;:0},&quot;isEdited&quot;:false,&quot;manualOverride&quot;:{&quot;isManuallyOverridden&quot;:true,&quot;citeprocText&quot;:&quot;(Rodrigues et al., 2021)&quot;,&quot;manualOverrideText&quot;:&quot;Rodrigues et al. (2021)&quot;},&quot;citationTag&quot;:&quot;MENDELEY_CITATION_v3_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&quot;,&quot;citationItems&quot;:[{&quot;id&quot;:&quot;f2261343-7407-333d-ab1d-e403329eb828&quot;,&quot;itemData&quot;:{&quot;type&quot;:&quot;article-journal&quot;,&quot;id&quot;:&quot;f2261343-7407-333d-ab1d-e403329eb828&quot;,&quot;title&quot;:&quot;Application of the absolute environmental sustainability assessment framework to multifunctional systems – The case of municipal solid waste management&quot;,&quot;author&quot;:[{&quot;family&quot;:&quot;Rodrigues&quot;,&quot;given&quot;:&quot;Jérémy&quot;,&quot;parse-names&quot;:false,&quot;dropping-particle&quot;:&quot;&quot;,&quot;non-dropping-particle&quot;:&quot;&quot;},{&quot;family&quot;:&quot;Gondran&quot;,&quot;given&quot;:&quot;Natacha&quot;,&quot;parse-names&quot;:false,&quot;dropping-particle&quot;:&quot;&quot;,&quot;non-dropping-particle&quot;:&quot;&quot;},{&quot;family&quot;:&quot;Beziat&quot;,&quot;given&quot;:&quot;Adrien&quot;,&quot;parse-names&quot;:false,&quot;dropping-particle&quot;:&quot;&quot;,&quot;non-dropping-particle&quot;:&quot;&quot;},{&quot;family&quot;:&quot;Laforest&quot;,&quot;given&quot;:&quot;Valérie&quot;,&quot;parse-names&quot;:false,&quot;dropping-particle&quot;:&quot;&quot;,&quot;non-dropping-particle&quot;:&quot;&quot;}],&quot;container-title&quot;:&quot;Journal of Cleaner Production&quot;,&quot;container-title-short&quot;:&quot;J. Clean. Prod.&quot;,&quot;DOI&quot;:&quot;10.1016/j.jclepro.2021.129034&quot;,&quot;ISSN&quot;:&quot;09596526&quot;,&quot;issued&quot;:{&quot;date-parts&quot;:[[2021,11,1]]},&quot;abstract&quot;:&quot;The Absolute Environmental Sustainability Assessment (AESA) framework is an emerging field in environmental research that aims at comparing the estimated environmental burden generated by a system on its life cycle to the carrying capacity that can be assigned to this system, i.e. the amount of impacts that it can cause without causing unacceptable impairment of ecosystem functional integrity. This paper aims to expand the AESA framework to multifunctional systems. We applied it to a simplified case study based on municipal solid waste (MSW) management, since such a system provides several functions such as reduction of the quantity and toxicity of waste, production of heat, electricity or secondary materials. Thus, we could identify the specific questions that arise from this multifunctionality in the context of AESA. Based on the theory of AESA, we developed a four-steps methodology to identify the most significant impacts at both system and global scales. That methodology consisted of (step 1) quantifying the impacts of the studied system with conventional Life Cycle Assessment (LCA) followed by a normalisation step; (step 2) quantifying the number of beneficiaries from this system; (step 3) identifying impact categories for which the studied system causes significant impacts and global carrying capacities are exceeded; and (step 4) quantifying the Assigned Carrying Capacity (ACC) of the system, based on a utilitarian perspective and its contribution to the satisfaction of human needs. We then applied this methodology to a simplified model of the MSW management implemented in the Lyon Metropolitan Area (France), as a proof of concept. Steps 1 to 3 helped elaborate a hierarchy of impact categories, highlighting which ones should be reduced in priority. Step 4 required significant knowledge about how the functions of the studied system were used, both directly and indirectly, to satisfy human needs. We used national Supply and Use Tables and several simplifying hypotheses to that end. We also tested different sharing principles based on macroeconomic indicators. This variety of sharing principles helped refine the hierarchy developed in Step 3 by identifying which carrying capacities were most certainly exceeded by the studied system.&quot;,&quot;publisher&quot;:&quot;Elsevier Ltd&quot;,&quot;volume&quot;:&quot;322&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F456B770C35E74EA93F5EDF9A7EF489" ma:contentTypeVersion="11" ma:contentTypeDescription="Opret et nyt dokument." ma:contentTypeScope="" ma:versionID="378d355fb8efcbbc209ec2444fc48b3c">
  <xsd:schema xmlns:xsd="http://www.w3.org/2001/XMLSchema" xmlns:xs="http://www.w3.org/2001/XMLSchema" xmlns:p="http://schemas.microsoft.com/office/2006/metadata/properties" xmlns:ns2="4b6fb32b-0c70-4591-ab8a-92e37426a004" xmlns:ns3="715bde23-c48d-41ea-a697-dffaa8fbae8d" targetNamespace="http://schemas.microsoft.com/office/2006/metadata/properties" ma:root="true" ma:fieldsID="3d26d26cbc584bac212f3d5a1059eaf4" ns2:_="" ns3:_="">
    <xsd:import namespace="4b6fb32b-0c70-4591-ab8a-92e37426a004"/>
    <xsd:import namespace="715bde23-c48d-41ea-a697-dffaa8fbae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fb32b-0c70-4591-ab8a-92e37426a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b2102423-6c9a-45d0-aa71-0069027da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5bde23-c48d-41ea-a697-dffaa8fbae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9dbc45-7d3d-40fd-a857-820cc377e134}" ma:internalName="TaxCatchAll" ma:showField="CatchAllData" ma:web="715bde23-c48d-41ea-a697-dffaa8fbae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15bde23-c48d-41ea-a697-dffaa8fbae8d" xsi:nil="true"/>
    <lcf76f155ced4ddcb4097134ff3c332f xmlns="4b6fb32b-0c70-4591-ab8a-92e37426a0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6B100E-2505-42B9-A3AB-098506A415E5}">
  <ds:schemaRefs>
    <ds:schemaRef ds:uri="http://schemas.openxmlformats.org/officeDocument/2006/bibliography"/>
  </ds:schemaRefs>
</ds:datastoreItem>
</file>

<file path=customXml/itemProps2.xml><?xml version="1.0" encoding="utf-8"?>
<ds:datastoreItem xmlns:ds="http://schemas.openxmlformats.org/officeDocument/2006/customXml" ds:itemID="{A2D39E91-FBED-4E3B-A7C8-994B87749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6fb32b-0c70-4591-ab8a-92e37426a004"/>
    <ds:schemaRef ds:uri="715bde23-c48d-41ea-a697-dffaa8fba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6720DB-5751-4464-A85C-FA02081367AB}">
  <ds:schemaRefs>
    <ds:schemaRef ds:uri="http://schemas.microsoft.com/sharepoint/v3/contenttype/forms"/>
  </ds:schemaRefs>
</ds:datastoreItem>
</file>

<file path=customXml/itemProps4.xml><?xml version="1.0" encoding="utf-8"?>
<ds:datastoreItem xmlns:ds="http://schemas.openxmlformats.org/officeDocument/2006/customXml" ds:itemID="{14103CB0-823B-4A09-AA01-996BE752ADFC}">
  <ds:schemaRefs>
    <ds:schemaRef ds:uri="http://schemas.microsoft.com/office/2006/metadata/properties"/>
    <ds:schemaRef ds:uri="http://schemas.microsoft.com/office/infopath/2007/PartnerControls"/>
    <ds:schemaRef ds:uri="715bde23-c48d-41ea-a697-dffaa8fbae8d"/>
    <ds:schemaRef ds:uri="4b6fb32b-0c70-4591-ab8a-92e37426a004"/>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383</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Camilla Bitsch</dc:creator>
  <cp:lastModifiedBy>Teddy Serrano</cp:lastModifiedBy>
  <cp:revision>62</cp:revision>
  <cp:lastPrinted>2018-10-03T13:00:00Z</cp:lastPrinted>
  <dcterms:created xsi:type="dcterms:W3CDTF">2026-05-22T07:20:00Z</dcterms:created>
  <dcterms:modified xsi:type="dcterms:W3CDTF">2026-05-26T12:26:00Z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abe92c56-9d8a-432e-a8f0-ed50e6606cfa</vt:lpwstr>
  </property>
  <property fmtid="{D5CDD505-2E9C-101B-9397-08002B2CF9AE}" pid="3" name="ContentTypeId">
    <vt:lpwstr>0x010100DF456B770C35E74EA93F5EDF9A7EF489</vt:lpwstr>
  </property>
</Properties>
</file>