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29E1C" w14:textId="77777777" w:rsidR="001E6012" w:rsidRPr="00CB7314" w:rsidRDefault="001E6012" w:rsidP="001E6012">
      <w:pPr>
        <w:spacing w:line="480" w:lineRule="auto"/>
      </w:pPr>
      <w:r w:rsidRPr="00CB7314">
        <w:t xml:space="preserve">Supplementary Table 1. </w:t>
      </w:r>
      <w:r>
        <w:t>M</w:t>
      </w:r>
      <w:r w:rsidRPr="00CB7314">
        <w:t>edian (</w:t>
      </w:r>
      <w:r>
        <w:t>Q1-Q3)</w:t>
      </w:r>
      <w:r w:rsidRPr="00CB7314">
        <w:t xml:space="preserve"> of Inter-bout duration statistics for women and men with Low (0-6p), Moderate (7-9p), and High (10-12p) SPPB scores. </w:t>
      </w:r>
    </w:p>
    <w:tbl>
      <w:tblPr>
        <w:tblStyle w:val="TableGrid"/>
        <w:tblW w:w="9152" w:type="dxa"/>
        <w:tblLayout w:type="fixed"/>
        <w:tblLook w:val="04A0" w:firstRow="1" w:lastRow="0" w:firstColumn="1" w:lastColumn="0" w:noHBand="0" w:noVBand="1"/>
      </w:tblPr>
      <w:tblGrid>
        <w:gridCol w:w="1668"/>
        <w:gridCol w:w="1247"/>
        <w:gridCol w:w="1247"/>
        <w:gridCol w:w="1248"/>
        <w:gridCol w:w="1247"/>
        <w:gridCol w:w="1247"/>
        <w:gridCol w:w="1248"/>
      </w:tblGrid>
      <w:tr w:rsidR="001E6012" w:rsidRPr="00553827" w14:paraId="5FC62EE9" w14:textId="77777777" w:rsidTr="0048356C">
        <w:tc>
          <w:tcPr>
            <w:tcW w:w="1668" w:type="dxa"/>
            <w:vMerge w:val="restart"/>
            <w:vAlign w:val="bottom"/>
          </w:tcPr>
          <w:p w14:paraId="0B087E4D" w14:textId="77777777" w:rsidR="001E6012" w:rsidRPr="00553827" w:rsidRDefault="001E6012" w:rsidP="00884F08">
            <w:pPr>
              <w:spacing w:line="480" w:lineRule="auto"/>
              <w:rPr>
                <w:b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3742" w:type="dxa"/>
            <w:gridSpan w:val="3"/>
          </w:tcPr>
          <w:p w14:paraId="5FE2198D" w14:textId="77777777" w:rsidR="001E6012" w:rsidRPr="00553827" w:rsidRDefault="001E6012" w:rsidP="00884F08">
            <w:pPr>
              <w:spacing w:line="48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553827">
              <w:rPr>
                <w:b/>
                <w:sz w:val="22"/>
                <w:szCs w:val="22"/>
                <w:lang w:val="en-GB"/>
              </w:rPr>
              <w:t>Women (n=691)</w:t>
            </w:r>
          </w:p>
        </w:tc>
        <w:tc>
          <w:tcPr>
            <w:tcW w:w="3742" w:type="dxa"/>
            <w:gridSpan w:val="3"/>
          </w:tcPr>
          <w:p w14:paraId="7FFB1E4B" w14:textId="77777777" w:rsidR="001E6012" w:rsidRPr="00553827" w:rsidRDefault="001E6012" w:rsidP="00884F08">
            <w:pPr>
              <w:spacing w:line="48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553827">
              <w:rPr>
                <w:b/>
                <w:sz w:val="22"/>
                <w:szCs w:val="22"/>
                <w:lang w:val="en-GB"/>
              </w:rPr>
              <w:t>Men (n=575)</w:t>
            </w:r>
          </w:p>
        </w:tc>
      </w:tr>
      <w:tr w:rsidR="001E6012" w:rsidRPr="00553827" w14:paraId="1556D8B6" w14:textId="77777777" w:rsidTr="0048356C">
        <w:trPr>
          <w:trHeight w:val="397"/>
        </w:trPr>
        <w:tc>
          <w:tcPr>
            <w:tcW w:w="1668" w:type="dxa"/>
            <w:vMerge/>
          </w:tcPr>
          <w:p w14:paraId="510290A9" w14:textId="77777777" w:rsidR="001E6012" w:rsidRPr="00553827" w:rsidRDefault="001E6012" w:rsidP="00884F08">
            <w:pPr>
              <w:spacing w:line="480" w:lineRule="auto"/>
              <w:rPr>
                <w:b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1247" w:type="dxa"/>
            <w:vAlign w:val="center"/>
          </w:tcPr>
          <w:p w14:paraId="6A749270" w14:textId="77777777" w:rsidR="001E6012" w:rsidRPr="00553827" w:rsidRDefault="001E6012" w:rsidP="00884F08">
            <w:pPr>
              <w:spacing w:line="48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553827">
              <w:rPr>
                <w:b/>
                <w:bCs/>
                <w:sz w:val="22"/>
                <w:szCs w:val="22"/>
                <w:lang w:val="en-GB"/>
              </w:rPr>
              <w:t>Low</w:t>
            </w:r>
          </w:p>
        </w:tc>
        <w:tc>
          <w:tcPr>
            <w:tcW w:w="1247" w:type="dxa"/>
            <w:vAlign w:val="center"/>
          </w:tcPr>
          <w:p w14:paraId="1522B3DF" w14:textId="77777777" w:rsidR="001E6012" w:rsidRPr="00553827" w:rsidRDefault="001E6012" w:rsidP="00884F08">
            <w:pPr>
              <w:spacing w:line="48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553827">
              <w:rPr>
                <w:b/>
                <w:bCs/>
                <w:sz w:val="22"/>
                <w:szCs w:val="22"/>
                <w:lang w:val="en-GB"/>
              </w:rPr>
              <w:t>Moderate</w:t>
            </w:r>
          </w:p>
        </w:tc>
        <w:tc>
          <w:tcPr>
            <w:tcW w:w="1248" w:type="dxa"/>
            <w:vAlign w:val="center"/>
          </w:tcPr>
          <w:p w14:paraId="6F5B3C0A" w14:textId="77777777" w:rsidR="001E6012" w:rsidRPr="00553827" w:rsidRDefault="001E6012" w:rsidP="00884F08">
            <w:pPr>
              <w:spacing w:line="480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553827">
              <w:rPr>
                <w:b/>
                <w:bCs/>
                <w:sz w:val="22"/>
                <w:szCs w:val="22"/>
                <w:lang w:val="en-GB"/>
              </w:rPr>
              <w:t>High</w:t>
            </w:r>
          </w:p>
        </w:tc>
        <w:tc>
          <w:tcPr>
            <w:tcW w:w="1247" w:type="dxa"/>
            <w:vAlign w:val="center"/>
          </w:tcPr>
          <w:p w14:paraId="1A1B3728" w14:textId="77777777" w:rsidR="001E6012" w:rsidRPr="00553827" w:rsidRDefault="001E6012" w:rsidP="00884F08">
            <w:pPr>
              <w:spacing w:line="480" w:lineRule="auto"/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 w:rsidRPr="00553827">
              <w:rPr>
                <w:b/>
                <w:bCs/>
                <w:sz w:val="22"/>
                <w:szCs w:val="22"/>
                <w:lang w:val="en-GB"/>
              </w:rPr>
              <w:t>Low</w:t>
            </w:r>
          </w:p>
        </w:tc>
        <w:tc>
          <w:tcPr>
            <w:tcW w:w="1247" w:type="dxa"/>
            <w:vAlign w:val="center"/>
          </w:tcPr>
          <w:p w14:paraId="211FC62F" w14:textId="77777777" w:rsidR="001E6012" w:rsidRPr="00553827" w:rsidRDefault="001E6012" w:rsidP="00884F08">
            <w:pPr>
              <w:spacing w:line="480" w:lineRule="auto"/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 w:rsidRPr="00553827">
              <w:rPr>
                <w:b/>
                <w:bCs/>
                <w:sz w:val="22"/>
                <w:szCs w:val="22"/>
                <w:lang w:val="en-GB"/>
              </w:rPr>
              <w:t>Moderate</w:t>
            </w:r>
          </w:p>
        </w:tc>
        <w:tc>
          <w:tcPr>
            <w:tcW w:w="1248" w:type="dxa"/>
            <w:vAlign w:val="center"/>
          </w:tcPr>
          <w:p w14:paraId="5B02CBF2" w14:textId="77777777" w:rsidR="001E6012" w:rsidRPr="00553827" w:rsidRDefault="001E6012" w:rsidP="00884F08">
            <w:pPr>
              <w:spacing w:line="480" w:lineRule="auto"/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 w:rsidRPr="00553827">
              <w:rPr>
                <w:b/>
                <w:bCs/>
                <w:sz w:val="22"/>
                <w:szCs w:val="22"/>
                <w:lang w:val="en-GB"/>
              </w:rPr>
              <w:t>High</w:t>
            </w:r>
          </w:p>
        </w:tc>
      </w:tr>
      <w:tr w:rsidR="001E6012" w:rsidRPr="00553827" w14:paraId="1160F30C" w14:textId="77777777" w:rsidTr="0048356C">
        <w:tc>
          <w:tcPr>
            <w:tcW w:w="1668" w:type="dxa"/>
          </w:tcPr>
          <w:p w14:paraId="0E2B8525" w14:textId="77777777" w:rsidR="001E6012" w:rsidRPr="00553827" w:rsidRDefault="001E6012" w:rsidP="00884F08">
            <w:pPr>
              <w:spacing w:line="480" w:lineRule="auto"/>
              <w:rPr>
                <w:sz w:val="22"/>
                <w:szCs w:val="22"/>
                <w:lang w:val="en-GB"/>
              </w:rPr>
            </w:pPr>
            <w:r w:rsidRPr="00553827">
              <w:rPr>
                <w:b/>
                <w:sz w:val="22"/>
                <w:szCs w:val="22"/>
                <w:lang w:val="en-GB"/>
              </w:rPr>
              <w:t>Inter-bout duration</w:t>
            </w:r>
          </w:p>
        </w:tc>
        <w:tc>
          <w:tcPr>
            <w:tcW w:w="1247" w:type="dxa"/>
          </w:tcPr>
          <w:p w14:paraId="369F86A0" w14:textId="67A5CB23" w:rsidR="001E6012" w:rsidRPr="00553827" w:rsidRDefault="001E6012" w:rsidP="00884F08">
            <w:pPr>
              <w:spacing w:line="480" w:lineRule="auto"/>
              <w:jc w:val="center"/>
              <w:rPr>
                <w:sz w:val="22"/>
                <w:szCs w:val="22"/>
                <w:lang w:val="en-GB"/>
              </w:rPr>
            </w:pPr>
            <w:r w:rsidRPr="00553827">
              <w:rPr>
                <w:b/>
                <w:sz w:val="22"/>
                <w:szCs w:val="22"/>
                <w:lang w:val="en-GB"/>
              </w:rPr>
              <w:t>Median (</w:t>
            </w:r>
            <w:r w:rsidRPr="00305C5C">
              <w:rPr>
                <w:b/>
                <w:bCs/>
                <w:sz w:val="22"/>
                <w:szCs w:val="22"/>
                <w:lang w:val="en-GB"/>
              </w:rPr>
              <w:t>Q1-Q3</w:t>
            </w:r>
            <w:r w:rsidR="00A94320">
              <w:rPr>
                <w:sz w:val="22"/>
                <w:szCs w:val="22"/>
                <w:vertAlign w:val="superscript"/>
                <w:lang w:val="en-GB"/>
              </w:rPr>
              <w:t>a</w:t>
            </w:r>
            <w:r w:rsidRPr="00553827">
              <w:rPr>
                <w:b/>
                <w:sz w:val="22"/>
                <w:szCs w:val="22"/>
                <w:lang w:val="en-GB"/>
              </w:rPr>
              <w:t xml:space="preserve">) </w:t>
            </w:r>
          </w:p>
        </w:tc>
        <w:tc>
          <w:tcPr>
            <w:tcW w:w="1247" w:type="dxa"/>
          </w:tcPr>
          <w:p w14:paraId="20FC8C15" w14:textId="2A8784AA" w:rsidR="001E6012" w:rsidRPr="00553827" w:rsidRDefault="001E6012" w:rsidP="00884F08">
            <w:pPr>
              <w:spacing w:line="480" w:lineRule="auto"/>
              <w:jc w:val="center"/>
              <w:rPr>
                <w:sz w:val="22"/>
                <w:szCs w:val="22"/>
                <w:lang w:val="en-GB"/>
              </w:rPr>
            </w:pPr>
            <w:r w:rsidRPr="00553827">
              <w:rPr>
                <w:b/>
                <w:sz w:val="22"/>
                <w:szCs w:val="22"/>
                <w:lang w:val="en-GB"/>
              </w:rPr>
              <w:t>Median (</w:t>
            </w:r>
            <w:r w:rsidRPr="00305C5C">
              <w:rPr>
                <w:b/>
                <w:bCs/>
                <w:sz w:val="22"/>
                <w:szCs w:val="22"/>
                <w:lang w:val="en-GB"/>
              </w:rPr>
              <w:t>Q1-Q3</w:t>
            </w:r>
            <w:r w:rsidR="009B3445">
              <w:rPr>
                <w:sz w:val="22"/>
                <w:szCs w:val="22"/>
                <w:vertAlign w:val="superscript"/>
                <w:lang w:val="en-GB"/>
              </w:rPr>
              <w:t>a</w:t>
            </w:r>
            <w:r w:rsidRPr="00553827">
              <w:rPr>
                <w:b/>
                <w:sz w:val="22"/>
                <w:szCs w:val="22"/>
                <w:lang w:val="en-GB"/>
              </w:rPr>
              <w:t>)</w:t>
            </w:r>
          </w:p>
        </w:tc>
        <w:tc>
          <w:tcPr>
            <w:tcW w:w="1248" w:type="dxa"/>
          </w:tcPr>
          <w:p w14:paraId="1396C0F2" w14:textId="13DAFA2A" w:rsidR="001E6012" w:rsidRPr="00553827" w:rsidRDefault="001E6012" w:rsidP="00884F08">
            <w:pPr>
              <w:spacing w:line="480" w:lineRule="auto"/>
              <w:jc w:val="center"/>
              <w:rPr>
                <w:sz w:val="22"/>
                <w:szCs w:val="22"/>
                <w:lang w:val="en-GB"/>
              </w:rPr>
            </w:pPr>
            <w:r w:rsidRPr="00553827">
              <w:rPr>
                <w:b/>
                <w:sz w:val="22"/>
                <w:szCs w:val="22"/>
                <w:lang w:val="en-GB"/>
              </w:rPr>
              <w:t>Median (</w:t>
            </w:r>
            <w:r w:rsidRPr="00305C5C">
              <w:rPr>
                <w:b/>
                <w:bCs/>
                <w:sz w:val="22"/>
                <w:szCs w:val="22"/>
                <w:lang w:val="en-GB"/>
              </w:rPr>
              <w:t>Q1-Q3</w:t>
            </w:r>
            <w:r w:rsidR="009B3445">
              <w:rPr>
                <w:sz w:val="22"/>
                <w:szCs w:val="22"/>
                <w:vertAlign w:val="superscript"/>
                <w:lang w:val="en-GB"/>
              </w:rPr>
              <w:t>a</w:t>
            </w:r>
            <w:r w:rsidRPr="00553827">
              <w:rPr>
                <w:b/>
                <w:sz w:val="22"/>
                <w:szCs w:val="22"/>
                <w:lang w:val="en-GB"/>
              </w:rPr>
              <w:t>)</w:t>
            </w:r>
          </w:p>
        </w:tc>
        <w:tc>
          <w:tcPr>
            <w:tcW w:w="1247" w:type="dxa"/>
          </w:tcPr>
          <w:p w14:paraId="1974CA0D" w14:textId="0B6BA0A7" w:rsidR="001E6012" w:rsidRPr="00553827" w:rsidRDefault="001E6012" w:rsidP="00884F08">
            <w:pPr>
              <w:spacing w:line="480" w:lineRule="auto"/>
              <w:jc w:val="center"/>
              <w:rPr>
                <w:sz w:val="22"/>
                <w:szCs w:val="22"/>
                <w:lang w:val="en-GB"/>
              </w:rPr>
            </w:pPr>
            <w:r w:rsidRPr="00553827">
              <w:rPr>
                <w:b/>
                <w:sz w:val="22"/>
                <w:szCs w:val="22"/>
                <w:lang w:val="en-GB"/>
              </w:rPr>
              <w:t>Median (</w:t>
            </w:r>
            <w:r w:rsidRPr="00305C5C">
              <w:rPr>
                <w:b/>
                <w:bCs/>
                <w:sz w:val="22"/>
                <w:szCs w:val="22"/>
                <w:lang w:val="en-GB"/>
              </w:rPr>
              <w:t>Q1-Q3</w:t>
            </w:r>
            <w:r w:rsidR="009B3445">
              <w:rPr>
                <w:sz w:val="22"/>
                <w:szCs w:val="22"/>
                <w:vertAlign w:val="superscript"/>
                <w:lang w:val="en-GB"/>
              </w:rPr>
              <w:t>a</w:t>
            </w:r>
            <w:r w:rsidRPr="00553827">
              <w:rPr>
                <w:b/>
                <w:sz w:val="22"/>
                <w:szCs w:val="22"/>
                <w:lang w:val="en-GB"/>
              </w:rPr>
              <w:t>)</w:t>
            </w:r>
          </w:p>
        </w:tc>
        <w:tc>
          <w:tcPr>
            <w:tcW w:w="1247" w:type="dxa"/>
          </w:tcPr>
          <w:p w14:paraId="307808CD" w14:textId="1F732E6B" w:rsidR="001E6012" w:rsidRPr="00553827" w:rsidRDefault="001E6012" w:rsidP="00884F08">
            <w:pPr>
              <w:spacing w:line="480" w:lineRule="auto"/>
              <w:jc w:val="center"/>
              <w:rPr>
                <w:sz w:val="22"/>
                <w:szCs w:val="22"/>
                <w:lang w:val="en-GB"/>
              </w:rPr>
            </w:pPr>
            <w:r w:rsidRPr="00553827">
              <w:rPr>
                <w:b/>
                <w:sz w:val="22"/>
                <w:szCs w:val="22"/>
                <w:lang w:val="en-GB"/>
              </w:rPr>
              <w:t>Median (</w:t>
            </w:r>
            <w:r w:rsidRPr="00305C5C">
              <w:rPr>
                <w:b/>
                <w:bCs/>
                <w:sz w:val="22"/>
                <w:szCs w:val="22"/>
                <w:lang w:val="en-GB"/>
              </w:rPr>
              <w:t>Q1-Q3</w:t>
            </w:r>
            <w:r w:rsidR="009B3445">
              <w:rPr>
                <w:sz w:val="22"/>
                <w:szCs w:val="22"/>
                <w:vertAlign w:val="superscript"/>
                <w:lang w:val="en-GB"/>
              </w:rPr>
              <w:t>a</w:t>
            </w:r>
            <w:r w:rsidRPr="00553827">
              <w:rPr>
                <w:b/>
                <w:sz w:val="22"/>
                <w:szCs w:val="22"/>
                <w:lang w:val="en-GB"/>
              </w:rPr>
              <w:t>)</w:t>
            </w:r>
          </w:p>
        </w:tc>
        <w:tc>
          <w:tcPr>
            <w:tcW w:w="1248" w:type="dxa"/>
          </w:tcPr>
          <w:p w14:paraId="07F65D2B" w14:textId="4613C3C7" w:rsidR="001E6012" w:rsidRPr="00553827" w:rsidRDefault="001E6012" w:rsidP="00884F08">
            <w:pPr>
              <w:spacing w:line="480" w:lineRule="auto"/>
              <w:jc w:val="center"/>
              <w:rPr>
                <w:sz w:val="22"/>
                <w:szCs w:val="22"/>
                <w:lang w:val="en-GB"/>
              </w:rPr>
            </w:pPr>
            <w:r w:rsidRPr="00553827">
              <w:rPr>
                <w:b/>
                <w:sz w:val="22"/>
                <w:szCs w:val="22"/>
                <w:lang w:val="en-GB"/>
              </w:rPr>
              <w:t>Median (</w:t>
            </w:r>
            <w:r w:rsidRPr="00305C5C">
              <w:rPr>
                <w:b/>
                <w:bCs/>
                <w:sz w:val="22"/>
                <w:szCs w:val="22"/>
                <w:lang w:val="en-GB"/>
              </w:rPr>
              <w:t>Q1-Q3</w:t>
            </w:r>
            <w:r w:rsidR="009B3445">
              <w:rPr>
                <w:sz w:val="22"/>
                <w:szCs w:val="22"/>
                <w:vertAlign w:val="superscript"/>
                <w:lang w:val="en-GB"/>
              </w:rPr>
              <w:t>a</w:t>
            </w:r>
            <w:r w:rsidRPr="00553827">
              <w:rPr>
                <w:b/>
                <w:sz w:val="22"/>
                <w:szCs w:val="22"/>
                <w:lang w:val="en-GB"/>
              </w:rPr>
              <w:t>)</w:t>
            </w:r>
          </w:p>
        </w:tc>
      </w:tr>
      <w:tr w:rsidR="001E6012" w:rsidRPr="00553827" w14:paraId="789F2A3E" w14:textId="77777777" w:rsidTr="0048356C">
        <w:tc>
          <w:tcPr>
            <w:tcW w:w="1668" w:type="dxa"/>
          </w:tcPr>
          <w:p w14:paraId="4F58BE38" w14:textId="77777777" w:rsidR="001E6012" w:rsidRPr="00553827" w:rsidRDefault="001E6012" w:rsidP="00884F08">
            <w:pPr>
              <w:spacing w:line="480" w:lineRule="auto"/>
              <w:ind w:left="170" w:hanging="144"/>
              <w:rPr>
                <w:sz w:val="22"/>
                <w:szCs w:val="22"/>
                <w:vertAlign w:val="superscript"/>
                <w:lang w:val="en-GB"/>
              </w:rPr>
            </w:pPr>
            <w:r w:rsidRPr="00553827">
              <w:rPr>
                <w:sz w:val="22"/>
                <w:szCs w:val="22"/>
                <w:lang w:val="en-GB"/>
              </w:rPr>
              <w:t xml:space="preserve">   Median, seconds</w:t>
            </w:r>
          </w:p>
        </w:tc>
        <w:tc>
          <w:tcPr>
            <w:tcW w:w="1247" w:type="dxa"/>
          </w:tcPr>
          <w:p w14:paraId="1A86404A" w14:textId="77777777" w:rsidR="001E6012" w:rsidRPr="00553827" w:rsidRDefault="001E6012" w:rsidP="00884F08">
            <w:pPr>
              <w:spacing w:line="480" w:lineRule="auto"/>
              <w:jc w:val="center"/>
              <w:rPr>
                <w:rStyle w:val="normaltextrun"/>
                <w:rFonts w:ascii="Aptos" w:hAnsi="Aptos" w:cs="Segoe UI"/>
                <w:sz w:val="22"/>
                <w:szCs w:val="22"/>
                <w:lang w:val="en-GB"/>
              </w:rPr>
            </w:pPr>
            <w:r w:rsidRPr="00553827">
              <w:rPr>
                <w:rStyle w:val="normaltextrun"/>
                <w:rFonts w:ascii="Aptos" w:hAnsi="Aptos" w:cs="Segoe UI"/>
                <w:sz w:val="22"/>
                <w:szCs w:val="22"/>
                <w:lang w:val="en-GB"/>
              </w:rPr>
              <w:t>79.3 </w:t>
            </w:r>
          </w:p>
          <w:p w14:paraId="2B5D1779" w14:textId="77777777" w:rsidR="001E6012" w:rsidRPr="00553827" w:rsidRDefault="001E6012" w:rsidP="00884F08">
            <w:pPr>
              <w:spacing w:line="480" w:lineRule="auto"/>
              <w:jc w:val="center"/>
              <w:rPr>
                <w:sz w:val="22"/>
                <w:szCs w:val="22"/>
                <w:lang w:val="en-GB"/>
              </w:rPr>
            </w:pPr>
            <w:r w:rsidRPr="00553827">
              <w:rPr>
                <w:rStyle w:val="normaltextrun"/>
                <w:rFonts w:ascii="Aptos" w:hAnsi="Aptos" w:cs="Segoe UI"/>
                <w:sz w:val="22"/>
                <w:szCs w:val="22"/>
                <w:lang w:val="en-GB"/>
              </w:rPr>
              <w:t>(37.7-208.2) </w:t>
            </w:r>
            <w:r w:rsidRPr="00553827"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</w:tc>
        <w:tc>
          <w:tcPr>
            <w:tcW w:w="1247" w:type="dxa"/>
          </w:tcPr>
          <w:p w14:paraId="2D5A4677" w14:textId="77777777" w:rsidR="001E6012" w:rsidRPr="00553827" w:rsidRDefault="001E6012" w:rsidP="00884F08">
            <w:pPr>
              <w:spacing w:line="480" w:lineRule="auto"/>
              <w:jc w:val="center"/>
              <w:rPr>
                <w:rStyle w:val="normaltextrun"/>
                <w:rFonts w:ascii="Aptos" w:hAnsi="Aptos" w:cs="Segoe UI"/>
                <w:sz w:val="22"/>
                <w:szCs w:val="22"/>
                <w:lang w:val="en-GB"/>
              </w:rPr>
            </w:pPr>
            <w:r w:rsidRPr="00553827">
              <w:rPr>
                <w:rStyle w:val="normaltextrun"/>
                <w:rFonts w:ascii="Aptos" w:hAnsi="Aptos" w:cs="Segoe UI"/>
                <w:sz w:val="22"/>
                <w:szCs w:val="22"/>
                <w:lang w:val="en-GB"/>
              </w:rPr>
              <w:t>35.6 </w:t>
            </w:r>
          </w:p>
          <w:p w14:paraId="7B4DFDF9" w14:textId="77777777" w:rsidR="001E6012" w:rsidRPr="00553827" w:rsidRDefault="001E6012" w:rsidP="00884F08">
            <w:pPr>
              <w:spacing w:line="480" w:lineRule="auto"/>
              <w:jc w:val="center"/>
              <w:rPr>
                <w:sz w:val="22"/>
                <w:szCs w:val="22"/>
                <w:lang w:val="en-GB"/>
              </w:rPr>
            </w:pPr>
            <w:r w:rsidRPr="00553827">
              <w:rPr>
                <w:rStyle w:val="normaltextrun"/>
                <w:rFonts w:ascii="Aptos" w:hAnsi="Aptos" w:cs="Segoe UI"/>
                <w:sz w:val="22"/>
                <w:szCs w:val="22"/>
                <w:lang w:val="en-GB"/>
              </w:rPr>
              <w:t>(25.6-49.5)</w:t>
            </w:r>
            <w:r w:rsidRPr="00553827"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</w:tc>
        <w:tc>
          <w:tcPr>
            <w:tcW w:w="1248" w:type="dxa"/>
          </w:tcPr>
          <w:p w14:paraId="7A1522E1" w14:textId="77777777" w:rsidR="001E6012" w:rsidRPr="00553827" w:rsidRDefault="001E6012" w:rsidP="00884F08">
            <w:pPr>
              <w:spacing w:line="480" w:lineRule="auto"/>
              <w:jc w:val="center"/>
              <w:rPr>
                <w:rStyle w:val="normaltextrun"/>
                <w:rFonts w:ascii="Aptos" w:hAnsi="Aptos" w:cs="Segoe UI"/>
                <w:sz w:val="22"/>
                <w:szCs w:val="22"/>
                <w:lang w:val="en-GB"/>
              </w:rPr>
            </w:pPr>
            <w:r w:rsidRPr="00553827">
              <w:rPr>
                <w:rStyle w:val="normaltextrun"/>
                <w:rFonts w:ascii="Aptos" w:hAnsi="Aptos" w:cs="Segoe UI"/>
                <w:sz w:val="22"/>
                <w:szCs w:val="22"/>
                <w:lang w:val="en-GB"/>
              </w:rPr>
              <w:t>26.8 </w:t>
            </w:r>
          </w:p>
          <w:p w14:paraId="17E80176" w14:textId="77777777" w:rsidR="001E6012" w:rsidRPr="00553827" w:rsidRDefault="001E6012" w:rsidP="00884F08">
            <w:pPr>
              <w:spacing w:line="480" w:lineRule="auto"/>
              <w:jc w:val="center"/>
              <w:rPr>
                <w:sz w:val="22"/>
                <w:szCs w:val="22"/>
                <w:lang w:val="en-GB"/>
              </w:rPr>
            </w:pPr>
            <w:r w:rsidRPr="00553827">
              <w:rPr>
                <w:rStyle w:val="normaltextrun"/>
                <w:rFonts w:ascii="Aptos" w:hAnsi="Aptos" w:cs="Segoe UI"/>
                <w:sz w:val="22"/>
                <w:szCs w:val="22"/>
                <w:lang w:val="en-GB"/>
              </w:rPr>
              <w:t>(22.3-32.7)</w:t>
            </w:r>
            <w:r w:rsidRPr="00553827"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</w:tc>
        <w:tc>
          <w:tcPr>
            <w:tcW w:w="1247" w:type="dxa"/>
          </w:tcPr>
          <w:p w14:paraId="3A8CB8C0" w14:textId="77777777" w:rsidR="001E6012" w:rsidRPr="00553827" w:rsidRDefault="001E6012" w:rsidP="00884F08">
            <w:pPr>
              <w:spacing w:line="480" w:lineRule="auto"/>
              <w:jc w:val="center"/>
              <w:rPr>
                <w:rStyle w:val="normaltextrun"/>
                <w:rFonts w:ascii="Aptos" w:hAnsi="Aptos" w:cs="Segoe UI"/>
                <w:sz w:val="22"/>
                <w:szCs w:val="22"/>
                <w:lang w:val="en-GB"/>
              </w:rPr>
            </w:pPr>
            <w:r w:rsidRPr="00553827">
              <w:rPr>
                <w:rStyle w:val="normaltextrun"/>
                <w:rFonts w:ascii="Aptos" w:hAnsi="Aptos" w:cs="Segoe UI"/>
                <w:sz w:val="22"/>
                <w:szCs w:val="22"/>
                <w:lang w:val="en-GB"/>
              </w:rPr>
              <w:t>61.1 </w:t>
            </w:r>
          </w:p>
          <w:p w14:paraId="43987005" w14:textId="77777777" w:rsidR="001E6012" w:rsidRPr="00553827" w:rsidRDefault="001E6012" w:rsidP="00884F08">
            <w:pPr>
              <w:spacing w:line="480" w:lineRule="auto"/>
              <w:jc w:val="center"/>
              <w:rPr>
                <w:sz w:val="22"/>
                <w:szCs w:val="22"/>
                <w:lang w:val="en-GB"/>
              </w:rPr>
            </w:pPr>
            <w:r w:rsidRPr="00553827">
              <w:rPr>
                <w:rStyle w:val="normaltextrun"/>
                <w:rFonts w:ascii="Aptos" w:hAnsi="Aptos" w:cs="Segoe UI"/>
                <w:sz w:val="22"/>
                <w:szCs w:val="22"/>
                <w:lang w:val="en-GB"/>
              </w:rPr>
              <w:t>(36.9-169.0)</w:t>
            </w:r>
            <w:r w:rsidRPr="00553827"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</w:tc>
        <w:tc>
          <w:tcPr>
            <w:tcW w:w="1247" w:type="dxa"/>
          </w:tcPr>
          <w:p w14:paraId="4A0E5A97" w14:textId="77777777" w:rsidR="001E6012" w:rsidRPr="00553827" w:rsidRDefault="001E6012" w:rsidP="00884F08">
            <w:pPr>
              <w:spacing w:line="480" w:lineRule="auto"/>
              <w:jc w:val="center"/>
              <w:rPr>
                <w:rStyle w:val="normaltextrun"/>
                <w:rFonts w:ascii="Aptos" w:hAnsi="Aptos" w:cs="Segoe UI"/>
                <w:sz w:val="22"/>
                <w:szCs w:val="22"/>
                <w:lang w:val="en-GB"/>
              </w:rPr>
            </w:pPr>
            <w:r w:rsidRPr="00553827">
              <w:rPr>
                <w:rStyle w:val="normaltextrun"/>
                <w:rFonts w:ascii="Aptos" w:hAnsi="Aptos" w:cs="Segoe UI"/>
                <w:sz w:val="22"/>
                <w:szCs w:val="22"/>
                <w:lang w:val="en-GB"/>
              </w:rPr>
              <w:t>30.5 </w:t>
            </w:r>
          </w:p>
          <w:p w14:paraId="23B6267A" w14:textId="77777777" w:rsidR="001E6012" w:rsidRPr="00553827" w:rsidRDefault="001E6012" w:rsidP="00884F08">
            <w:pPr>
              <w:spacing w:line="480" w:lineRule="auto"/>
              <w:jc w:val="center"/>
              <w:rPr>
                <w:sz w:val="22"/>
                <w:szCs w:val="22"/>
                <w:lang w:val="en-GB"/>
              </w:rPr>
            </w:pPr>
            <w:r w:rsidRPr="00553827">
              <w:rPr>
                <w:rStyle w:val="normaltextrun"/>
                <w:rFonts w:ascii="Aptos" w:hAnsi="Aptos" w:cs="Segoe UI"/>
                <w:sz w:val="22"/>
                <w:szCs w:val="22"/>
                <w:lang w:val="en-GB"/>
              </w:rPr>
              <w:t>(25.8-42.1)</w:t>
            </w:r>
            <w:r w:rsidRPr="00553827"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</w:tc>
        <w:tc>
          <w:tcPr>
            <w:tcW w:w="1248" w:type="dxa"/>
          </w:tcPr>
          <w:p w14:paraId="1DEEE513" w14:textId="77777777" w:rsidR="001E6012" w:rsidRPr="00553827" w:rsidRDefault="001E6012" w:rsidP="00884F08">
            <w:pPr>
              <w:spacing w:line="480" w:lineRule="auto"/>
              <w:jc w:val="center"/>
              <w:rPr>
                <w:rStyle w:val="normaltextrun"/>
                <w:rFonts w:ascii="Aptos" w:hAnsi="Aptos" w:cs="Segoe UI"/>
                <w:sz w:val="22"/>
                <w:szCs w:val="22"/>
                <w:lang w:val="en-GB"/>
              </w:rPr>
            </w:pPr>
            <w:r w:rsidRPr="00553827">
              <w:rPr>
                <w:rStyle w:val="normaltextrun"/>
                <w:rFonts w:ascii="Aptos" w:hAnsi="Aptos" w:cs="Segoe UI"/>
                <w:sz w:val="22"/>
                <w:szCs w:val="22"/>
                <w:lang w:val="en-GB"/>
              </w:rPr>
              <w:t>24.9 *</w:t>
            </w:r>
          </w:p>
          <w:p w14:paraId="70D6B9B4" w14:textId="77777777" w:rsidR="001E6012" w:rsidRPr="00553827" w:rsidRDefault="001E6012" w:rsidP="00884F08">
            <w:pPr>
              <w:spacing w:line="480" w:lineRule="auto"/>
              <w:jc w:val="center"/>
              <w:rPr>
                <w:sz w:val="22"/>
                <w:szCs w:val="22"/>
                <w:lang w:val="en-GB"/>
              </w:rPr>
            </w:pPr>
            <w:r w:rsidRPr="00553827">
              <w:rPr>
                <w:rStyle w:val="normaltextrun"/>
                <w:rFonts w:ascii="Aptos" w:hAnsi="Aptos" w:cs="Segoe UI"/>
                <w:sz w:val="22"/>
                <w:szCs w:val="22"/>
                <w:lang w:val="en-GB"/>
              </w:rPr>
              <w:t>(20.5-32.3)</w:t>
            </w:r>
            <w:r w:rsidRPr="00553827"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</w:tc>
      </w:tr>
      <w:tr w:rsidR="001E6012" w:rsidRPr="00553827" w14:paraId="13611637" w14:textId="77777777" w:rsidTr="0048356C">
        <w:tc>
          <w:tcPr>
            <w:tcW w:w="1668" w:type="dxa"/>
          </w:tcPr>
          <w:p w14:paraId="0D249678" w14:textId="699275A4" w:rsidR="001E6012" w:rsidRPr="00553827" w:rsidRDefault="001E6012" w:rsidP="00884F08">
            <w:pPr>
              <w:spacing w:line="480" w:lineRule="auto"/>
              <w:ind w:left="170" w:hanging="144"/>
              <w:jc w:val="center"/>
              <w:rPr>
                <w:sz w:val="22"/>
                <w:szCs w:val="22"/>
                <w:lang w:val="en-GB"/>
              </w:rPr>
            </w:pPr>
            <w:proofErr w:type="spellStart"/>
            <w:r w:rsidRPr="00553827">
              <w:rPr>
                <w:sz w:val="22"/>
                <w:szCs w:val="22"/>
                <w:lang w:val="en-GB"/>
              </w:rPr>
              <w:t>IQR</w:t>
            </w:r>
            <w:r w:rsidR="009B3445">
              <w:rPr>
                <w:sz w:val="22"/>
                <w:szCs w:val="22"/>
                <w:vertAlign w:val="superscript"/>
                <w:lang w:val="en-GB"/>
              </w:rPr>
              <w:t>b</w:t>
            </w:r>
            <w:proofErr w:type="spellEnd"/>
            <w:r w:rsidRPr="00553827">
              <w:rPr>
                <w:sz w:val="22"/>
                <w:szCs w:val="22"/>
                <w:lang w:val="en-GB"/>
              </w:rPr>
              <w:t>, seconds</w:t>
            </w:r>
          </w:p>
        </w:tc>
        <w:tc>
          <w:tcPr>
            <w:tcW w:w="1247" w:type="dxa"/>
          </w:tcPr>
          <w:p w14:paraId="4FAD3C81" w14:textId="77777777" w:rsidR="001E6012" w:rsidRPr="00553827" w:rsidRDefault="001E6012" w:rsidP="00884F08">
            <w:pPr>
              <w:spacing w:line="480" w:lineRule="auto"/>
              <w:jc w:val="center"/>
              <w:rPr>
                <w:rStyle w:val="normaltextrun"/>
                <w:rFonts w:ascii="Aptos" w:hAnsi="Aptos" w:cs="Segoe UI"/>
                <w:sz w:val="22"/>
                <w:szCs w:val="22"/>
                <w:lang w:val="en-GB"/>
              </w:rPr>
            </w:pPr>
            <w:r w:rsidRPr="00553827">
              <w:rPr>
                <w:rStyle w:val="normaltextrun"/>
                <w:rFonts w:ascii="Aptos" w:hAnsi="Aptos" w:cs="Segoe UI"/>
                <w:sz w:val="22"/>
                <w:szCs w:val="22"/>
                <w:lang w:val="en-GB"/>
              </w:rPr>
              <w:t>431.3</w:t>
            </w:r>
          </w:p>
          <w:p w14:paraId="43F70292" w14:textId="77777777" w:rsidR="001E6012" w:rsidRPr="00553827" w:rsidRDefault="001E6012" w:rsidP="00884F08">
            <w:pPr>
              <w:spacing w:line="480" w:lineRule="auto"/>
              <w:jc w:val="center"/>
              <w:rPr>
                <w:rStyle w:val="normaltextrun"/>
                <w:rFonts w:ascii="Aptos" w:hAnsi="Aptos" w:cs="Segoe UI"/>
                <w:sz w:val="22"/>
                <w:szCs w:val="22"/>
                <w:lang w:val="en-GB"/>
              </w:rPr>
            </w:pPr>
            <w:r w:rsidRPr="00553827">
              <w:rPr>
                <w:rStyle w:val="normaltextrun"/>
                <w:rFonts w:ascii="Aptos" w:hAnsi="Aptos" w:cs="Segoe UI"/>
                <w:sz w:val="22"/>
                <w:szCs w:val="22"/>
                <w:lang w:val="en-GB"/>
              </w:rPr>
              <w:t> (217.6-3192.1)</w:t>
            </w:r>
            <w:r w:rsidRPr="00553827"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</w:tc>
        <w:tc>
          <w:tcPr>
            <w:tcW w:w="1247" w:type="dxa"/>
          </w:tcPr>
          <w:p w14:paraId="762A6F7B" w14:textId="77777777" w:rsidR="001E6012" w:rsidRPr="00553827" w:rsidRDefault="001E6012" w:rsidP="00884F08">
            <w:pPr>
              <w:spacing w:line="480" w:lineRule="auto"/>
              <w:jc w:val="center"/>
              <w:rPr>
                <w:rStyle w:val="normaltextrun"/>
                <w:rFonts w:ascii="Aptos" w:hAnsi="Aptos" w:cs="Segoe UI"/>
                <w:sz w:val="22"/>
                <w:szCs w:val="22"/>
                <w:lang w:val="en-GB"/>
              </w:rPr>
            </w:pPr>
            <w:r w:rsidRPr="00553827">
              <w:rPr>
                <w:rStyle w:val="normaltextrun"/>
                <w:rFonts w:ascii="Aptos" w:hAnsi="Aptos" w:cs="Segoe UI"/>
                <w:sz w:val="22"/>
                <w:szCs w:val="22"/>
                <w:lang w:val="en-GB"/>
              </w:rPr>
              <w:t>143.2 (93.4-193.2)</w:t>
            </w:r>
            <w:r w:rsidRPr="00553827"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</w:tc>
        <w:tc>
          <w:tcPr>
            <w:tcW w:w="1248" w:type="dxa"/>
          </w:tcPr>
          <w:p w14:paraId="5503B6B8" w14:textId="77777777" w:rsidR="001E6012" w:rsidRPr="00553827" w:rsidRDefault="001E6012" w:rsidP="00884F08">
            <w:pPr>
              <w:spacing w:line="480" w:lineRule="auto"/>
              <w:jc w:val="center"/>
              <w:rPr>
                <w:rStyle w:val="normaltextrun"/>
                <w:rFonts w:ascii="Aptos" w:hAnsi="Aptos" w:cs="Segoe UI"/>
                <w:sz w:val="22"/>
                <w:szCs w:val="22"/>
                <w:lang w:val="en-GB"/>
              </w:rPr>
            </w:pPr>
            <w:r w:rsidRPr="00553827">
              <w:rPr>
                <w:rStyle w:val="normaltextrun"/>
                <w:rFonts w:ascii="Aptos" w:hAnsi="Aptos" w:cs="Segoe UI"/>
                <w:sz w:val="22"/>
                <w:szCs w:val="22"/>
                <w:lang w:val="en-GB"/>
              </w:rPr>
              <w:t xml:space="preserve">93.9 </w:t>
            </w:r>
          </w:p>
          <w:p w14:paraId="0A85A68F" w14:textId="77777777" w:rsidR="001E6012" w:rsidRPr="00553827" w:rsidRDefault="001E6012" w:rsidP="00884F08">
            <w:pPr>
              <w:spacing w:line="480" w:lineRule="auto"/>
              <w:jc w:val="center"/>
              <w:rPr>
                <w:rStyle w:val="normaltextrun"/>
                <w:rFonts w:ascii="Aptos" w:hAnsi="Aptos" w:cs="Segoe UI"/>
                <w:sz w:val="22"/>
                <w:szCs w:val="22"/>
                <w:lang w:val="en-GB"/>
              </w:rPr>
            </w:pPr>
            <w:r w:rsidRPr="00553827">
              <w:rPr>
                <w:rStyle w:val="normaltextrun"/>
                <w:rFonts w:ascii="Aptos" w:hAnsi="Aptos" w:cs="Segoe UI"/>
                <w:sz w:val="22"/>
                <w:szCs w:val="22"/>
                <w:lang w:val="en-GB"/>
              </w:rPr>
              <w:t>(72.3-117.9)</w:t>
            </w:r>
            <w:r w:rsidRPr="00553827"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</w:tc>
        <w:tc>
          <w:tcPr>
            <w:tcW w:w="1247" w:type="dxa"/>
          </w:tcPr>
          <w:p w14:paraId="44537D23" w14:textId="77777777" w:rsidR="001E6012" w:rsidRPr="00553827" w:rsidRDefault="001E6012" w:rsidP="00884F08">
            <w:pPr>
              <w:spacing w:line="480" w:lineRule="auto"/>
              <w:jc w:val="center"/>
              <w:rPr>
                <w:rStyle w:val="normaltextrun"/>
                <w:rFonts w:ascii="Aptos" w:hAnsi="Aptos" w:cs="Segoe UI"/>
                <w:sz w:val="22"/>
                <w:szCs w:val="22"/>
                <w:lang w:val="en-GB"/>
              </w:rPr>
            </w:pPr>
            <w:r w:rsidRPr="00553827">
              <w:rPr>
                <w:rStyle w:val="normaltextrun"/>
                <w:rFonts w:ascii="Aptos" w:hAnsi="Aptos" w:cs="Segoe UI"/>
                <w:sz w:val="22"/>
                <w:szCs w:val="22"/>
                <w:lang w:val="en-GB"/>
              </w:rPr>
              <w:t>461.1 (178.1-1664.5)</w:t>
            </w:r>
            <w:r w:rsidRPr="00553827"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</w:tc>
        <w:tc>
          <w:tcPr>
            <w:tcW w:w="1247" w:type="dxa"/>
          </w:tcPr>
          <w:p w14:paraId="51F4829A" w14:textId="77777777" w:rsidR="001E6012" w:rsidRPr="00553827" w:rsidRDefault="001E6012" w:rsidP="00884F08">
            <w:pPr>
              <w:spacing w:line="480" w:lineRule="auto"/>
              <w:jc w:val="center"/>
              <w:rPr>
                <w:rStyle w:val="normaltextrun"/>
                <w:rFonts w:ascii="Aptos" w:hAnsi="Aptos" w:cs="Segoe UI"/>
                <w:sz w:val="22"/>
                <w:szCs w:val="22"/>
                <w:lang w:val="en-GB"/>
              </w:rPr>
            </w:pPr>
            <w:r w:rsidRPr="00553827">
              <w:rPr>
                <w:rStyle w:val="normaltextrun"/>
                <w:rFonts w:ascii="Aptos" w:hAnsi="Aptos" w:cs="Segoe UI"/>
                <w:sz w:val="22"/>
                <w:szCs w:val="22"/>
                <w:lang w:val="en-GB"/>
              </w:rPr>
              <w:t>120.2 (88.5-154.1)</w:t>
            </w:r>
            <w:r w:rsidRPr="00553827"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</w:tc>
        <w:tc>
          <w:tcPr>
            <w:tcW w:w="1248" w:type="dxa"/>
          </w:tcPr>
          <w:p w14:paraId="2C433473" w14:textId="77777777" w:rsidR="001E6012" w:rsidRPr="00553827" w:rsidRDefault="001E6012" w:rsidP="00884F08">
            <w:pPr>
              <w:spacing w:line="480" w:lineRule="auto"/>
              <w:jc w:val="center"/>
              <w:rPr>
                <w:rStyle w:val="normaltextrun"/>
                <w:rFonts w:ascii="Aptos" w:hAnsi="Aptos" w:cs="Segoe UI"/>
                <w:sz w:val="22"/>
                <w:szCs w:val="22"/>
                <w:lang w:val="en-GB"/>
              </w:rPr>
            </w:pPr>
            <w:r w:rsidRPr="00553827">
              <w:rPr>
                <w:rStyle w:val="normaltextrun"/>
                <w:rFonts w:ascii="Aptos" w:hAnsi="Aptos" w:cs="Segoe UI"/>
                <w:sz w:val="22"/>
                <w:szCs w:val="22"/>
                <w:lang w:val="en-GB"/>
              </w:rPr>
              <w:t>86.4 *</w:t>
            </w:r>
          </w:p>
          <w:p w14:paraId="293FE5D6" w14:textId="77777777" w:rsidR="001E6012" w:rsidRPr="00553827" w:rsidRDefault="001E6012" w:rsidP="00884F08">
            <w:pPr>
              <w:spacing w:line="480" w:lineRule="auto"/>
              <w:jc w:val="center"/>
              <w:rPr>
                <w:rStyle w:val="normaltextrun"/>
                <w:rFonts w:ascii="Aptos" w:hAnsi="Aptos" w:cs="Segoe UI"/>
                <w:sz w:val="22"/>
                <w:szCs w:val="22"/>
                <w:lang w:val="en-GB"/>
              </w:rPr>
            </w:pPr>
            <w:r w:rsidRPr="00553827">
              <w:rPr>
                <w:rStyle w:val="normaltextrun"/>
                <w:rFonts w:ascii="Aptos" w:hAnsi="Aptos" w:cs="Segoe UI"/>
                <w:sz w:val="22"/>
                <w:szCs w:val="22"/>
                <w:lang w:val="en-GB"/>
              </w:rPr>
              <w:t>(64.8-119.8)</w:t>
            </w:r>
            <w:r w:rsidRPr="00553827"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</w:tc>
      </w:tr>
      <w:tr w:rsidR="001E6012" w:rsidRPr="00553827" w14:paraId="0562E9E1" w14:textId="77777777" w:rsidTr="0048356C">
        <w:tc>
          <w:tcPr>
            <w:tcW w:w="1668" w:type="dxa"/>
          </w:tcPr>
          <w:p w14:paraId="0E9DFCCC" w14:textId="77777777" w:rsidR="001E6012" w:rsidRPr="00553827" w:rsidRDefault="001E6012" w:rsidP="00884F08">
            <w:pPr>
              <w:spacing w:line="480" w:lineRule="auto"/>
              <w:ind w:left="170" w:hanging="120"/>
              <w:rPr>
                <w:sz w:val="22"/>
                <w:szCs w:val="22"/>
                <w:lang w:val="en-GB"/>
              </w:rPr>
            </w:pPr>
            <w:r w:rsidRPr="00553827">
              <w:rPr>
                <w:sz w:val="22"/>
                <w:szCs w:val="22"/>
                <w:lang w:val="en-GB"/>
              </w:rPr>
              <w:t xml:space="preserve">   95th percentile, minutes</w:t>
            </w:r>
          </w:p>
        </w:tc>
        <w:tc>
          <w:tcPr>
            <w:tcW w:w="1247" w:type="dxa"/>
          </w:tcPr>
          <w:p w14:paraId="5DF7D627" w14:textId="77777777" w:rsidR="001E6012" w:rsidRPr="00553827" w:rsidRDefault="001E6012" w:rsidP="00884F08">
            <w:pPr>
              <w:spacing w:line="480" w:lineRule="auto"/>
              <w:jc w:val="center"/>
              <w:rPr>
                <w:rStyle w:val="normaltextrun"/>
                <w:rFonts w:ascii="Aptos" w:hAnsi="Aptos" w:cs="Segoe UI"/>
                <w:sz w:val="22"/>
                <w:szCs w:val="22"/>
                <w:lang w:val="en-GB"/>
              </w:rPr>
            </w:pPr>
            <w:r w:rsidRPr="00553827">
              <w:rPr>
                <w:rStyle w:val="normaltextrun"/>
                <w:rFonts w:ascii="Aptos" w:hAnsi="Aptos" w:cs="Segoe UI"/>
                <w:sz w:val="22"/>
                <w:szCs w:val="22"/>
                <w:lang w:val="en-GB"/>
              </w:rPr>
              <w:t>84.1 </w:t>
            </w:r>
          </w:p>
          <w:p w14:paraId="07DF9147" w14:textId="77777777" w:rsidR="001E6012" w:rsidRPr="00553827" w:rsidRDefault="001E6012" w:rsidP="00884F08">
            <w:pPr>
              <w:spacing w:line="480" w:lineRule="auto"/>
              <w:jc w:val="center"/>
              <w:rPr>
                <w:rFonts w:ascii="Aptos" w:hAnsi="Aptos" w:cs="Segoe UI"/>
                <w:sz w:val="22"/>
                <w:szCs w:val="22"/>
                <w:lang w:val="en-GB"/>
              </w:rPr>
            </w:pPr>
            <w:r w:rsidRPr="00553827">
              <w:rPr>
                <w:rStyle w:val="normaltextrun"/>
                <w:rFonts w:ascii="Aptos" w:hAnsi="Aptos" w:cs="Segoe UI"/>
                <w:sz w:val="22"/>
                <w:szCs w:val="22"/>
                <w:lang w:val="en-GB"/>
              </w:rPr>
              <w:t>(44.8-193.0)</w:t>
            </w:r>
            <w:r w:rsidRPr="00553827"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</w:tc>
        <w:tc>
          <w:tcPr>
            <w:tcW w:w="1247" w:type="dxa"/>
          </w:tcPr>
          <w:p w14:paraId="26D514FB" w14:textId="77777777" w:rsidR="001E6012" w:rsidRPr="00553827" w:rsidRDefault="001E6012" w:rsidP="00884F08">
            <w:pPr>
              <w:spacing w:line="480" w:lineRule="auto"/>
              <w:jc w:val="center"/>
              <w:rPr>
                <w:rStyle w:val="normaltextrun"/>
                <w:rFonts w:ascii="Aptos" w:hAnsi="Aptos" w:cs="Segoe UI"/>
                <w:sz w:val="22"/>
                <w:szCs w:val="22"/>
                <w:lang w:val="en-GB"/>
              </w:rPr>
            </w:pPr>
            <w:r w:rsidRPr="00553827">
              <w:rPr>
                <w:rStyle w:val="normaltextrun"/>
                <w:rFonts w:ascii="Aptos" w:hAnsi="Aptos" w:cs="Segoe UI"/>
                <w:sz w:val="22"/>
                <w:szCs w:val="22"/>
                <w:lang w:val="en-GB"/>
              </w:rPr>
              <w:t>24.7 </w:t>
            </w:r>
          </w:p>
          <w:p w14:paraId="57929FE6" w14:textId="77777777" w:rsidR="001E6012" w:rsidRPr="00553827" w:rsidRDefault="001E6012" w:rsidP="00884F08">
            <w:pPr>
              <w:spacing w:line="480" w:lineRule="auto"/>
              <w:jc w:val="center"/>
              <w:rPr>
                <w:sz w:val="22"/>
                <w:szCs w:val="22"/>
                <w:lang w:val="en-GB"/>
              </w:rPr>
            </w:pPr>
            <w:r w:rsidRPr="00553827">
              <w:rPr>
                <w:rStyle w:val="normaltextrun"/>
                <w:rFonts w:ascii="Aptos" w:hAnsi="Aptos" w:cs="Segoe UI"/>
                <w:sz w:val="22"/>
                <w:szCs w:val="22"/>
                <w:lang w:val="en-GB"/>
              </w:rPr>
              <w:t>(15.1-36.0)</w:t>
            </w:r>
            <w:r w:rsidRPr="00553827"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</w:tc>
        <w:tc>
          <w:tcPr>
            <w:tcW w:w="1248" w:type="dxa"/>
          </w:tcPr>
          <w:p w14:paraId="2F0D15AB" w14:textId="77777777" w:rsidR="001E6012" w:rsidRPr="00553827" w:rsidRDefault="001E6012" w:rsidP="00884F08">
            <w:pPr>
              <w:spacing w:line="480" w:lineRule="auto"/>
              <w:jc w:val="center"/>
              <w:rPr>
                <w:rStyle w:val="normaltextrun"/>
                <w:rFonts w:ascii="Aptos" w:hAnsi="Aptos" w:cs="Segoe UI"/>
                <w:sz w:val="22"/>
                <w:szCs w:val="22"/>
                <w:lang w:val="en-GB"/>
              </w:rPr>
            </w:pPr>
            <w:r w:rsidRPr="00553827">
              <w:rPr>
                <w:rStyle w:val="normaltextrun"/>
                <w:rFonts w:ascii="Aptos" w:hAnsi="Aptos" w:cs="Segoe UI"/>
                <w:sz w:val="22"/>
                <w:szCs w:val="22"/>
                <w:lang w:val="en-GB"/>
              </w:rPr>
              <w:t>14.6 </w:t>
            </w:r>
          </w:p>
          <w:p w14:paraId="2405162B" w14:textId="77777777" w:rsidR="001E6012" w:rsidRPr="00553827" w:rsidRDefault="001E6012" w:rsidP="00884F08">
            <w:pPr>
              <w:spacing w:line="480" w:lineRule="auto"/>
              <w:jc w:val="center"/>
              <w:rPr>
                <w:sz w:val="22"/>
                <w:szCs w:val="22"/>
                <w:lang w:val="en-GB"/>
              </w:rPr>
            </w:pPr>
            <w:r w:rsidRPr="00553827">
              <w:rPr>
                <w:rStyle w:val="normaltextrun"/>
                <w:rFonts w:ascii="Aptos" w:hAnsi="Aptos" w:cs="Segoe UI"/>
                <w:sz w:val="22"/>
                <w:szCs w:val="22"/>
                <w:lang w:val="en-GB"/>
              </w:rPr>
              <w:t>(10.5-19.5)</w:t>
            </w:r>
            <w:r w:rsidRPr="00553827"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</w:tc>
        <w:tc>
          <w:tcPr>
            <w:tcW w:w="1247" w:type="dxa"/>
          </w:tcPr>
          <w:p w14:paraId="72302950" w14:textId="77777777" w:rsidR="001E6012" w:rsidRPr="00553827" w:rsidRDefault="001E6012" w:rsidP="00884F08">
            <w:pPr>
              <w:spacing w:line="480" w:lineRule="auto"/>
              <w:jc w:val="center"/>
              <w:rPr>
                <w:rStyle w:val="normaltextrun"/>
                <w:rFonts w:ascii="Aptos" w:hAnsi="Aptos" w:cs="Segoe UI"/>
                <w:sz w:val="22"/>
                <w:szCs w:val="22"/>
                <w:lang w:val="en-GB"/>
              </w:rPr>
            </w:pPr>
            <w:r w:rsidRPr="00553827">
              <w:rPr>
                <w:rStyle w:val="normaltextrun"/>
                <w:rFonts w:ascii="Aptos" w:hAnsi="Aptos" w:cs="Segoe UI"/>
                <w:sz w:val="22"/>
                <w:szCs w:val="22"/>
                <w:lang w:val="en-GB"/>
              </w:rPr>
              <w:t>89.3 </w:t>
            </w:r>
          </w:p>
          <w:p w14:paraId="3CADDD05" w14:textId="77777777" w:rsidR="001E6012" w:rsidRPr="00553827" w:rsidRDefault="001E6012" w:rsidP="00884F08">
            <w:pPr>
              <w:spacing w:line="480" w:lineRule="auto"/>
              <w:jc w:val="center"/>
              <w:rPr>
                <w:rFonts w:ascii="Aptos" w:hAnsi="Aptos" w:cs="Segoe UI"/>
                <w:sz w:val="22"/>
                <w:szCs w:val="22"/>
                <w:lang w:val="en-GB"/>
              </w:rPr>
            </w:pPr>
            <w:r w:rsidRPr="00553827">
              <w:rPr>
                <w:rStyle w:val="normaltextrun"/>
                <w:rFonts w:ascii="Aptos" w:hAnsi="Aptos" w:cs="Segoe UI"/>
                <w:sz w:val="22"/>
                <w:szCs w:val="22"/>
                <w:lang w:val="en-GB"/>
              </w:rPr>
              <w:t>(38.4-161.1)</w:t>
            </w:r>
            <w:r w:rsidRPr="00553827"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</w:tc>
        <w:tc>
          <w:tcPr>
            <w:tcW w:w="1247" w:type="dxa"/>
          </w:tcPr>
          <w:p w14:paraId="7504E580" w14:textId="77777777" w:rsidR="001E6012" w:rsidRPr="00553827" w:rsidRDefault="001E6012" w:rsidP="00884F08">
            <w:pPr>
              <w:spacing w:line="480" w:lineRule="auto"/>
              <w:jc w:val="center"/>
              <w:rPr>
                <w:rStyle w:val="normaltextrun"/>
                <w:rFonts w:ascii="Aptos" w:hAnsi="Aptos" w:cs="Segoe UI"/>
                <w:sz w:val="22"/>
                <w:szCs w:val="22"/>
                <w:lang w:val="en-GB"/>
              </w:rPr>
            </w:pPr>
            <w:r w:rsidRPr="00553827">
              <w:rPr>
                <w:rStyle w:val="normaltextrun"/>
                <w:rFonts w:ascii="Aptos" w:hAnsi="Aptos" w:cs="Segoe UI"/>
                <w:sz w:val="22"/>
                <w:szCs w:val="22"/>
                <w:lang w:val="en-GB"/>
              </w:rPr>
              <w:t>23.9 </w:t>
            </w:r>
          </w:p>
          <w:p w14:paraId="57E553CA" w14:textId="77777777" w:rsidR="001E6012" w:rsidRPr="00553827" w:rsidRDefault="001E6012" w:rsidP="00884F08">
            <w:pPr>
              <w:spacing w:line="480" w:lineRule="auto"/>
              <w:jc w:val="center"/>
              <w:rPr>
                <w:sz w:val="22"/>
                <w:szCs w:val="22"/>
                <w:lang w:val="en-GB"/>
              </w:rPr>
            </w:pPr>
            <w:r w:rsidRPr="00553827">
              <w:rPr>
                <w:rStyle w:val="normaltextrun"/>
                <w:rFonts w:ascii="Aptos" w:hAnsi="Aptos" w:cs="Segoe UI"/>
                <w:sz w:val="22"/>
                <w:szCs w:val="22"/>
                <w:lang w:val="en-GB"/>
              </w:rPr>
              <w:t>(17.1-32.3)</w:t>
            </w:r>
            <w:r w:rsidRPr="00553827"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</w:tc>
        <w:tc>
          <w:tcPr>
            <w:tcW w:w="1248" w:type="dxa"/>
          </w:tcPr>
          <w:p w14:paraId="13CC42A1" w14:textId="77777777" w:rsidR="001E6012" w:rsidRPr="00553827" w:rsidRDefault="001E6012" w:rsidP="00884F08">
            <w:pPr>
              <w:spacing w:line="480" w:lineRule="auto"/>
              <w:jc w:val="center"/>
              <w:rPr>
                <w:rStyle w:val="normaltextrun"/>
                <w:rFonts w:ascii="Aptos" w:hAnsi="Aptos" w:cs="Segoe UI"/>
                <w:sz w:val="22"/>
                <w:szCs w:val="22"/>
                <w:lang w:val="en-GB"/>
              </w:rPr>
            </w:pPr>
            <w:r w:rsidRPr="00553827">
              <w:rPr>
                <w:rStyle w:val="normaltextrun"/>
                <w:rFonts w:ascii="Aptos" w:hAnsi="Aptos" w:cs="Segoe UI"/>
                <w:sz w:val="22"/>
                <w:szCs w:val="22"/>
                <w:lang w:val="en-GB"/>
              </w:rPr>
              <w:t>15.6 *</w:t>
            </w:r>
          </w:p>
          <w:p w14:paraId="1E24D097" w14:textId="77777777" w:rsidR="001E6012" w:rsidRPr="00553827" w:rsidRDefault="001E6012" w:rsidP="00884F08">
            <w:pPr>
              <w:spacing w:line="480" w:lineRule="auto"/>
              <w:jc w:val="center"/>
              <w:rPr>
                <w:sz w:val="22"/>
                <w:szCs w:val="22"/>
                <w:lang w:val="en-GB"/>
              </w:rPr>
            </w:pPr>
            <w:r w:rsidRPr="00553827">
              <w:rPr>
                <w:rStyle w:val="normaltextrun"/>
                <w:rFonts w:ascii="Aptos" w:hAnsi="Aptos" w:cs="Segoe UI"/>
                <w:sz w:val="22"/>
                <w:szCs w:val="22"/>
                <w:lang w:val="en-GB"/>
              </w:rPr>
              <w:t>(11.4-22.5)</w:t>
            </w:r>
            <w:r w:rsidRPr="00553827"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</w:tc>
      </w:tr>
      <w:tr w:rsidR="001E6012" w:rsidRPr="00553827" w14:paraId="068D31AA" w14:textId="77777777" w:rsidTr="0048356C">
        <w:tc>
          <w:tcPr>
            <w:tcW w:w="1668" w:type="dxa"/>
          </w:tcPr>
          <w:p w14:paraId="3EB318FB" w14:textId="77777777" w:rsidR="001E6012" w:rsidRPr="00553827" w:rsidRDefault="001E6012" w:rsidP="00884F08">
            <w:pPr>
              <w:spacing w:line="480" w:lineRule="auto"/>
              <w:ind w:left="170"/>
              <w:rPr>
                <w:sz w:val="22"/>
                <w:szCs w:val="22"/>
                <w:lang w:val="en-GB"/>
              </w:rPr>
            </w:pPr>
            <w:r w:rsidRPr="00553827">
              <w:rPr>
                <w:sz w:val="22"/>
                <w:szCs w:val="22"/>
                <w:lang w:val="en-GB"/>
              </w:rPr>
              <w:t>Maximum, minutes</w:t>
            </w:r>
          </w:p>
        </w:tc>
        <w:tc>
          <w:tcPr>
            <w:tcW w:w="1247" w:type="dxa"/>
          </w:tcPr>
          <w:p w14:paraId="77D23085" w14:textId="77777777" w:rsidR="001E6012" w:rsidRPr="00553827" w:rsidRDefault="001E6012" w:rsidP="00884F08">
            <w:pPr>
              <w:spacing w:line="480" w:lineRule="auto"/>
              <w:jc w:val="center"/>
              <w:rPr>
                <w:sz w:val="22"/>
                <w:szCs w:val="22"/>
                <w:lang w:val="en-GB"/>
              </w:rPr>
            </w:pPr>
            <w:r w:rsidRPr="00553827">
              <w:rPr>
                <w:rStyle w:val="normaltextrun"/>
                <w:rFonts w:ascii="Aptos" w:hAnsi="Aptos" w:cs="Segoe UI"/>
                <w:sz w:val="22"/>
                <w:szCs w:val="22"/>
                <w:lang w:val="en-GB"/>
              </w:rPr>
              <w:t>310.4 (212.4-489.1)</w:t>
            </w:r>
            <w:r w:rsidRPr="00553827"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</w:tc>
        <w:tc>
          <w:tcPr>
            <w:tcW w:w="1247" w:type="dxa"/>
          </w:tcPr>
          <w:p w14:paraId="559C4844" w14:textId="77777777" w:rsidR="001E6012" w:rsidRPr="00553827" w:rsidRDefault="001E6012" w:rsidP="00884F08">
            <w:pPr>
              <w:spacing w:line="480" w:lineRule="auto"/>
              <w:jc w:val="center"/>
              <w:rPr>
                <w:sz w:val="22"/>
                <w:szCs w:val="22"/>
                <w:lang w:val="en-GB"/>
              </w:rPr>
            </w:pPr>
            <w:r w:rsidRPr="00553827">
              <w:rPr>
                <w:rStyle w:val="normaltextrun"/>
                <w:rFonts w:ascii="Aptos" w:hAnsi="Aptos" w:cs="Segoe UI"/>
                <w:sz w:val="22"/>
                <w:szCs w:val="22"/>
                <w:lang w:val="en-GB"/>
              </w:rPr>
              <w:t>186.8 (156.4-250.2)</w:t>
            </w:r>
            <w:r w:rsidRPr="00553827"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</w:tc>
        <w:tc>
          <w:tcPr>
            <w:tcW w:w="1248" w:type="dxa"/>
          </w:tcPr>
          <w:p w14:paraId="678D2C8C" w14:textId="77777777" w:rsidR="001E6012" w:rsidRPr="00553827" w:rsidRDefault="001E6012" w:rsidP="00884F08">
            <w:pPr>
              <w:spacing w:line="480" w:lineRule="auto"/>
              <w:jc w:val="center"/>
              <w:rPr>
                <w:sz w:val="22"/>
                <w:szCs w:val="22"/>
                <w:lang w:val="en-GB"/>
              </w:rPr>
            </w:pPr>
            <w:r w:rsidRPr="00553827">
              <w:rPr>
                <w:rStyle w:val="normaltextrun"/>
                <w:rFonts w:ascii="Aptos" w:hAnsi="Aptos" w:cs="Segoe UI"/>
                <w:sz w:val="22"/>
                <w:szCs w:val="22"/>
                <w:lang w:val="en-GB"/>
              </w:rPr>
              <w:t>176.5 (144.8-215.7)</w:t>
            </w:r>
            <w:r w:rsidRPr="00553827"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</w:tc>
        <w:tc>
          <w:tcPr>
            <w:tcW w:w="1247" w:type="dxa"/>
          </w:tcPr>
          <w:p w14:paraId="2DF2DA84" w14:textId="77777777" w:rsidR="001E6012" w:rsidRPr="00553827" w:rsidRDefault="001E6012" w:rsidP="00884F08">
            <w:pPr>
              <w:spacing w:line="480" w:lineRule="auto"/>
              <w:jc w:val="center"/>
              <w:rPr>
                <w:sz w:val="22"/>
                <w:szCs w:val="22"/>
                <w:lang w:val="en-GB"/>
              </w:rPr>
            </w:pPr>
            <w:r w:rsidRPr="00553827">
              <w:rPr>
                <w:rStyle w:val="normaltextrun"/>
                <w:rFonts w:ascii="Aptos" w:hAnsi="Aptos" w:cs="Segoe UI"/>
                <w:sz w:val="22"/>
                <w:szCs w:val="22"/>
                <w:lang w:val="en-GB"/>
              </w:rPr>
              <w:t>280.8 (204.5-390.2)</w:t>
            </w:r>
            <w:r w:rsidRPr="00553827"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</w:tc>
        <w:tc>
          <w:tcPr>
            <w:tcW w:w="1247" w:type="dxa"/>
          </w:tcPr>
          <w:p w14:paraId="58B5C3C2" w14:textId="77777777" w:rsidR="001E6012" w:rsidRPr="00553827" w:rsidRDefault="001E6012" w:rsidP="00884F08">
            <w:pPr>
              <w:spacing w:line="480" w:lineRule="auto"/>
              <w:jc w:val="center"/>
              <w:rPr>
                <w:sz w:val="22"/>
                <w:szCs w:val="22"/>
                <w:lang w:val="en-GB"/>
              </w:rPr>
            </w:pPr>
            <w:r w:rsidRPr="00553827">
              <w:rPr>
                <w:rStyle w:val="normaltextrun"/>
                <w:rFonts w:ascii="Aptos" w:hAnsi="Aptos" w:cs="Segoe UI"/>
                <w:sz w:val="22"/>
                <w:szCs w:val="22"/>
                <w:lang w:val="en-GB"/>
              </w:rPr>
              <w:t>201.1 (157.5-246.4)</w:t>
            </w:r>
            <w:r w:rsidRPr="00553827"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</w:tc>
        <w:tc>
          <w:tcPr>
            <w:tcW w:w="1248" w:type="dxa"/>
          </w:tcPr>
          <w:p w14:paraId="5023C018" w14:textId="77777777" w:rsidR="001E6012" w:rsidRPr="00553827" w:rsidRDefault="001E6012" w:rsidP="00884F08">
            <w:pPr>
              <w:spacing w:line="480" w:lineRule="auto"/>
              <w:jc w:val="center"/>
              <w:rPr>
                <w:sz w:val="22"/>
                <w:szCs w:val="22"/>
                <w:lang w:val="en-GB"/>
              </w:rPr>
            </w:pPr>
            <w:r w:rsidRPr="00553827">
              <w:rPr>
                <w:rStyle w:val="normaltextrun"/>
                <w:rFonts w:ascii="Aptos" w:hAnsi="Aptos" w:cs="Segoe UI"/>
                <w:sz w:val="22"/>
                <w:szCs w:val="22"/>
                <w:lang w:val="en-GB"/>
              </w:rPr>
              <w:t>170.6 * (137.8-206.1)</w:t>
            </w:r>
            <w:r w:rsidRPr="00553827"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</w:tc>
      </w:tr>
    </w:tbl>
    <w:p w14:paraId="71B6EB2C" w14:textId="1A7FF3A8" w:rsidR="001E6012" w:rsidRPr="003C053A" w:rsidRDefault="00A94320" w:rsidP="001E6012">
      <w:pPr>
        <w:spacing w:line="480" w:lineRule="auto"/>
        <w:ind w:left="720"/>
        <w:rPr>
          <w:sz w:val="22"/>
          <w:szCs w:val="22"/>
          <w:lang w:val="en-GB"/>
        </w:rPr>
      </w:pPr>
      <w:r>
        <w:rPr>
          <w:sz w:val="22"/>
          <w:szCs w:val="22"/>
          <w:vertAlign w:val="superscript"/>
          <w:lang w:val="en-GB"/>
        </w:rPr>
        <w:t>a</w:t>
      </w:r>
      <w:r w:rsidR="001E6012" w:rsidRPr="49343AA5">
        <w:rPr>
          <w:sz w:val="22"/>
          <w:szCs w:val="22"/>
          <w:lang w:val="en-GB"/>
        </w:rPr>
        <w:t>Q1-Q3: 25</w:t>
      </w:r>
      <w:r w:rsidR="001E6012" w:rsidRPr="49343AA5">
        <w:rPr>
          <w:sz w:val="22"/>
          <w:szCs w:val="22"/>
          <w:vertAlign w:val="superscript"/>
          <w:lang w:val="en-GB"/>
        </w:rPr>
        <w:t>th</w:t>
      </w:r>
      <w:r w:rsidR="001E6012" w:rsidRPr="49343AA5">
        <w:rPr>
          <w:sz w:val="22"/>
          <w:szCs w:val="22"/>
          <w:lang w:val="en-GB"/>
        </w:rPr>
        <w:t>-75</w:t>
      </w:r>
      <w:r w:rsidR="001E6012" w:rsidRPr="49343AA5">
        <w:rPr>
          <w:sz w:val="22"/>
          <w:szCs w:val="22"/>
          <w:vertAlign w:val="superscript"/>
          <w:lang w:val="en-GB"/>
        </w:rPr>
        <w:t>th</w:t>
      </w:r>
      <w:r w:rsidR="001E6012" w:rsidRPr="49343AA5">
        <w:rPr>
          <w:sz w:val="22"/>
          <w:szCs w:val="22"/>
          <w:lang w:val="en-GB"/>
        </w:rPr>
        <w:t xml:space="preserve"> percentiles. </w:t>
      </w:r>
      <w:r w:rsidR="001E6012">
        <w:br/>
      </w:r>
      <w:proofErr w:type="spellStart"/>
      <w:r w:rsidR="009B3445">
        <w:rPr>
          <w:sz w:val="22"/>
          <w:szCs w:val="22"/>
          <w:vertAlign w:val="superscript"/>
          <w:lang w:val="en-GB"/>
        </w:rPr>
        <w:t>b</w:t>
      </w:r>
      <w:r w:rsidR="001E6012" w:rsidRPr="49343AA5">
        <w:rPr>
          <w:sz w:val="22"/>
          <w:szCs w:val="22"/>
          <w:lang w:val="en-GB"/>
        </w:rPr>
        <w:t>IQR</w:t>
      </w:r>
      <w:proofErr w:type="spellEnd"/>
      <w:r w:rsidR="001E6012" w:rsidRPr="49343AA5">
        <w:rPr>
          <w:sz w:val="22"/>
          <w:szCs w:val="22"/>
          <w:lang w:val="en-GB"/>
        </w:rPr>
        <w:t>: Inter-quartile range.</w:t>
      </w:r>
      <w:r w:rsidR="001E6012">
        <w:br/>
      </w:r>
      <w:r w:rsidR="001E6012" w:rsidRPr="49343AA5">
        <w:rPr>
          <w:sz w:val="22"/>
          <w:szCs w:val="22"/>
        </w:rPr>
        <w:t>*Significant difference between women and men, tested using Mann-Whitney U tests (p&lt;0.05).</w:t>
      </w:r>
    </w:p>
    <w:p w14:paraId="5ABB4876" w14:textId="77777777" w:rsidR="00CB7314" w:rsidRPr="001E6012" w:rsidRDefault="00CB7314">
      <w:pPr>
        <w:rPr>
          <w:lang w:val="en-GB"/>
        </w:rPr>
      </w:pPr>
    </w:p>
    <w:sectPr w:rsidR="00CB7314" w:rsidRPr="001E60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314"/>
    <w:rsid w:val="00016D1A"/>
    <w:rsid w:val="000A0849"/>
    <w:rsid w:val="001E6012"/>
    <w:rsid w:val="00302046"/>
    <w:rsid w:val="0048356C"/>
    <w:rsid w:val="00510F31"/>
    <w:rsid w:val="00514EC7"/>
    <w:rsid w:val="007162A7"/>
    <w:rsid w:val="009B3445"/>
    <w:rsid w:val="00A94320"/>
    <w:rsid w:val="00CB7314"/>
    <w:rsid w:val="00E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BB72F"/>
  <w15:chartTrackingRefBased/>
  <w15:docId w15:val="{46142DAC-13D5-4E30-9E72-DAC069AB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012"/>
    <w:pPr>
      <w:spacing w:line="279" w:lineRule="auto"/>
    </w:pPr>
    <w:rPr>
      <w:rFonts w:eastAsiaTheme="minorEastAsia"/>
      <w:kern w:val="0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73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3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3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3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3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3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3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3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3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3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3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3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3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3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3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3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73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7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3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7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73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73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73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3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3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73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B7314"/>
    <w:pPr>
      <w:spacing w:after="0" w:line="240" w:lineRule="auto"/>
    </w:pPr>
    <w:rPr>
      <w:rFonts w:eastAsiaTheme="minorEastAsia"/>
      <w:kern w:val="0"/>
      <w:lang w:val="en-US"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CB73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7314"/>
    <w:rPr>
      <w:rFonts w:eastAsiaTheme="minorEastAsia"/>
      <w:kern w:val="0"/>
      <w:sz w:val="20"/>
      <w:szCs w:val="20"/>
      <w:lang w:val="en-US" w:eastAsia="ja-JP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B7314"/>
    <w:rPr>
      <w:sz w:val="16"/>
      <w:szCs w:val="16"/>
    </w:rPr>
  </w:style>
  <w:style w:type="character" w:customStyle="1" w:styleId="normaltextrun">
    <w:name w:val="normaltextrun"/>
    <w:basedOn w:val="DefaultParagraphFont"/>
    <w:rsid w:val="00CB7314"/>
  </w:style>
  <w:style w:type="character" w:customStyle="1" w:styleId="eop">
    <w:name w:val="eop"/>
    <w:basedOn w:val="DefaultParagraphFont"/>
    <w:rsid w:val="00CB7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Blix Grønvik</dc:creator>
  <cp:keywords/>
  <dc:description/>
  <cp:lastModifiedBy>Karoline Blix Grønvik</cp:lastModifiedBy>
  <cp:revision>4</cp:revision>
  <dcterms:created xsi:type="dcterms:W3CDTF">2026-05-22T08:33:00Z</dcterms:created>
  <dcterms:modified xsi:type="dcterms:W3CDTF">2026-05-26T08:42:00Z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232ab50a-3efa-41f8-874d-1ba7d8ff8de8</vt:lpwstr>
  </property>
</Properties>
</file>