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71DD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center"/>
        <w:textAlignment w:val="auto"/>
        <w:rPr>
          <w:rFonts w:hint="default" w:ascii="Times New Roman Regular" w:hAnsi="Times New Roman Regular" w:cs="Times New Roman Regular"/>
          <w:vertAlign w:val="baseline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vertAlign w:val="baseline"/>
          <w:lang w:val="en-US" w:eastAsia="zh-CN"/>
        </w:rPr>
        <w:t xml:space="preserve">Supplementary </w:t>
      </w:r>
      <w:r>
        <w:rPr>
          <w:rFonts w:hint="eastAsia" w:ascii="Times New Roman Bold" w:hAnsi="Times New Roman Bold" w:cs="Times New Roman Bold"/>
          <w:b/>
          <w:bCs/>
          <w:vertAlign w:val="baseline"/>
          <w:lang w:val="en-US" w:eastAsia="zh-CN"/>
        </w:rPr>
        <w:t>Ta</w:t>
      </w:r>
      <w:r>
        <w:rPr>
          <w:rFonts w:hint="default" w:ascii="Times New Roman Bold" w:hAnsi="Times New Roman Bold" w:cs="Times New Roman Bold"/>
          <w:b/>
          <w:bCs/>
          <w:vertAlign w:val="baseline"/>
          <w:lang w:val="en-US" w:eastAsia="zh-CN"/>
        </w:rPr>
        <w:t xml:space="preserve">ble </w:t>
      </w:r>
      <w:r>
        <w:rPr>
          <w:rFonts w:hint="eastAsia" w:ascii="Times New Roman Bold" w:hAnsi="Times New Roman Bold" w:cs="Times New Roman Bold"/>
          <w:b/>
          <w:bCs/>
          <w:vertAlign w:val="baseline"/>
          <w:lang w:val="en-US" w:eastAsia="zh-CN"/>
        </w:rPr>
        <w:t>1</w:t>
      </w:r>
      <w:r>
        <w:rPr>
          <w:rFonts w:hint="default" w:ascii="Times New Roman Bold" w:hAnsi="Times New Roman Bold" w:cs="Times New Roman Bold"/>
          <w:b/>
          <w:bCs/>
          <w:vertAlign w:val="baseline"/>
          <w:lang w:val="en-US" w:eastAsia="zh-CN"/>
        </w:rPr>
        <w:t xml:space="preserve">  Procurement volumes (in DDDs) of 19 rare disease drugs before and after policy implementation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 w14:paraId="49965C1A">
        <w:tc>
          <w:tcPr>
            <w:tcW w:w="1704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2228BFB2">
            <w:pPr>
              <w:jc w:val="left"/>
              <w:rPr>
                <w:rFonts w:hint="default" w:ascii="Times New Roman Bold" w:hAnsi="Times New Roman Bold" w:cs="Times New Roman Bold" w:eastAsiaTheme="minorEastAsia"/>
                <w:b/>
                <w:bCs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 w:val="0"/>
                <w:color w:val="000000"/>
                <w:vertAlign w:val="baseline"/>
                <w:lang w:val="en-US" w:eastAsia="zh-CN"/>
              </w:rPr>
              <w:t>Drug</w:t>
            </w:r>
          </w:p>
        </w:tc>
        <w:tc>
          <w:tcPr>
            <w:tcW w:w="1704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AEFD3C6">
            <w:pPr>
              <w:jc w:val="left"/>
              <w:rPr>
                <w:rFonts w:hint="default" w:ascii="Times New Roman Bold" w:hAnsi="Times New Roman Bold" w:cs="Times New Roman Bold"/>
                <w:b/>
                <w:bCs w:val="0"/>
                <w:color w:val="000000"/>
                <w:vertAlign w:val="baseline"/>
                <w:lang w:val="en-US"/>
              </w:rPr>
            </w:pPr>
            <w:r>
              <w:rPr>
                <w:rFonts w:hint="default" w:ascii="Times New Roman Bold" w:hAnsi="Times New Roman Bold" w:cs="Times New Roman Bold"/>
                <w:b/>
                <w:bCs w:val="0"/>
                <w:color w:val="000000"/>
                <w:vertAlign w:val="baseline"/>
                <w:lang w:val="en-US"/>
              </w:rPr>
              <w:t>Time of inclusion</w:t>
            </w:r>
          </w:p>
          <w:p w14:paraId="71DA3A6F">
            <w:pPr>
              <w:jc w:val="left"/>
              <w:rPr>
                <w:rFonts w:hint="default" w:ascii="Times New Roman Bold" w:hAnsi="Times New Roman Bold" w:cs="Times New Roman Bold" w:eastAsiaTheme="minorEastAsia"/>
                <w:b/>
                <w:bCs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 w:val="0"/>
                <w:color w:val="000000"/>
                <w:vertAlign w:val="baseline"/>
                <w:lang w:val="en-US"/>
              </w:rPr>
              <w:t>in the NRDN</w:t>
            </w:r>
          </w:p>
        </w:tc>
        <w:tc>
          <w:tcPr>
            <w:tcW w:w="5114" w:type="dxa"/>
            <w:gridSpan w:val="3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9646CEB">
            <w:pPr>
              <w:jc w:val="left"/>
              <w:rPr>
                <w:rFonts w:hint="default" w:ascii="Times New Roman Bold" w:hAnsi="Times New Roman Bold" w:cs="Times New Roman Bold" w:eastAsiaTheme="minorEastAsia"/>
                <w:b/>
                <w:bCs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 w:val="0"/>
                <w:color w:val="000000"/>
                <w:vertAlign w:val="baseline"/>
                <w:lang w:val="en-US"/>
              </w:rPr>
              <w:t>Procurement volumes (in DDDs)</w:t>
            </w:r>
          </w:p>
        </w:tc>
      </w:tr>
      <w:tr w14:paraId="7C1AA43D">
        <w:tc>
          <w:tcPr>
            <w:tcW w:w="1704" w:type="dxa"/>
            <w:vMerge w:val="continue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</w:tcPr>
          <w:p w14:paraId="592D50B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704" w:type="dxa"/>
            <w:vMerge w:val="continue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</w:tcPr>
          <w:p w14:paraId="4211C23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2B92C895">
            <w:pPr>
              <w:jc w:val="left"/>
              <w:rPr>
                <w:rFonts w:hint="default" w:ascii="Times New Roman Bold" w:hAnsi="Times New Roman Bold" w:cs="Times New Roman Bold" w:eastAsiaTheme="minorEastAsia"/>
                <w:b/>
                <w:bCs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 w:val="0"/>
                <w:color w:val="000000"/>
                <w:vertAlign w:val="baseline"/>
                <w:lang w:val="en-US"/>
              </w:rPr>
              <w:t>Before policy implementation (patient-day)</w:t>
            </w:r>
          </w:p>
        </w:tc>
        <w:tc>
          <w:tcPr>
            <w:tcW w:w="1705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21D9E5EE">
            <w:pPr>
              <w:jc w:val="left"/>
              <w:rPr>
                <w:rFonts w:hint="default" w:ascii="Times New Roman Bold" w:hAnsi="Times New Roman Bold" w:cs="Times New Roman Bold" w:eastAsiaTheme="minorEastAsia"/>
                <w:b/>
                <w:bCs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 w:val="0"/>
                <w:color w:val="000000"/>
                <w:vertAlign w:val="baseline"/>
                <w:lang w:val="en-US"/>
              </w:rPr>
              <w:t>After policy implementation (patient-day)</w:t>
            </w:r>
          </w:p>
        </w:tc>
        <w:tc>
          <w:tcPr>
            <w:tcW w:w="1705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3437DC5F">
            <w:pPr>
              <w:jc w:val="left"/>
              <w:rPr>
                <w:rFonts w:hint="default" w:ascii="Times New Roman Bold" w:hAnsi="Times New Roman Bold" w:cs="Times New Roman Bold" w:eastAsiaTheme="minorEastAsia"/>
                <w:b/>
                <w:bCs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 w:val="0"/>
                <w:color w:val="000000"/>
                <w:vertAlign w:val="baseline"/>
                <w:lang w:val="en-US"/>
              </w:rPr>
              <w:t>Rate of change (%)</w:t>
            </w:r>
          </w:p>
        </w:tc>
      </w:tr>
      <w:tr w14:paraId="291F414D">
        <w:trPr>
          <w:trHeight w:val="414" w:hRule="atLeast"/>
        </w:trPr>
        <w:tc>
          <w:tcPr>
            <w:tcW w:w="170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6C7EE5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Eptacog Alfa (Activated)</w:t>
            </w:r>
          </w:p>
        </w:tc>
        <w:tc>
          <w:tcPr>
            <w:tcW w:w="170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7B56B9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2017</w:t>
            </w:r>
          </w:p>
        </w:tc>
        <w:tc>
          <w:tcPr>
            <w:tcW w:w="170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5F2D3A">
            <w:pPr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10,490 </w:t>
            </w:r>
          </w:p>
        </w:tc>
        <w:tc>
          <w:tcPr>
            <w:tcW w:w="170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3BAD1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32,086 </w:t>
            </w:r>
          </w:p>
        </w:tc>
        <w:tc>
          <w:tcPr>
            <w:tcW w:w="170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D04AC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205.9</w:t>
            </w:r>
          </w:p>
        </w:tc>
      </w:tr>
      <w:tr w14:paraId="4CA7A67D">
        <w:trPr>
          <w:trHeight w:val="414" w:hRule="atLeast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378B96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Octreotide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D4EFB5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2018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F64C3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32,643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BCB3B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135,712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6C98B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315.7</w:t>
            </w:r>
          </w:p>
        </w:tc>
      </w:tr>
      <w:tr w14:paraId="1F1012E7">
        <w:trPr>
          <w:trHeight w:val="414" w:hRule="atLeast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89A271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Deferasirox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161711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2019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D7C1A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6,654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85DDD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138,386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7F278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1979.9</w:t>
            </w:r>
          </w:p>
        </w:tc>
      </w:tr>
      <w:tr w14:paraId="2175AE02">
        <w:trPr>
          <w:trHeight w:val="414" w:hRule="atLeast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CCA768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Bosentan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878B52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2019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86E54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26,647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36B5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41,949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8F962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57.4</w:t>
            </w:r>
          </w:p>
        </w:tc>
      </w:tr>
      <w:tr w14:paraId="6482F607">
        <w:trPr>
          <w:trHeight w:val="414" w:hRule="atLeast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39117A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Riociguat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D650E9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2019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C0708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62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50A95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45,862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DE640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73607.2</w:t>
            </w:r>
          </w:p>
        </w:tc>
      </w:tr>
      <w:tr w14:paraId="3C9BEDCE">
        <w:trPr>
          <w:trHeight w:val="414" w:hRule="atLeast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DD71F7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Macitentan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2EAE0D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2019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F048C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3C856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100,519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50E2A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2010280.0</w:t>
            </w:r>
          </w:p>
        </w:tc>
      </w:tr>
      <w:tr w14:paraId="4CF6E2F8">
        <w:trPr>
          <w:trHeight w:val="414" w:hRule="atLeast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6DC847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Teriflunomide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EE6A32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2019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C5500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30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7281E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15,951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C533E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52484.6</w:t>
            </w:r>
          </w:p>
        </w:tc>
      </w:tr>
      <w:tr w14:paraId="79F15492">
        <w:trPr>
          <w:trHeight w:val="414" w:hRule="atLeast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39B0BF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Ruxolitinib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EE1DA9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2019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0BED9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949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B53D9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111,231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01C56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11618.8</w:t>
            </w:r>
          </w:p>
        </w:tc>
      </w:tr>
      <w:tr w14:paraId="43A93C61">
        <w:trPr>
          <w:trHeight w:val="414" w:hRule="atLeast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82E0B1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Nintedanib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DCCBFA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C9D37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223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63C9B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89,543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7411E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40108.2</w:t>
            </w:r>
          </w:p>
        </w:tc>
      </w:tr>
      <w:tr w14:paraId="06FAA600">
        <w:trPr>
          <w:trHeight w:val="414" w:hRule="atLeast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C3A9A9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Fingolimod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DED0B6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608B0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58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61348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2,662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95CC7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4463.1</w:t>
            </w:r>
          </w:p>
        </w:tc>
      </w:tr>
      <w:tr w14:paraId="35E425C6">
        <w:trPr>
          <w:trHeight w:val="414" w:hRule="atLeast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9D77E0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Siponimod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2AD074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94166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16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CA6DF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20,677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8C9DC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132820.7</w:t>
            </w:r>
          </w:p>
        </w:tc>
      </w:tr>
      <w:tr w14:paraId="5D89379C">
        <w:trPr>
          <w:trHeight w:val="414" w:hRule="atLeast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FC8CC9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Agalsidase Alfa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310408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EBE34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122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9BA20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7,761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249F4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6281.0</w:t>
            </w:r>
          </w:p>
        </w:tc>
      </w:tr>
      <w:tr w14:paraId="1713B549">
        <w:trPr>
          <w:trHeight w:val="414" w:hRule="atLeast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078B74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Nusinersen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5F3D8D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E2F07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2,280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49D4A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110,937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918B8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4765.6</w:t>
            </w:r>
          </w:p>
        </w:tc>
      </w:tr>
      <w:tr w14:paraId="1AFB51D5">
        <w:trPr>
          <w:trHeight w:val="414" w:hRule="atLeast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98FEF1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Luspatercept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6D34BD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6A86A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134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1E7D9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9,922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8BE80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7310.8</w:t>
            </w:r>
          </w:p>
        </w:tc>
      </w:tr>
      <w:tr w14:paraId="66FC087F">
        <w:trPr>
          <w:trHeight w:val="414" w:hRule="atLeast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A3BB07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Ripretinib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3EFBA2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440D1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453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FD078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11,054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402CE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2338.4</w:t>
            </w:r>
          </w:p>
        </w:tc>
      </w:tr>
      <w:tr w14:paraId="6446467A">
        <w:trPr>
          <w:trHeight w:val="414" w:hRule="atLeast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A78DE5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Treprostinil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572C3E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6F726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1,063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B62BE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7,955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E97A1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648.2</w:t>
            </w:r>
          </w:p>
        </w:tc>
      </w:tr>
      <w:tr w14:paraId="7FD3C5F8">
        <w:trPr>
          <w:trHeight w:val="414" w:hRule="atLeast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9527D0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Ofatumumab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B66898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52756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343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DAD59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29,029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DBEB2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8356.1</w:t>
            </w:r>
          </w:p>
        </w:tc>
      </w:tr>
      <w:tr w14:paraId="443E96D2">
        <w:trPr>
          <w:trHeight w:val="414" w:hRule="atLeast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B90197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Dimethyl Fumarate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08A451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518A7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17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8F584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6,086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98837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35269.4</w:t>
            </w:r>
          </w:p>
        </w:tc>
      </w:tr>
      <w:tr w14:paraId="3DAA94C9">
        <w:trPr>
          <w:trHeight w:val="414" w:hRule="atLeast"/>
        </w:trPr>
        <w:tc>
          <w:tcPr>
            <w:tcW w:w="17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7A5D39C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Risdiplam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52D8A892">
            <w:pPr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2022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C14EA2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135 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3A1111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13,330 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F2668F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1"/>
                <w:szCs w:val="21"/>
                <w:lang w:val="en-US" w:eastAsia="zh-CN" w:bidi="ar"/>
              </w:rPr>
              <w:t>9773.9</w:t>
            </w:r>
          </w:p>
        </w:tc>
      </w:tr>
    </w:tbl>
    <w:p w14:paraId="573D5D4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565F56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hint="default"/>
          <w:lang w:val="en-US" w:eastAsia="zh-CN"/>
        </w:rPr>
      </w:pPr>
    </w:p>
    <w:p w14:paraId="14314E01">
      <w:pPr>
        <w:keepNext w:val="0"/>
        <w:keepLines w:val="0"/>
        <w:widowControl/>
        <w:suppressLineNumbers w:val="0"/>
        <w:spacing w:line="360" w:lineRule="auto"/>
        <w:jc w:val="center"/>
        <w:rPr>
          <w:rFonts w:hint="default" w:ascii="Times New Roman Regular" w:hAnsi="Times New Roman Regular" w:eastAsia="宋体" w:cs="Times New Roman Regular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 Bold" w:hAnsi="Times New Roman Bold" w:cs="Times New Roman Bold"/>
          <w:b/>
          <w:bCs/>
          <w:vertAlign w:val="baseline"/>
          <w:lang w:val="en-US" w:eastAsia="zh-CN"/>
        </w:rPr>
        <w:t xml:space="preserve">Supplementary </w:t>
      </w:r>
      <w:r>
        <w:rPr>
          <w:rFonts w:hint="eastAsia" w:ascii="Times New Roman Bold" w:hAnsi="Times New Roman Bold" w:cs="Times New Roman Bold"/>
          <w:b/>
          <w:bCs/>
          <w:vertAlign w:val="baseline"/>
          <w:lang w:val="en-US" w:eastAsia="zh-CN"/>
        </w:rPr>
        <w:t>Ta</w:t>
      </w:r>
      <w:r>
        <w:rPr>
          <w:rFonts w:hint="default" w:ascii="Times New Roman Bold" w:hAnsi="Times New Roman Bold" w:cs="Times New Roman Bold"/>
          <w:b/>
          <w:bCs/>
          <w:vertAlign w:val="baseline"/>
          <w:lang w:val="en-US" w:eastAsia="zh-CN"/>
        </w:rPr>
        <w:t xml:space="preserve">ble </w:t>
      </w:r>
      <w:r>
        <w:rPr>
          <w:rFonts w:hint="eastAsia" w:ascii="Times New Roman Bold" w:hAnsi="Times New Roman Bold" w:cs="Times New Roman Bold"/>
          <w:b/>
          <w:bCs/>
          <w:vertAlign w:val="baseline"/>
          <w:lang w:val="en-US" w:eastAsia="zh-CN"/>
        </w:rPr>
        <w:t>2</w:t>
      </w:r>
      <w:r>
        <w:rPr>
          <w:rFonts w:hint="default" w:ascii="Times New Roman Bold" w:hAnsi="Times New Roman Bold" w:cs="Times New Roman Bold"/>
          <w:b/>
          <w:bCs/>
          <w:vertAlign w:val="baseline"/>
          <w:lang w:val="en-US" w:eastAsia="zh-CN"/>
        </w:rPr>
        <w:t xml:space="preserve">  Procurement amounts of 19 rare disease drugs before and after policy implementation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2"/>
        <w:gridCol w:w="1528"/>
        <w:gridCol w:w="1880"/>
        <w:gridCol w:w="1880"/>
        <w:gridCol w:w="1552"/>
      </w:tblGrid>
      <w:tr w14:paraId="673480DD">
        <w:tc>
          <w:tcPr>
            <w:tcW w:w="1682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6A6D9731">
            <w:pPr>
              <w:jc w:val="left"/>
              <w:rPr>
                <w:rFonts w:hint="default" w:ascii="Times New Roman Bold" w:hAnsi="Times New Roman Bold" w:cs="Times New Roman Bold" w:eastAsiaTheme="minorEastAsia"/>
                <w:b/>
                <w:bCs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 w:val="0"/>
                <w:color w:val="000000"/>
                <w:vertAlign w:val="baseline"/>
                <w:lang w:val="en-US" w:eastAsia="zh-CN"/>
              </w:rPr>
              <w:t>Drug</w:t>
            </w:r>
          </w:p>
        </w:tc>
        <w:tc>
          <w:tcPr>
            <w:tcW w:w="1528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6D2C172">
            <w:pPr>
              <w:jc w:val="left"/>
              <w:rPr>
                <w:rFonts w:hint="default" w:ascii="Times New Roman Bold" w:hAnsi="Times New Roman Bold" w:cs="Times New Roman Bold"/>
                <w:b/>
                <w:bCs w:val="0"/>
                <w:color w:val="000000"/>
                <w:vertAlign w:val="baseline"/>
                <w:lang w:val="en-US"/>
              </w:rPr>
            </w:pPr>
            <w:r>
              <w:rPr>
                <w:rFonts w:hint="default" w:ascii="Times New Roman Bold" w:hAnsi="Times New Roman Bold" w:cs="Times New Roman Bold"/>
                <w:b/>
                <w:bCs w:val="0"/>
                <w:color w:val="000000"/>
                <w:vertAlign w:val="baseline"/>
                <w:lang w:val="en-US"/>
              </w:rPr>
              <w:t>Time of inclusion</w:t>
            </w:r>
          </w:p>
          <w:p w14:paraId="29B0F37E">
            <w:pPr>
              <w:jc w:val="left"/>
              <w:rPr>
                <w:rFonts w:hint="default" w:ascii="Times New Roman Bold" w:hAnsi="Times New Roman Bold" w:cs="Times New Roman Bold" w:eastAsiaTheme="minorEastAsia"/>
                <w:b/>
                <w:bCs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 w:val="0"/>
                <w:color w:val="000000"/>
                <w:vertAlign w:val="baseline"/>
                <w:lang w:val="en-US"/>
              </w:rPr>
              <w:t>in the NRDN</w:t>
            </w:r>
          </w:p>
        </w:tc>
        <w:tc>
          <w:tcPr>
            <w:tcW w:w="5312" w:type="dxa"/>
            <w:gridSpan w:val="3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5C71F8F">
            <w:pPr>
              <w:jc w:val="left"/>
              <w:rPr>
                <w:rFonts w:hint="default" w:ascii="Times New Roman Bold" w:hAnsi="Times New Roman Bold" w:cs="Times New Roman Bold" w:eastAsiaTheme="minorEastAsia"/>
                <w:b/>
                <w:bCs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 w:val="0"/>
                <w:color w:val="000000"/>
                <w:vertAlign w:val="baseline"/>
                <w:lang w:val="en-US"/>
              </w:rPr>
              <w:t>Procurement amounts</w:t>
            </w:r>
          </w:p>
        </w:tc>
      </w:tr>
      <w:tr w14:paraId="0C9E585A">
        <w:tc>
          <w:tcPr>
            <w:tcW w:w="1682" w:type="dxa"/>
            <w:vMerge w:val="continue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</w:tcPr>
          <w:p w14:paraId="3DABE8B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528" w:type="dxa"/>
            <w:vMerge w:val="continue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</w:tcPr>
          <w:p w14:paraId="44AAAA6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2AB9FC60">
            <w:pPr>
              <w:jc w:val="left"/>
              <w:rPr>
                <w:rFonts w:hint="default" w:ascii="Times New Roman Bold" w:hAnsi="Times New Roman Bold" w:cs="Times New Roman Bold" w:eastAsiaTheme="minorEastAsia"/>
                <w:b/>
                <w:bCs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 w:val="0"/>
                <w:color w:val="000000"/>
                <w:vertAlign w:val="baseline"/>
                <w:lang w:val="en-US"/>
              </w:rPr>
              <w:t xml:space="preserve">Before policy implementation (1000 USD) </w:t>
            </w:r>
          </w:p>
        </w:tc>
        <w:tc>
          <w:tcPr>
            <w:tcW w:w="1880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5188B265">
            <w:pPr>
              <w:jc w:val="left"/>
              <w:rPr>
                <w:rFonts w:hint="default" w:ascii="Times New Roman Bold" w:hAnsi="Times New Roman Bold" w:cs="Times New Roman Bold" w:eastAsiaTheme="minorEastAsia"/>
                <w:b/>
                <w:bCs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 w:val="0"/>
                <w:color w:val="000000"/>
                <w:vertAlign w:val="baseline"/>
                <w:lang w:val="en-US"/>
              </w:rPr>
              <w:t xml:space="preserve">After policy implementation (1000 USD) </w:t>
            </w:r>
          </w:p>
        </w:tc>
        <w:tc>
          <w:tcPr>
            <w:tcW w:w="1552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406844E3">
            <w:pPr>
              <w:jc w:val="left"/>
              <w:rPr>
                <w:rFonts w:hint="default" w:ascii="Times New Roman Bold" w:hAnsi="Times New Roman Bold" w:cs="Times New Roman Bold" w:eastAsiaTheme="minorEastAsia"/>
                <w:b/>
                <w:bCs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 w:val="0"/>
                <w:color w:val="000000"/>
                <w:vertAlign w:val="baseline"/>
                <w:lang w:val="en-US"/>
              </w:rPr>
              <w:t>Rate of change (%)</w:t>
            </w:r>
          </w:p>
        </w:tc>
      </w:tr>
      <w:tr w14:paraId="2C6D98BD">
        <w:trPr>
          <w:trHeight w:val="414" w:hRule="atLeast"/>
        </w:trPr>
        <w:tc>
          <w:tcPr>
            <w:tcW w:w="168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FA9A2E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Eptacog Alfa (Activated)</w:t>
            </w:r>
          </w:p>
        </w:tc>
        <w:tc>
          <w:tcPr>
            <w:tcW w:w="152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D5DDC3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2017</w:t>
            </w:r>
          </w:p>
        </w:tc>
        <w:tc>
          <w:tcPr>
            <w:tcW w:w="188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B3C79">
            <w:pPr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 xml:space="preserve">924.3 </w:t>
            </w:r>
          </w:p>
        </w:tc>
        <w:tc>
          <w:tcPr>
            <w:tcW w:w="188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2D384">
            <w:pPr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 xml:space="preserve">2113.6 </w:t>
            </w:r>
          </w:p>
        </w:tc>
        <w:tc>
          <w:tcPr>
            <w:tcW w:w="155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44D42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128.7</w:t>
            </w:r>
          </w:p>
        </w:tc>
      </w:tr>
      <w:tr w14:paraId="3A170BF8">
        <w:trPr>
          <w:trHeight w:val="414" w:hRule="atLeast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B5B05E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Octreotide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D1F46D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2018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812A7">
            <w:pPr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 xml:space="preserve">1270.8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C8585">
            <w:pPr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 xml:space="preserve">3288.4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0F480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158.8</w:t>
            </w:r>
          </w:p>
        </w:tc>
      </w:tr>
      <w:tr w14:paraId="419C8697">
        <w:trPr>
          <w:trHeight w:val="414" w:hRule="atLeast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7DC88A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Deferasirox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E2D6DB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2019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905BA">
            <w:pPr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 xml:space="preserve">205.6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3BC57">
            <w:pPr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 xml:space="preserve">1227.1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C3BE1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496.8</w:t>
            </w:r>
          </w:p>
        </w:tc>
      </w:tr>
      <w:tr w14:paraId="6C4381D8">
        <w:trPr>
          <w:trHeight w:val="414" w:hRule="atLeast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E05977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Bosentan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FC900A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2019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6742B">
            <w:pPr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 xml:space="preserve">521.2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DF371">
            <w:pPr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 xml:space="preserve">568.9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75C77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9.2</w:t>
            </w:r>
          </w:p>
        </w:tc>
      </w:tr>
      <w:tr w14:paraId="3EFA8599">
        <w:trPr>
          <w:trHeight w:val="414" w:hRule="atLeast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8A59C3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Riociguat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47368E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2019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27D14">
            <w:pPr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 xml:space="preserve">1.8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DE3FB">
            <w:pPr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 xml:space="preserve">633.0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B9DFF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35315.9</w:t>
            </w:r>
          </w:p>
        </w:tc>
      </w:tr>
      <w:tr w14:paraId="01820E0B">
        <w:trPr>
          <w:trHeight w:val="414" w:hRule="atLeast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DE0048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Macitentan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011323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2019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58DCF">
            <w:pPr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 xml:space="preserve">0.7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0BA2E">
            <w:pPr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 xml:space="preserve">1915.6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1D306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272915.8</w:t>
            </w:r>
          </w:p>
        </w:tc>
      </w:tr>
      <w:tr w14:paraId="1FFF03AE">
        <w:trPr>
          <w:trHeight w:val="414" w:hRule="atLeast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5DEBB3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Teriflunomide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7050F9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2019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6BCE5">
            <w:pPr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 xml:space="preserve">1.8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AC53F">
            <w:pPr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 xml:space="preserve">631.5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23E08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35126.3</w:t>
            </w:r>
          </w:p>
        </w:tc>
      </w:tr>
      <w:tr w14:paraId="33A3A6DC">
        <w:trPr>
          <w:trHeight w:val="414" w:hRule="atLeast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328A0F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Ruxolitinib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89B061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2019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8DAA7">
            <w:pPr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 xml:space="preserve">100.7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83DCC">
            <w:pPr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 xml:space="preserve">5092.2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FDE5D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4957.2</w:t>
            </w:r>
          </w:p>
        </w:tc>
      </w:tr>
      <w:tr w14:paraId="3DC83EF8">
        <w:trPr>
          <w:trHeight w:val="414" w:hRule="atLeast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99D4DD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Nintedanib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49275C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6F3B1">
            <w:pPr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 xml:space="preserve">28.3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B3D86">
            <w:pPr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 xml:space="preserve">3241.1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A528F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11362.7</w:t>
            </w:r>
          </w:p>
        </w:tc>
      </w:tr>
      <w:tr w14:paraId="7F5B4CB6">
        <w:trPr>
          <w:trHeight w:val="414" w:hRule="atLeast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1ED707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Fingolimod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E4D2B4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3288E">
            <w:pPr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 xml:space="preserve">3.1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0DD38">
            <w:pPr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 xml:space="preserve">85.2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CA455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2674.1</w:t>
            </w:r>
          </w:p>
        </w:tc>
      </w:tr>
      <w:tr w14:paraId="57AA0E5B">
        <w:trPr>
          <w:trHeight w:val="414" w:hRule="atLeast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29E136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Siponimod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D33656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6CC23">
            <w:pPr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 xml:space="preserve">0.6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302AB">
            <w:pPr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 xml:space="preserve">533.3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8020D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86711.7</w:t>
            </w:r>
          </w:p>
        </w:tc>
      </w:tr>
      <w:tr w14:paraId="6CD5BD01">
        <w:trPr>
          <w:trHeight w:val="414" w:hRule="atLeast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DD9D55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Agalsidase Alfa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0B69CE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4FED3">
            <w:pPr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 xml:space="preserve">33.1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7569F">
            <w:pPr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 xml:space="preserve">965.2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AD60D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2819.3</w:t>
            </w:r>
          </w:p>
        </w:tc>
      </w:tr>
      <w:tr w14:paraId="69E71EC2">
        <w:trPr>
          <w:trHeight w:val="414" w:hRule="atLeast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E616DD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Nusinersen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47D7DC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67B5F">
            <w:pPr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 xml:space="preserve">1190.6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135A3">
            <w:pPr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 xml:space="preserve">4313.0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14FDB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262.3</w:t>
            </w:r>
          </w:p>
        </w:tc>
      </w:tr>
      <w:tr w14:paraId="394B5284">
        <w:trPr>
          <w:trHeight w:val="414" w:hRule="atLeast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286EC0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Luspatercept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B41CD5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1F0CB">
            <w:pPr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 xml:space="preserve">12.0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C3DFF">
            <w:pPr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 xml:space="preserve">446.8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C0C39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3608.1</w:t>
            </w:r>
          </w:p>
        </w:tc>
      </w:tr>
      <w:tr w14:paraId="7295CE0B">
        <w:trPr>
          <w:trHeight w:val="414" w:hRule="atLeast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52AD37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Ripretinib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BBC9F7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91B81">
            <w:pPr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 xml:space="preserve">96.6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002DD">
            <w:pPr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 xml:space="preserve">802.3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7D95E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730.8</w:t>
            </w:r>
          </w:p>
        </w:tc>
      </w:tr>
      <w:tr w14:paraId="11E280BC">
        <w:trPr>
          <w:trHeight w:val="414" w:hRule="atLeast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64F1FA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Treprostinil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1EBB24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5F6FE">
            <w:pPr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 xml:space="preserve">315.0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A3DD3">
            <w:pPr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 xml:space="preserve">922.9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578B8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192.9</w:t>
            </w:r>
          </w:p>
        </w:tc>
      </w:tr>
      <w:tr w14:paraId="44639417">
        <w:trPr>
          <w:trHeight w:val="414" w:hRule="atLeast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453EB1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Ofatumumab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2146EF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CB96A">
            <w:pPr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 xml:space="preserve">17.0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B04C6">
            <w:pPr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 xml:space="preserve">925.1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089C2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5355.9</w:t>
            </w:r>
          </w:p>
        </w:tc>
      </w:tr>
      <w:tr w14:paraId="455E80DA">
        <w:trPr>
          <w:trHeight w:val="414" w:hRule="atLeast"/>
        </w:trPr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2E8A7E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Dimethyl Fumarate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78E14B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FDAED">
            <w:pPr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 xml:space="preserve">0.6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805DF">
            <w:pPr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 xml:space="preserve">104.5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80E5C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16651.0</w:t>
            </w:r>
          </w:p>
        </w:tc>
      </w:tr>
      <w:tr w14:paraId="252CFFF6">
        <w:trPr>
          <w:trHeight w:val="414" w:hRule="atLeast"/>
        </w:trPr>
        <w:tc>
          <w:tcPr>
            <w:tcW w:w="168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58AB40B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Risdiplam</w:t>
            </w:r>
          </w:p>
        </w:tc>
        <w:tc>
          <w:tcPr>
            <w:tcW w:w="152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C6CC206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56067001">
            <w:pPr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 xml:space="preserve">35.0 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5B44D9D">
            <w:pPr>
              <w:jc w:val="left"/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 xml:space="preserve">589.6 </w:t>
            </w:r>
          </w:p>
        </w:tc>
        <w:tc>
          <w:tcPr>
            <w:tcW w:w="155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33FFB2D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1583.6</w:t>
            </w:r>
          </w:p>
        </w:tc>
      </w:tr>
    </w:tbl>
    <w:p w14:paraId="447B7259">
      <w:pPr>
        <w:rPr>
          <w:rFonts w:hint="default"/>
          <w:lang w:val="en-US"/>
        </w:rPr>
      </w:pPr>
      <w:r>
        <w:rPr>
          <w:rFonts w:hint="default"/>
          <w:lang w:val="en-US"/>
        </w:rPr>
        <w:br w:type="page"/>
      </w:r>
    </w:p>
    <w:p w14:paraId="6E28D2CD"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/>
          <w:lang w:val="en-US"/>
        </w:rPr>
      </w:pPr>
    </w:p>
    <w:p w14:paraId="2CC0D0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center"/>
        <w:textAlignment w:val="auto"/>
        <w:rPr>
          <w:rFonts w:hint="default" w:ascii="Times New Roman Regular" w:hAnsi="Times New Roman Regular" w:eastAsia="Songti SC" w:cs="Times New Roman Regular"/>
          <w:b w:val="0"/>
          <w:bCs w:val="0"/>
          <w:sz w:val="21"/>
          <w:vertAlign w:val="baseline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vertAlign w:val="baseline"/>
          <w:lang w:val="en-US" w:eastAsia="zh-CN"/>
        </w:rPr>
        <w:t xml:space="preserve">Supplementary </w:t>
      </w:r>
      <w:r>
        <w:rPr>
          <w:rFonts w:hint="eastAsia" w:ascii="Times New Roman Bold" w:hAnsi="Times New Roman Bold" w:cs="Times New Roman Bold"/>
          <w:b/>
          <w:bCs/>
          <w:vertAlign w:val="baseline"/>
          <w:lang w:val="en-US" w:eastAsia="zh-CN"/>
        </w:rPr>
        <w:t>Ta</w:t>
      </w:r>
      <w:r>
        <w:rPr>
          <w:rFonts w:hint="default" w:ascii="Times New Roman Bold" w:hAnsi="Times New Roman Bold" w:cs="Times New Roman Bold"/>
          <w:b/>
          <w:bCs/>
          <w:vertAlign w:val="baseline"/>
          <w:lang w:val="en-US" w:eastAsia="zh-CN"/>
        </w:rPr>
        <w:t xml:space="preserve">ble </w:t>
      </w:r>
      <w:r>
        <w:rPr>
          <w:rFonts w:hint="eastAsia" w:ascii="Times New Roman Bold" w:hAnsi="Times New Roman Bold" w:cs="Times New Roman Bold"/>
          <w:b/>
          <w:bCs/>
          <w:vertAlign w:val="baseline"/>
          <w:lang w:val="en-US" w:eastAsia="zh-CN"/>
        </w:rPr>
        <w:t>3</w:t>
      </w:r>
      <w:r>
        <w:rPr>
          <w:rFonts w:hint="default" w:ascii="Times New Roman Bold" w:hAnsi="Times New Roman Bold" w:cs="Times New Roman Bold"/>
          <w:b/>
          <w:bCs/>
          <w:vertAlign w:val="baseline"/>
          <w:lang w:val="en-US" w:eastAsia="zh-CN"/>
        </w:rPr>
        <w:t xml:space="preserve">  Daily costs (in DDDc) of 19 rare disease drugs before and after policy implementation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1322"/>
        <w:gridCol w:w="2304"/>
        <w:gridCol w:w="2304"/>
        <w:gridCol w:w="1056"/>
      </w:tblGrid>
      <w:tr w14:paraId="73512C8F">
        <w:tc>
          <w:tcPr>
            <w:tcW w:w="1536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1EF84EF8">
            <w:pPr>
              <w:jc w:val="left"/>
              <w:rPr>
                <w:rFonts w:hint="default" w:ascii="Times New Roman Bold" w:hAnsi="Times New Roman Bold" w:cs="Times New Roman Bold" w:eastAsiaTheme="minorEastAsia"/>
                <w:b/>
                <w:bCs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 w:val="0"/>
                <w:color w:val="000000"/>
                <w:vertAlign w:val="baseline"/>
                <w:lang w:val="en-US" w:eastAsia="zh-CN"/>
              </w:rPr>
              <w:t>Drug</w:t>
            </w:r>
          </w:p>
        </w:tc>
        <w:tc>
          <w:tcPr>
            <w:tcW w:w="1322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E508BCD">
            <w:pPr>
              <w:jc w:val="left"/>
              <w:rPr>
                <w:rFonts w:hint="default" w:ascii="Times New Roman Bold" w:hAnsi="Times New Roman Bold" w:cs="Times New Roman Bold"/>
                <w:b/>
                <w:bCs w:val="0"/>
                <w:color w:val="000000"/>
                <w:vertAlign w:val="baseline"/>
                <w:lang w:val="en-US"/>
              </w:rPr>
            </w:pPr>
            <w:r>
              <w:rPr>
                <w:rFonts w:hint="default" w:ascii="Times New Roman Bold" w:hAnsi="Times New Roman Bold" w:cs="Times New Roman Bold"/>
                <w:b/>
                <w:bCs w:val="0"/>
                <w:color w:val="000000"/>
                <w:vertAlign w:val="baseline"/>
                <w:lang w:val="en-US"/>
              </w:rPr>
              <w:t>Time of inclusion</w:t>
            </w:r>
          </w:p>
          <w:p w14:paraId="57BAFDE6">
            <w:pPr>
              <w:jc w:val="left"/>
              <w:rPr>
                <w:rFonts w:hint="default" w:ascii="Times New Roman Bold" w:hAnsi="Times New Roman Bold" w:cs="Times New Roman Bold" w:eastAsiaTheme="minorEastAsia"/>
                <w:b/>
                <w:bCs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 w:val="0"/>
                <w:color w:val="000000"/>
                <w:vertAlign w:val="baseline"/>
                <w:lang w:val="en-US"/>
              </w:rPr>
              <w:t>in the NRDN</w:t>
            </w:r>
          </w:p>
        </w:tc>
        <w:tc>
          <w:tcPr>
            <w:tcW w:w="5664" w:type="dxa"/>
            <w:gridSpan w:val="3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E5213C8">
            <w:pPr>
              <w:jc w:val="left"/>
              <w:rPr>
                <w:rFonts w:hint="default" w:ascii="Times New Roman Bold" w:hAnsi="Times New Roman Bold" w:cs="Times New Roman Bold" w:eastAsiaTheme="minorEastAsia"/>
                <w:b/>
                <w:bCs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 w:val="0"/>
                <w:color w:val="000000"/>
                <w:vertAlign w:val="baseline"/>
                <w:lang w:val="en-US"/>
              </w:rPr>
              <w:t>Daily costs (in DDDc)</w:t>
            </w:r>
          </w:p>
        </w:tc>
      </w:tr>
      <w:tr w14:paraId="6B1D5484">
        <w:tc>
          <w:tcPr>
            <w:tcW w:w="1536" w:type="dxa"/>
            <w:vMerge w:val="continue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</w:tcPr>
          <w:p w14:paraId="7024540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322" w:type="dxa"/>
            <w:vMerge w:val="continue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</w:tcPr>
          <w:p w14:paraId="11A3FBB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2304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13D84A0E">
            <w:pPr>
              <w:jc w:val="left"/>
              <w:rPr>
                <w:rFonts w:hint="default" w:ascii="Times New Roman Bold" w:hAnsi="Times New Roman Bold" w:cs="Times New Roman Bold" w:eastAsiaTheme="minorEastAsia"/>
                <w:b/>
                <w:bCs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 w:val="0"/>
                <w:color w:val="000000"/>
                <w:vertAlign w:val="baseline"/>
                <w:lang w:val="en-US"/>
              </w:rPr>
              <w:t>Before policy implementation (USD/patient-day)</w:t>
            </w:r>
          </w:p>
        </w:tc>
        <w:tc>
          <w:tcPr>
            <w:tcW w:w="2304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4FFDCE67">
            <w:pPr>
              <w:jc w:val="left"/>
              <w:rPr>
                <w:rFonts w:hint="default" w:ascii="Times New Roman Bold" w:hAnsi="Times New Roman Bold" w:cs="Times New Roman Bold" w:eastAsiaTheme="minorEastAsia"/>
                <w:b/>
                <w:bCs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 w:val="0"/>
                <w:color w:val="000000"/>
                <w:vertAlign w:val="baseline"/>
                <w:lang w:val="en-US"/>
              </w:rPr>
              <w:t>After policy implementation (USD/patient-day)</w:t>
            </w:r>
          </w:p>
        </w:tc>
        <w:tc>
          <w:tcPr>
            <w:tcW w:w="1056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2A61B064">
            <w:pPr>
              <w:jc w:val="left"/>
              <w:rPr>
                <w:rFonts w:hint="default" w:ascii="Times New Roman Bold" w:hAnsi="Times New Roman Bold" w:cs="Times New Roman Bold" w:eastAsiaTheme="minorEastAsia"/>
                <w:b/>
                <w:bCs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 w:val="0"/>
                <w:color w:val="000000"/>
                <w:vertAlign w:val="baseline"/>
                <w:lang w:val="en-US"/>
              </w:rPr>
              <w:t>Rate of change (%)</w:t>
            </w:r>
          </w:p>
        </w:tc>
      </w:tr>
      <w:tr w14:paraId="5C06C2A6">
        <w:trPr>
          <w:trHeight w:val="414" w:hRule="atLeast"/>
        </w:trPr>
        <w:tc>
          <w:tcPr>
            <w:tcW w:w="153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FAFA63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Eptacog Alfa (Activated)</w:t>
            </w:r>
          </w:p>
        </w:tc>
        <w:tc>
          <w:tcPr>
            <w:tcW w:w="132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EBBF84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2017</w:t>
            </w:r>
          </w:p>
        </w:tc>
        <w:tc>
          <w:tcPr>
            <w:tcW w:w="230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4D9D9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 xml:space="preserve"> 88.32 </w:t>
            </w:r>
          </w:p>
        </w:tc>
        <w:tc>
          <w:tcPr>
            <w:tcW w:w="230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C7B8B">
            <w:pPr>
              <w:spacing w:beforeLines="0" w:afterLines="0"/>
              <w:jc w:val="both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0"/>
                <w:szCs w:val="24"/>
              </w:rPr>
              <w:t xml:space="preserve"> 70.07 </w:t>
            </w:r>
          </w:p>
        </w:tc>
        <w:tc>
          <w:tcPr>
            <w:tcW w:w="1056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8D496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-20.7</w:t>
            </w:r>
          </w:p>
        </w:tc>
      </w:tr>
      <w:tr w14:paraId="30B535DB">
        <w:trPr>
          <w:trHeight w:val="414" w:hRule="atLeast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91264A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Octreotide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850450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2018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D420A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 xml:space="preserve"> 38.77 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926DE">
            <w:pPr>
              <w:spacing w:beforeLines="0" w:afterLines="0"/>
              <w:jc w:val="both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0"/>
                <w:szCs w:val="24"/>
              </w:rPr>
              <w:t xml:space="preserve"> 24.92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51D9A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-35.7</w:t>
            </w:r>
          </w:p>
        </w:tc>
      </w:tr>
      <w:tr w14:paraId="6D6D4F8A">
        <w:trPr>
          <w:trHeight w:val="414" w:hRule="atLeast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E83E17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Deferasirox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0E6436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2019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FE684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 xml:space="preserve"> 30.89 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D5E64">
            <w:pPr>
              <w:spacing w:beforeLines="0" w:afterLines="0"/>
              <w:jc w:val="both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0"/>
                <w:szCs w:val="24"/>
              </w:rPr>
              <w:t xml:space="preserve"> 8.91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5E071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-71.1</w:t>
            </w:r>
          </w:p>
        </w:tc>
      </w:tr>
      <w:tr w14:paraId="4BE2588B">
        <w:trPr>
          <w:trHeight w:val="414" w:hRule="atLeast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D4E36E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Bosentan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AC61A2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2019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D925A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 xml:space="preserve"> 19.55 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BF86E">
            <w:pPr>
              <w:spacing w:beforeLines="0" w:afterLines="0"/>
              <w:jc w:val="both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0"/>
                <w:szCs w:val="24"/>
              </w:rPr>
              <w:t xml:space="preserve"> 14.13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E7514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-27.8</w:t>
            </w:r>
          </w:p>
        </w:tc>
      </w:tr>
      <w:tr w14:paraId="01318FFE">
        <w:trPr>
          <w:trHeight w:val="414" w:hRule="atLeast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3A1A5F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Riociguat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2A8EEB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2019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60761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 xml:space="preserve"> 35.57 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3C9EF">
            <w:pPr>
              <w:spacing w:beforeLines="0" w:afterLines="0"/>
              <w:jc w:val="both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0"/>
                <w:szCs w:val="24"/>
              </w:rPr>
              <w:t xml:space="preserve"> 13.75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37574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-61.3</w:t>
            </w:r>
          </w:p>
        </w:tc>
      </w:tr>
      <w:tr w14:paraId="38261862">
        <w:trPr>
          <w:trHeight w:val="414" w:hRule="atLeast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25D1AA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Macitentan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FBC233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2019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6267B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 xml:space="preserve"> 140.33 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ADA00">
            <w:pPr>
              <w:spacing w:beforeLines="0" w:afterLines="0"/>
              <w:jc w:val="both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0"/>
                <w:szCs w:val="24"/>
              </w:rPr>
              <w:t xml:space="preserve"> 19.20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3D517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-86.3</w:t>
            </w:r>
          </w:p>
        </w:tc>
      </w:tr>
      <w:tr w14:paraId="075F890B">
        <w:trPr>
          <w:trHeight w:val="414" w:hRule="atLeast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9F048C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Teriflunomide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839B31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2019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78D3E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 xml:space="preserve"> 59.10 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4C00D">
            <w:pPr>
              <w:spacing w:beforeLines="0" w:afterLines="0"/>
              <w:jc w:val="both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0"/>
                <w:szCs w:val="24"/>
              </w:rPr>
              <w:t xml:space="preserve"> 39.59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F29F1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-33.0</w:t>
            </w:r>
          </w:p>
        </w:tc>
      </w:tr>
      <w:tr w14:paraId="01D1C140">
        <w:trPr>
          <w:trHeight w:val="414" w:hRule="atLeast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D05C0A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Ruxolitinib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F2E30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2019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7E86B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 xml:space="preserve"> 105.86 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E7C48">
            <w:pPr>
              <w:spacing w:beforeLines="0" w:afterLines="0"/>
              <w:jc w:val="both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0"/>
                <w:szCs w:val="24"/>
              </w:rPr>
              <w:t xml:space="preserve"> 46.51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0C245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-56.1</w:t>
            </w:r>
          </w:p>
        </w:tc>
      </w:tr>
      <w:tr w14:paraId="2C2AF2CA">
        <w:trPr>
          <w:trHeight w:val="414" w:hRule="atLeast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2B9DAF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Nintedanib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4F2B35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9257F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 xml:space="preserve"> 127.53 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677BD">
            <w:pPr>
              <w:spacing w:beforeLines="0" w:afterLines="0"/>
              <w:jc w:val="both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0"/>
                <w:szCs w:val="24"/>
              </w:rPr>
              <w:t xml:space="preserve"> 39.50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D7F96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-69.0</w:t>
            </w:r>
          </w:p>
        </w:tc>
      </w:tr>
      <w:tr w14:paraId="27945D1A">
        <w:trPr>
          <w:trHeight w:val="414" w:hRule="atLeast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62E20F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Fingolimod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BB5D0F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B3BB1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 xml:space="preserve"> 52.66 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0CA46">
            <w:pPr>
              <w:spacing w:beforeLines="0" w:afterLines="0"/>
              <w:jc w:val="both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0"/>
                <w:szCs w:val="24"/>
              </w:rPr>
              <w:t xml:space="preserve"> 32.01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D9D52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-39.2</w:t>
            </w:r>
          </w:p>
        </w:tc>
      </w:tr>
      <w:tr w14:paraId="2316D96D">
        <w:trPr>
          <w:trHeight w:val="414" w:hRule="atLeast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191E6A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Siponimod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4774EE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C205F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 xml:space="preserve"> 39.49 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834F7">
            <w:pPr>
              <w:spacing w:beforeLines="0" w:afterLines="0"/>
              <w:jc w:val="both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0"/>
                <w:szCs w:val="24"/>
              </w:rPr>
              <w:t xml:space="preserve"> 25.82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4C2CA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-34.6</w:t>
            </w:r>
          </w:p>
        </w:tc>
      </w:tr>
      <w:tr w14:paraId="1742454E">
        <w:trPr>
          <w:trHeight w:val="414" w:hRule="atLeast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D77674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Agalsidase Alfa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A7C28F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1344D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 xml:space="preserve"> 338.71 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8C45A">
            <w:pPr>
              <w:spacing w:beforeLines="0" w:afterLines="0"/>
              <w:jc w:val="both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0"/>
                <w:szCs w:val="24"/>
              </w:rPr>
              <w:t xml:space="preserve"> 124.37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1EB10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-63.3</w:t>
            </w:r>
          </w:p>
        </w:tc>
      </w:tr>
      <w:tr w14:paraId="56187E7D">
        <w:trPr>
          <w:trHeight w:val="414" w:hRule="atLeast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DCC16E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Nusinersen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1E0E80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162FA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 xml:space="preserve"> 575.50 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A287E">
            <w:pPr>
              <w:spacing w:beforeLines="0" w:afterLines="0"/>
              <w:jc w:val="both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0"/>
                <w:szCs w:val="24"/>
              </w:rPr>
              <w:t xml:space="preserve"> 38.89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65F84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-93.2</w:t>
            </w:r>
          </w:p>
        </w:tc>
      </w:tr>
      <w:tr w14:paraId="56633EAD">
        <w:trPr>
          <w:trHeight w:val="414" w:hRule="atLeast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C4FCF6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Luspatercept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082EA7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2022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91ABE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 xml:space="preserve"> 90.07 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1EC83">
            <w:pPr>
              <w:spacing w:beforeLines="0" w:afterLines="0"/>
              <w:jc w:val="both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0"/>
                <w:szCs w:val="24"/>
              </w:rPr>
              <w:t xml:space="preserve"> 45.03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25048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-50.0</w:t>
            </w:r>
          </w:p>
        </w:tc>
      </w:tr>
      <w:tr w14:paraId="348B7233">
        <w:trPr>
          <w:trHeight w:val="414" w:hRule="atLeast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755FD2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Ripretinib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F11889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2022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0A543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 xml:space="preserve"> 271.90 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D2573">
            <w:pPr>
              <w:spacing w:beforeLines="0" w:afterLines="0"/>
              <w:jc w:val="both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0"/>
                <w:szCs w:val="24"/>
              </w:rPr>
              <w:t xml:space="preserve"> 72.58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5F6C9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-73.3</w:t>
            </w:r>
          </w:p>
        </w:tc>
      </w:tr>
      <w:tr w14:paraId="57D353C6">
        <w:trPr>
          <w:trHeight w:val="414" w:hRule="atLeast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525A77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Treprostinil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1B6FD5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2022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F13BD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 xml:space="preserve"> 296.31 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C81FD">
            <w:pPr>
              <w:spacing w:beforeLines="0" w:afterLines="0"/>
              <w:jc w:val="both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0"/>
                <w:szCs w:val="24"/>
              </w:rPr>
              <w:t xml:space="preserve"> 117.07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88C6B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-60.5</w:t>
            </w:r>
          </w:p>
        </w:tc>
      </w:tr>
      <w:tr w14:paraId="1EDFC20A">
        <w:trPr>
          <w:trHeight w:val="414" w:hRule="atLeast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BD107A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Ofatumumab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296218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2022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B6BE7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 xml:space="preserve"> 49.39 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05D30">
            <w:pPr>
              <w:spacing w:beforeLines="0" w:afterLines="0"/>
              <w:jc w:val="both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0"/>
                <w:szCs w:val="24"/>
              </w:rPr>
              <w:t xml:space="preserve"> 31.85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C6EB5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-35.5</w:t>
            </w:r>
          </w:p>
        </w:tc>
      </w:tr>
      <w:tr w14:paraId="5E7326CA">
        <w:trPr>
          <w:trHeight w:val="414" w:hRule="atLeast"/>
        </w:trPr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1A28AA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Dimethyl Fumarate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F54BE6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2022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835DD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 xml:space="preserve"> 36.33 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328FE">
            <w:pPr>
              <w:spacing w:beforeLines="0" w:afterLines="0"/>
              <w:jc w:val="both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0"/>
                <w:szCs w:val="24"/>
              </w:rPr>
              <w:t xml:space="preserve"> 17.18 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4829B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-52.7</w:t>
            </w:r>
          </w:p>
        </w:tc>
      </w:tr>
      <w:tr w14:paraId="2707C7B9">
        <w:trPr>
          <w:trHeight w:val="414" w:hRule="atLeast"/>
        </w:trPr>
        <w:tc>
          <w:tcPr>
            <w:tcW w:w="153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C12217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Risdiplam</w:t>
            </w:r>
          </w:p>
        </w:tc>
        <w:tc>
          <w:tcPr>
            <w:tcW w:w="132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D6686A2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2022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4B6C078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 xml:space="preserve"> 379.44 </w:t>
            </w:r>
          </w:p>
        </w:tc>
        <w:tc>
          <w:tcPr>
            <w:tcW w:w="23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E5A5E87">
            <w:pPr>
              <w:spacing w:beforeLines="0" w:afterLines="0"/>
              <w:jc w:val="both"/>
              <w:rPr>
                <w:rFonts w:hint="default" w:ascii="Times New Roman" w:hAnsi="Times New Roman" w:eastAsia="Times New Roman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0"/>
                <w:szCs w:val="24"/>
              </w:rPr>
              <w:t xml:space="preserve"> 44.23 </w:t>
            </w:r>
          </w:p>
        </w:tc>
        <w:tc>
          <w:tcPr>
            <w:tcW w:w="105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C823527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-88.3</w:t>
            </w:r>
          </w:p>
        </w:tc>
      </w:tr>
    </w:tbl>
    <w:p w14:paraId="10529915">
      <w:r>
        <w:br w:type="page"/>
      </w:r>
    </w:p>
    <w:p w14:paraId="71AE859D"/>
    <w:p w14:paraId="4E37A5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center"/>
        <w:textAlignment w:val="auto"/>
        <w:rPr>
          <w:rFonts w:hint="default" w:ascii="Times New Roman Regular" w:hAnsi="Times New Roman Regular" w:eastAsia="宋体" w:cs="Times New Roman Regular"/>
          <w:b w:val="0"/>
          <w:color w:val="000000"/>
          <w:vertAlign w:val="baseline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vertAlign w:val="baseline"/>
          <w:lang w:val="en-US" w:eastAsia="zh-CN"/>
        </w:rPr>
        <w:t xml:space="preserve">Supplementary </w:t>
      </w:r>
      <w:r>
        <w:rPr>
          <w:rFonts w:hint="eastAsia" w:ascii="Times New Roman Bold" w:hAnsi="Times New Roman Bold" w:cs="Times New Roman Bold"/>
          <w:b/>
          <w:bCs/>
          <w:vertAlign w:val="baseline"/>
          <w:lang w:val="en-US" w:eastAsia="zh-CN"/>
        </w:rPr>
        <w:t>Ta</w:t>
      </w:r>
      <w:r>
        <w:rPr>
          <w:rFonts w:hint="default" w:ascii="Times New Roman Bold" w:hAnsi="Times New Roman Bold" w:cs="Times New Roman Bold"/>
          <w:b/>
          <w:bCs/>
          <w:vertAlign w:val="baseline"/>
          <w:lang w:val="en-US" w:eastAsia="zh-CN"/>
        </w:rPr>
        <w:t xml:space="preserve">ble </w:t>
      </w:r>
      <w:r>
        <w:rPr>
          <w:rFonts w:hint="eastAsia" w:ascii="Times New Roman Bold" w:hAnsi="Times New Roman Bold" w:cs="Times New Roman Bold"/>
          <w:b/>
          <w:bCs/>
          <w:vertAlign w:val="baseline"/>
          <w:lang w:val="en-US" w:eastAsia="zh-CN"/>
        </w:rPr>
        <w:t>4</w:t>
      </w:r>
      <w:r>
        <w:rPr>
          <w:rFonts w:hint="default" w:ascii="Times New Roman Bold" w:hAnsi="Times New Roman Bold" w:cs="Times New Roman Bold"/>
          <w:b/>
          <w:bCs/>
          <w:vertAlign w:val="baseline"/>
          <w:lang w:val="en-US" w:eastAsia="zh-CN"/>
        </w:rPr>
        <w:t xml:space="preserve">  Affordability ratios of 19 rare disease drugs before and after policy implementation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564"/>
        <w:gridCol w:w="1880"/>
        <w:gridCol w:w="1880"/>
        <w:gridCol w:w="1528"/>
      </w:tblGrid>
      <w:tr w14:paraId="237991B7">
        <w:tc>
          <w:tcPr>
            <w:tcW w:w="1670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57A9F937">
            <w:pPr>
              <w:jc w:val="left"/>
              <w:rPr>
                <w:rFonts w:hint="default" w:ascii="Times New Roman Bold" w:hAnsi="Times New Roman Bold" w:cs="Times New Roman Bold" w:eastAsiaTheme="minorEastAsia"/>
                <w:b/>
                <w:bCs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 w:val="0"/>
                <w:color w:val="000000"/>
                <w:vertAlign w:val="baseline"/>
                <w:lang w:val="en-US" w:eastAsia="zh-CN"/>
              </w:rPr>
              <w:t>Drug</w:t>
            </w:r>
          </w:p>
        </w:tc>
        <w:tc>
          <w:tcPr>
            <w:tcW w:w="1564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C3ED225">
            <w:pPr>
              <w:jc w:val="left"/>
              <w:rPr>
                <w:rFonts w:hint="default" w:ascii="Times New Roman Bold" w:hAnsi="Times New Roman Bold" w:cs="Times New Roman Bold"/>
                <w:b/>
                <w:bCs w:val="0"/>
                <w:color w:val="000000"/>
                <w:vertAlign w:val="baseline"/>
                <w:lang w:val="en-US"/>
              </w:rPr>
            </w:pPr>
            <w:r>
              <w:rPr>
                <w:rFonts w:hint="default" w:ascii="Times New Roman Bold" w:hAnsi="Times New Roman Bold" w:cs="Times New Roman Bold"/>
                <w:b/>
                <w:bCs w:val="0"/>
                <w:color w:val="000000"/>
                <w:vertAlign w:val="baseline"/>
                <w:lang w:val="en-US"/>
              </w:rPr>
              <w:t>Time of inclusion</w:t>
            </w:r>
          </w:p>
          <w:p w14:paraId="4F74B3C2">
            <w:pPr>
              <w:jc w:val="left"/>
              <w:rPr>
                <w:rFonts w:hint="default" w:ascii="Times New Roman Bold" w:hAnsi="Times New Roman Bold" w:cs="Times New Roman Bold" w:eastAsiaTheme="minorEastAsia"/>
                <w:b/>
                <w:bCs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 w:val="0"/>
                <w:color w:val="000000"/>
                <w:vertAlign w:val="baseline"/>
                <w:lang w:val="en-US"/>
              </w:rPr>
              <w:t>in the NRDN</w:t>
            </w:r>
          </w:p>
        </w:tc>
        <w:tc>
          <w:tcPr>
            <w:tcW w:w="5288" w:type="dxa"/>
            <w:gridSpan w:val="3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14BC2CA">
            <w:pPr>
              <w:jc w:val="left"/>
              <w:rPr>
                <w:rFonts w:hint="default" w:ascii="Times New Roman Bold" w:hAnsi="Times New Roman Bold" w:cs="Times New Roman Bold" w:eastAsiaTheme="minorEastAsia"/>
                <w:b/>
                <w:bCs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 w:val="0"/>
                <w:color w:val="000000"/>
                <w:vertAlign w:val="baseline"/>
                <w:lang w:val="en-US"/>
              </w:rPr>
              <w:t>Affordability ratio (OOP/per capita disposable income of households)</w:t>
            </w:r>
          </w:p>
        </w:tc>
      </w:tr>
      <w:tr w14:paraId="05B93E3A">
        <w:tc>
          <w:tcPr>
            <w:tcW w:w="1670" w:type="dxa"/>
            <w:vMerge w:val="continue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</w:tcPr>
          <w:p w14:paraId="683BCEA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564" w:type="dxa"/>
            <w:vMerge w:val="continue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</w:tcPr>
          <w:p w14:paraId="39111C4D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13847F4C">
            <w:pPr>
              <w:jc w:val="left"/>
              <w:rPr>
                <w:rFonts w:hint="default" w:ascii="Times New Roman Bold" w:hAnsi="Times New Roman Bold" w:cs="Times New Roman Bold" w:eastAsiaTheme="minorEastAsia"/>
                <w:b/>
                <w:bCs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 w:val="0"/>
                <w:color w:val="000000"/>
                <w:vertAlign w:val="baseline"/>
                <w:lang w:val="en-US"/>
              </w:rPr>
              <w:t>Before policy implementation (%)</w:t>
            </w:r>
          </w:p>
        </w:tc>
        <w:tc>
          <w:tcPr>
            <w:tcW w:w="1880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4765D681">
            <w:pPr>
              <w:jc w:val="left"/>
              <w:rPr>
                <w:rFonts w:hint="default" w:ascii="Times New Roman Bold" w:hAnsi="Times New Roman Bold" w:cs="Times New Roman Bold" w:eastAsiaTheme="minorEastAsia"/>
                <w:b/>
                <w:bCs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 w:val="0"/>
                <w:color w:val="000000"/>
                <w:vertAlign w:val="baseline"/>
                <w:lang w:val="en-US"/>
              </w:rPr>
              <w:t>After policy implementation (%)</w:t>
            </w:r>
          </w:p>
        </w:tc>
        <w:tc>
          <w:tcPr>
            <w:tcW w:w="1528" w:type="dxa"/>
            <w:tcBorders>
              <w:top w:val="single" w:color="000000" w:sz="4" w:space="0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6C1F8976">
            <w:pPr>
              <w:jc w:val="left"/>
              <w:rPr>
                <w:rFonts w:hint="default" w:ascii="Times New Roman Bold" w:hAnsi="Times New Roman Bold" w:cs="Times New Roman Bold" w:eastAsiaTheme="minorEastAsia"/>
                <w:b/>
                <w:bCs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 w:val="0"/>
                <w:color w:val="000000"/>
                <w:vertAlign w:val="baseline"/>
                <w:lang w:val="en-US"/>
              </w:rPr>
              <w:t>Rate of change (%)</w:t>
            </w:r>
          </w:p>
        </w:tc>
      </w:tr>
      <w:tr w14:paraId="18789F6B">
        <w:trPr>
          <w:trHeight w:val="414" w:hRule="atLeast"/>
        </w:trPr>
        <w:tc>
          <w:tcPr>
            <w:tcW w:w="167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435E4C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Eptacog Alfa (Activated)</w:t>
            </w:r>
          </w:p>
        </w:tc>
        <w:tc>
          <w:tcPr>
            <w:tcW w:w="156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451884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2017</w:t>
            </w:r>
          </w:p>
        </w:tc>
        <w:tc>
          <w:tcPr>
            <w:tcW w:w="188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9E2BE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106.1%</w:t>
            </w:r>
          </w:p>
        </w:tc>
        <w:tc>
          <w:tcPr>
            <w:tcW w:w="188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FB2F4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84.1%</w:t>
            </w:r>
          </w:p>
        </w:tc>
        <w:tc>
          <w:tcPr>
            <w:tcW w:w="152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D75AD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-20.7</w:t>
            </w:r>
          </w:p>
        </w:tc>
      </w:tr>
      <w:tr w14:paraId="386F3765">
        <w:trPr>
          <w:trHeight w:val="414" w:hRule="atLeast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72A791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Octreotide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E70460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2018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BEA71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46.5%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E5EEC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29.9%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40204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-35.7</w:t>
            </w:r>
          </w:p>
        </w:tc>
      </w:tr>
      <w:tr w14:paraId="72AA3498">
        <w:trPr>
          <w:trHeight w:val="427" w:hRule="atLeast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C484F8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Deferasirox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679C8E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2019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E2FCA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37.1%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4A506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10.7%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8C994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-71.1</w:t>
            </w:r>
          </w:p>
        </w:tc>
      </w:tr>
      <w:tr w14:paraId="723EBA9C">
        <w:trPr>
          <w:trHeight w:val="414" w:hRule="atLeast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99D400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Bosentan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FA556F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2019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AA7DE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23.5%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B0A4B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17.0%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2273F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-27.8</w:t>
            </w:r>
          </w:p>
        </w:tc>
      </w:tr>
      <w:tr w14:paraId="47CF778E">
        <w:trPr>
          <w:trHeight w:val="414" w:hRule="atLeast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6AA5AC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Riociguat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0D4824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2019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38570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42.7%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17619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16.5%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ED874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-61.3</w:t>
            </w:r>
          </w:p>
        </w:tc>
      </w:tr>
      <w:tr w14:paraId="54713DF4">
        <w:trPr>
          <w:trHeight w:val="414" w:hRule="atLeast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9B8884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Macitentan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7D8ACC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2019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FB30C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168.5%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98C07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23.1%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82342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-86.3</w:t>
            </w:r>
          </w:p>
        </w:tc>
      </w:tr>
      <w:tr w14:paraId="3459799A">
        <w:trPr>
          <w:trHeight w:val="414" w:hRule="atLeast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F78B0E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Teriflunomide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DE31D9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2019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E9E4A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71.0%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7E63E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47.5%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20390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-33.0</w:t>
            </w:r>
          </w:p>
        </w:tc>
      </w:tr>
      <w:tr w14:paraId="4C71C107">
        <w:trPr>
          <w:trHeight w:val="414" w:hRule="atLeast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1423E4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Ruxolitinib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1E30C9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2019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44E07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127.1%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F8486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55.8%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89173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-56.1</w:t>
            </w:r>
          </w:p>
        </w:tc>
      </w:tr>
      <w:tr w14:paraId="7F99F3C6">
        <w:trPr>
          <w:trHeight w:val="414" w:hRule="atLeast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B4695F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Nintedanib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B80B8A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6DE25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153.1%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B312F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47.4%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E8F5F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-69.0</w:t>
            </w:r>
          </w:p>
        </w:tc>
      </w:tr>
      <w:tr w14:paraId="0FB46EAF">
        <w:trPr>
          <w:trHeight w:val="414" w:hRule="atLeast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4D4258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Fingolimod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3F4C58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940D3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63.2%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017A0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38.4%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192E2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-39.2</w:t>
            </w:r>
          </w:p>
        </w:tc>
      </w:tr>
      <w:tr w14:paraId="40735BEC">
        <w:trPr>
          <w:trHeight w:val="414" w:hRule="atLeast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6FD7EE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Siponimod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B341A1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DF35C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47.4%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36730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31.0%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25A81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-34.6</w:t>
            </w:r>
          </w:p>
        </w:tc>
      </w:tr>
      <w:tr w14:paraId="3D6168F1">
        <w:trPr>
          <w:trHeight w:val="414" w:hRule="atLeast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AF588E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Agalsidase Alfa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1F38AA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15647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406.7%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85A11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149.3%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7830E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-63.3</w:t>
            </w:r>
          </w:p>
        </w:tc>
      </w:tr>
      <w:tr w14:paraId="6A94258E">
        <w:trPr>
          <w:trHeight w:val="414" w:hRule="atLeast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84AB85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Nusinersen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2E8C7C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14A42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691.0%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F7FD2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46.7%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F3DEF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-93.2</w:t>
            </w:r>
          </w:p>
        </w:tc>
      </w:tr>
      <w:tr w14:paraId="0E5BE881">
        <w:trPr>
          <w:trHeight w:val="414" w:hRule="atLeast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2AF9C8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Luspatercept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AC3653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98037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108.2%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5BA00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54.1%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B7714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-50.0</w:t>
            </w:r>
          </w:p>
        </w:tc>
      </w:tr>
      <w:tr w14:paraId="3C85AC4E">
        <w:trPr>
          <w:trHeight w:val="414" w:hRule="atLeast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A4D976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Ripretinib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FBBE84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85997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326.5%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10AF1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87.2%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E1EC0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-73.3</w:t>
            </w:r>
          </w:p>
        </w:tc>
      </w:tr>
      <w:tr w14:paraId="587380C6">
        <w:trPr>
          <w:trHeight w:val="414" w:hRule="atLeast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E6F65A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Treprostinil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78C77C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F74A8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355.8%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71C02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140.6%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2CD1E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-60.5</w:t>
            </w:r>
          </w:p>
        </w:tc>
      </w:tr>
      <w:tr w14:paraId="1D76D5A9">
        <w:trPr>
          <w:trHeight w:val="414" w:hRule="atLeast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D0F490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Ofatumumab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8CACD9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B6272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59.3%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3D635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38.2%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7071F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-35.5</w:t>
            </w:r>
          </w:p>
        </w:tc>
      </w:tr>
      <w:tr w14:paraId="21D59AE1">
        <w:trPr>
          <w:trHeight w:val="414" w:hRule="atLeast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6B9128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Dimethyl Fumarate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4FBA33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F2385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43.6%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A8AF9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20.6%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52EA5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-52.7</w:t>
            </w:r>
          </w:p>
        </w:tc>
      </w:tr>
      <w:tr w14:paraId="36383D32">
        <w:trPr>
          <w:trHeight w:val="414" w:hRule="atLeast"/>
        </w:trPr>
        <w:tc>
          <w:tcPr>
            <w:tcW w:w="167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B8FC3F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="Times New Roman Regular" w:hAnsi="Times New Roman Regular" w:eastAsia="宋体" w:cs="Times New Roman Regular"/>
                <w:b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color w:val="000000"/>
                <w:vertAlign w:val="baseline"/>
              </w:rPr>
              <w:t>Risdiplam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7AAC3A1">
            <w:pPr>
              <w:jc w:val="left"/>
              <w:rPr>
                <w:rFonts w:hint="default" w:ascii="Times New Roman Regular" w:hAnsi="Times New Roman Regular" w:cs="Times New Roman Regular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 Regular" w:hAnsi="Times New Roman Regular" w:cs="Times New Roman Regular"/>
                <w:b w:val="0"/>
                <w:color w:val="000000"/>
                <w:vertAlign w:val="baseline"/>
                <w:lang w:val="en-US" w:eastAsia="zh-CN"/>
              </w:rPr>
              <w:t>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A56ADA5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455.6%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7201E56">
            <w:pPr>
              <w:spacing w:beforeLines="0" w:afterLines="0"/>
              <w:jc w:val="both"/>
              <w:rPr>
                <w:rFonts w:hint="default" w:ascii="Times New Roman Regular" w:hAnsi="Times New Roman Regular" w:eastAsia="Times New Roman Regular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53.1%</w:t>
            </w:r>
          </w:p>
        </w:tc>
        <w:tc>
          <w:tcPr>
            <w:tcW w:w="152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DFB7FEE">
            <w:pPr>
              <w:spacing w:beforeLines="0" w:afterLines="0"/>
              <w:jc w:val="both"/>
              <w:rPr>
                <w:rFonts w:hint="eastAsia" w:ascii="Times New Roman Regular" w:hAnsi="Times New Roman Regular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Times New Roman Regular"/>
                <w:color w:val="000000"/>
                <w:sz w:val="20"/>
                <w:szCs w:val="24"/>
              </w:rPr>
              <w:t>-88.3</w:t>
            </w:r>
            <w:bookmarkStart w:id="0" w:name="_GoBack"/>
            <w:bookmarkEnd w:id="0"/>
          </w:p>
        </w:tc>
      </w:tr>
    </w:tbl>
    <w:p w14:paraId="591062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</w:pPr>
    </w:p>
    <w:p w14:paraId="76AE665C">
      <w:r>
        <w:br w:type="page"/>
      </w:r>
    </w:p>
    <w:p w14:paraId="43A81C22">
      <w:pPr>
        <w:rPr>
          <w:rFonts w:hint="default" w:ascii="Times New Roman Bold" w:hAnsi="Times New Roman Bold" w:cs="Times New Roman Bold"/>
          <w:b/>
          <w:bCs/>
          <w:vertAlign w:val="baseline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vertAlign w:val="baseline"/>
          <w:lang w:val="en-US" w:eastAsia="zh-CN"/>
        </w:rPr>
        <w:t>Supplementary Figure 1.</w:t>
      </w:r>
    </w:p>
    <w:p w14:paraId="7E8CF5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hint="default" w:ascii="Times New Roman Bold" w:hAnsi="Times New Roman Bold" w:cs="Times New Roman Bold"/>
          <w:b/>
          <w:bCs/>
          <w:sz w:val="21"/>
          <w:szCs w:val="21"/>
          <w:lang w:val="en-US"/>
        </w:rPr>
      </w:pPr>
      <w:r>
        <w:rPr>
          <w:rFonts w:hint="default" w:ascii="Times New Roman Bold" w:hAnsi="Times New Roman Bold" w:cs="Times New Roman Bold"/>
          <w:b/>
          <w:bCs/>
          <w:sz w:val="21"/>
          <w:szCs w:val="21"/>
          <w:lang w:val="en-US"/>
        </w:rPr>
        <w:t xml:space="preserve">Observed and predicted </w:t>
      </w:r>
      <w:r>
        <w:rPr>
          <w:rFonts w:hint="eastAsia" w:ascii="Times New Roman Bold" w:hAnsi="Times New Roman Bold" w:cs="Times New Roman Bold"/>
          <w:b/>
          <w:bCs/>
          <w:sz w:val="21"/>
          <w:szCs w:val="21"/>
          <w:lang w:val="en-US" w:eastAsia="zh-CN"/>
        </w:rPr>
        <w:t>procurement volume</w:t>
      </w:r>
      <w:r>
        <w:rPr>
          <w:rFonts w:hint="default" w:ascii="Times New Roman Bold" w:hAnsi="Times New Roman Bold" w:cs="Times New Roman Bold"/>
          <w:b/>
          <w:bCs/>
          <w:sz w:val="21"/>
          <w:szCs w:val="21"/>
          <w:lang w:val="en-US"/>
        </w:rPr>
        <w:t>s of 19 rare disease drugs</w:t>
      </w:r>
    </w:p>
    <w:p w14:paraId="6B4BD611">
      <w:pPr>
        <w:jc w:val="center"/>
      </w:pPr>
      <w:r>
        <w:drawing>
          <wp:inline distT="0" distB="0" distL="114300" distR="114300">
            <wp:extent cx="3867150" cy="5676900"/>
            <wp:effectExtent l="0" t="0" r="19050" b="1270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B1B47">
      <w:r>
        <w:br w:type="page"/>
      </w:r>
    </w:p>
    <w:p w14:paraId="2A80A3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hint="default" w:ascii="Times New Roman Bold" w:hAnsi="Times New Roman Bold" w:cs="Times New Roman Bold"/>
          <w:b/>
          <w:bCs/>
          <w:sz w:val="21"/>
          <w:szCs w:val="21"/>
          <w:lang w:val="en-US"/>
        </w:rPr>
      </w:pPr>
      <w:r>
        <w:rPr>
          <w:rFonts w:hint="default" w:ascii="Times New Roman Bold" w:hAnsi="Times New Roman Bold" w:cs="Times New Roman Bold"/>
          <w:b/>
          <w:bCs/>
          <w:sz w:val="21"/>
          <w:szCs w:val="21"/>
          <w:lang w:val="en-US"/>
        </w:rPr>
        <w:t xml:space="preserve">Supplementary Figure 2. </w:t>
      </w:r>
    </w:p>
    <w:p w14:paraId="52A358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hint="default" w:ascii="Times New Roman Bold" w:hAnsi="Times New Roman Bold" w:cs="Times New Roman Bold"/>
          <w:b/>
          <w:bCs/>
          <w:sz w:val="21"/>
          <w:szCs w:val="21"/>
          <w:lang w:val="en-US"/>
        </w:rPr>
      </w:pPr>
      <w:r>
        <w:rPr>
          <w:rFonts w:hint="default" w:ascii="Times New Roman Bold" w:hAnsi="Times New Roman Bold" w:cs="Times New Roman Bold"/>
          <w:b/>
          <w:bCs/>
          <w:sz w:val="21"/>
          <w:szCs w:val="21"/>
          <w:lang w:val="en-US"/>
        </w:rPr>
        <w:t>Observed and predicted procurement amounts of 19 rare disease drugs</w:t>
      </w:r>
    </w:p>
    <w:p w14:paraId="037B7D38">
      <w:pPr>
        <w:jc w:val="center"/>
      </w:pPr>
      <w:r>
        <w:drawing>
          <wp:inline distT="0" distB="0" distL="114300" distR="114300">
            <wp:extent cx="3952875" cy="5800725"/>
            <wp:effectExtent l="0" t="0" r="9525" b="1587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D13E3">
      <w:r>
        <w:br w:type="page"/>
      </w:r>
    </w:p>
    <w:p w14:paraId="1A8473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hint="default" w:ascii="Times New Roman Bold" w:hAnsi="Times New Roman Bold" w:cs="Times New Roman Bold"/>
          <w:b/>
          <w:bCs/>
          <w:sz w:val="21"/>
          <w:szCs w:val="21"/>
          <w:lang w:val="en-US"/>
        </w:rPr>
      </w:pPr>
      <w:r>
        <w:rPr>
          <w:rFonts w:hint="default" w:ascii="Times New Roman Bold" w:hAnsi="Times New Roman Bold" w:cs="Times New Roman Bold"/>
          <w:b/>
          <w:bCs/>
          <w:sz w:val="21"/>
          <w:szCs w:val="21"/>
          <w:lang w:val="en-US"/>
        </w:rPr>
        <w:t xml:space="preserve">Supplementary Figure 3. </w:t>
      </w:r>
    </w:p>
    <w:p w14:paraId="4CD304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hint="default" w:ascii="Times New Roman Bold" w:hAnsi="Times New Roman Bold" w:cs="Times New Roman Bold"/>
          <w:b/>
          <w:bCs/>
          <w:sz w:val="21"/>
          <w:szCs w:val="21"/>
          <w:lang w:val="en-US"/>
        </w:rPr>
      </w:pPr>
      <w:r>
        <w:rPr>
          <w:rFonts w:hint="default" w:ascii="Times New Roman Bold" w:hAnsi="Times New Roman Bold" w:cs="Times New Roman Bold"/>
          <w:b/>
          <w:bCs/>
          <w:sz w:val="21"/>
          <w:szCs w:val="21"/>
          <w:lang w:val="en-US"/>
        </w:rPr>
        <w:t xml:space="preserve">Observed and predicted </w:t>
      </w:r>
      <w:r>
        <w:rPr>
          <w:rFonts w:hint="eastAsia" w:ascii="Times New Roman Bold" w:hAnsi="Times New Roman Bold" w:cs="Times New Roman Bold"/>
          <w:b/>
          <w:bCs/>
          <w:sz w:val="21"/>
          <w:szCs w:val="21"/>
          <w:lang w:val="en-US" w:eastAsia="zh-CN"/>
        </w:rPr>
        <w:t>daily costs</w:t>
      </w:r>
      <w:r>
        <w:rPr>
          <w:rFonts w:hint="default" w:ascii="Times New Roman Bold" w:hAnsi="Times New Roman Bold" w:cs="Times New Roman Bold"/>
          <w:b/>
          <w:bCs/>
          <w:sz w:val="21"/>
          <w:szCs w:val="21"/>
          <w:lang w:val="en-US"/>
        </w:rPr>
        <w:t xml:space="preserve"> of 19 rare disease drugs</w:t>
      </w:r>
    </w:p>
    <w:p w14:paraId="36458C79">
      <w:pPr>
        <w:jc w:val="center"/>
      </w:pPr>
      <w:r>
        <w:drawing>
          <wp:inline distT="0" distB="0" distL="114300" distR="114300">
            <wp:extent cx="3952875" cy="5629275"/>
            <wp:effectExtent l="0" t="0" r="9525" b="952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Songti SC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FD1290"/>
    <w:rsid w:val="3BDF6A2B"/>
    <w:rsid w:val="4EEFE1D8"/>
    <w:rsid w:val="7DCB698C"/>
    <w:rsid w:val="7DFE29E8"/>
    <w:rsid w:val="BFFD1290"/>
    <w:rsid w:val="BFFE6105"/>
    <w:rsid w:val="CE9E01F1"/>
    <w:rsid w:val="DCFFF0C0"/>
    <w:rsid w:val="F76D6F48"/>
    <w:rsid w:val="F7FE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</TotalTime>
  <ScaleCrop>false</ScaleCrop>
  <LinksUpToDate>false</LinksUpToDate>
  <CharactersWithSpaces>0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2025-09-09T15:06:00Z</dcterms:created>
  <dc:creator>倪隽仪</dc:creator>
  <cp:lastModifiedBy>倪隽仪</cp:lastModifiedBy>
  <dcterms:modified xsi:type="dcterms:W3CDTF">2026-02-03T14:00:34Z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35AC1FE528F311781EDED4682B1DB686_43</vt:lpwstr>
  </property>
</Properties>
</file>