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F38C" w14:textId="77777777" w:rsidR="007C4AB6" w:rsidRDefault="00000000">
      <w:pPr>
        <w:pStyle w:val="1"/>
      </w:pPr>
      <w:r>
        <w:t>STROBE Statement—Checklist of items for cross-sectional studies</w:t>
      </w:r>
    </w:p>
    <w:p w14:paraId="1689E441" w14:textId="77777777" w:rsidR="007C4AB6" w:rsidRDefault="00000000">
      <w:r>
        <w:t>Manuscript title: T12 CT-Derived Visceral Adipose Attenuation and GNRI-Defined Nutritional Risk in Older Adults with Chronic Kidney Disease: A Retrospective Cross-Sectional Study</w:t>
      </w:r>
    </w:p>
    <w:p w14:paraId="43065367" w14:textId="77777777" w:rsidR="007C4AB6" w:rsidRDefault="00000000">
      <w:r>
        <w:t>Article type: Research Article; study design: retrospective cross-sectional study.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7C4AB6" w14:paraId="5D00D4FE" w14:textId="77777777">
        <w:trPr>
          <w:jc w:val="center"/>
        </w:trPr>
        <w:tc>
          <w:tcPr>
            <w:tcW w:w="1872" w:type="dxa"/>
          </w:tcPr>
          <w:p w14:paraId="64BA5C53" w14:textId="77777777" w:rsidR="007C4AB6" w:rsidRDefault="00000000">
            <w:r>
              <w:rPr>
                <w:b/>
                <w:sz w:val="16"/>
              </w:rPr>
              <w:t>Item</w:t>
            </w:r>
          </w:p>
        </w:tc>
        <w:tc>
          <w:tcPr>
            <w:tcW w:w="1872" w:type="dxa"/>
          </w:tcPr>
          <w:p w14:paraId="5C74C80C" w14:textId="77777777" w:rsidR="007C4AB6" w:rsidRDefault="00000000">
            <w:r>
              <w:rPr>
                <w:b/>
                <w:sz w:val="16"/>
              </w:rPr>
              <w:t>Section</w:t>
            </w:r>
          </w:p>
        </w:tc>
        <w:tc>
          <w:tcPr>
            <w:tcW w:w="1872" w:type="dxa"/>
          </w:tcPr>
          <w:p w14:paraId="072B63C8" w14:textId="77777777" w:rsidR="007C4AB6" w:rsidRDefault="00000000">
            <w:r>
              <w:rPr>
                <w:b/>
                <w:sz w:val="16"/>
              </w:rPr>
              <w:t>Recommendation</w:t>
            </w:r>
          </w:p>
        </w:tc>
        <w:tc>
          <w:tcPr>
            <w:tcW w:w="1872" w:type="dxa"/>
          </w:tcPr>
          <w:p w14:paraId="269FA6F5" w14:textId="77777777" w:rsidR="007C4AB6" w:rsidRDefault="00000000">
            <w:r>
              <w:rPr>
                <w:b/>
                <w:sz w:val="16"/>
              </w:rPr>
              <w:t>Location</w:t>
            </w:r>
          </w:p>
        </w:tc>
        <w:tc>
          <w:tcPr>
            <w:tcW w:w="1872" w:type="dxa"/>
          </w:tcPr>
          <w:p w14:paraId="55D4BA6D" w14:textId="77777777" w:rsidR="007C4AB6" w:rsidRDefault="00000000">
            <w:r>
              <w:rPr>
                <w:b/>
                <w:sz w:val="16"/>
              </w:rPr>
              <w:t>Reported information</w:t>
            </w:r>
          </w:p>
        </w:tc>
      </w:tr>
      <w:tr w:rsidR="007C4AB6" w14:paraId="1968D480" w14:textId="77777777">
        <w:trPr>
          <w:jc w:val="center"/>
        </w:trPr>
        <w:tc>
          <w:tcPr>
            <w:tcW w:w="1872" w:type="dxa"/>
          </w:tcPr>
          <w:p w14:paraId="03F7F59C" w14:textId="77777777" w:rsidR="007C4AB6" w:rsidRDefault="00000000">
            <w:r>
              <w:rPr>
                <w:sz w:val="16"/>
              </w:rPr>
              <w:t>1a</w:t>
            </w:r>
          </w:p>
        </w:tc>
        <w:tc>
          <w:tcPr>
            <w:tcW w:w="1872" w:type="dxa"/>
          </w:tcPr>
          <w:p w14:paraId="5A961346" w14:textId="77777777" w:rsidR="007C4AB6" w:rsidRDefault="00000000">
            <w:r>
              <w:rPr>
                <w:sz w:val="16"/>
              </w:rPr>
              <w:t>Title and abstract</w:t>
            </w:r>
          </w:p>
        </w:tc>
        <w:tc>
          <w:tcPr>
            <w:tcW w:w="1872" w:type="dxa"/>
          </w:tcPr>
          <w:p w14:paraId="4A6E47B6" w14:textId="77777777" w:rsidR="007C4AB6" w:rsidRDefault="00000000">
            <w:r>
              <w:rPr>
                <w:sz w:val="16"/>
              </w:rPr>
              <w:t>Indicate the study design with a commonly used term in the title or abstract.</w:t>
            </w:r>
          </w:p>
        </w:tc>
        <w:tc>
          <w:tcPr>
            <w:tcW w:w="1872" w:type="dxa"/>
          </w:tcPr>
          <w:p w14:paraId="03C1DE72" w14:textId="77777777" w:rsidR="007C4AB6" w:rsidRDefault="00000000">
            <w:r>
              <w:rPr>
                <w:sz w:val="16"/>
              </w:rPr>
              <w:t>Title page and Abstract, pp. 1–2</w:t>
            </w:r>
          </w:p>
        </w:tc>
        <w:tc>
          <w:tcPr>
            <w:tcW w:w="1872" w:type="dxa"/>
          </w:tcPr>
          <w:p w14:paraId="3F7F8046" w14:textId="77777777" w:rsidR="007C4AB6" w:rsidRDefault="00000000">
            <w:r>
              <w:rPr>
                <w:sz w:val="16"/>
              </w:rPr>
              <w:t>The title and abstract state that this is a retrospective cross-sectional study.</w:t>
            </w:r>
          </w:p>
        </w:tc>
      </w:tr>
      <w:tr w:rsidR="007C4AB6" w14:paraId="5ED71802" w14:textId="77777777">
        <w:trPr>
          <w:jc w:val="center"/>
        </w:trPr>
        <w:tc>
          <w:tcPr>
            <w:tcW w:w="1872" w:type="dxa"/>
          </w:tcPr>
          <w:p w14:paraId="65ACE885" w14:textId="77777777" w:rsidR="007C4AB6" w:rsidRDefault="00000000">
            <w:r>
              <w:rPr>
                <w:sz w:val="16"/>
              </w:rPr>
              <w:t>1b</w:t>
            </w:r>
          </w:p>
        </w:tc>
        <w:tc>
          <w:tcPr>
            <w:tcW w:w="1872" w:type="dxa"/>
          </w:tcPr>
          <w:p w14:paraId="35613519" w14:textId="77777777" w:rsidR="007C4AB6" w:rsidRDefault="00000000">
            <w:r>
              <w:rPr>
                <w:sz w:val="16"/>
              </w:rPr>
              <w:t>Title and abstract</w:t>
            </w:r>
          </w:p>
        </w:tc>
        <w:tc>
          <w:tcPr>
            <w:tcW w:w="1872" w:type="dxa"/>
          </w:tcPr>
          <w:p w14:paraId="6D3EC071" w14:textId="77777777" w:rsidR="007C4AB6" w:rsidRDefault="00000000">
            <w:r>
              <w:rPr>
                <w:sz w:val="16"/>
              </w:rPr>
              <w:t>Provide in the abstract an informative and balanced summary of what was done and what was found.</w:t>
            </w:r>
          </w:p>
        </w:tc>
        <w:tc>
          <w:tcPr>
            <w:tcW w:w="1872" w:type="dxa"/>
          </w:tcPr>
          <w:p w14:paraId="1B69B061" w14:textId="77777777" w:rsidR="007C4AB6" w:rsidRDefault="00000000">
            <w:r>
              <w:rPr>
                <w:sz w:val="16"/>
              </w:rPr>
              <w:t>Abstract, pp. 1–2</w:t>
            </w:r>
          </w:p>
        </w:tc>
        <w:tc>
          <w:tcPr>
            <w:tcW w:w="1872" w:type="dxa"/>
          </w:tcPr>
          <w:p w14:paraId="40A0407F" w14:textId="10E1BA4D" w:rsidR="007C4AB6" w:rsidRDefault="00A731C6">
            <w:r>
              <w:rPr>
                <w:sz w:val="16"/>
              </w:rPr>
              <w:t>A structured</w:t>
            </w:r>
            <w:r w:rsidR="00000000">
              <w:rPr>
                <w:sz w:val="16"/>
              </w:rPr>
              <w:t xml:space="preserve"> abstract includes Background, Methods, Results, and Conclusions.</w:t>
            </w:r>
          </w:p>
        </w:tc>
      </w:tr>
      <w:tr w:rsidR="007C4AB6" w14:paraId="278AA51E" w14:textId="77777777">
        <w:trPr>
          <w:jc w:val="center"/>
        </w:trPr>
        <w:tc>
          <w:tcPr>
            <w:tcW w:w="1872" w:type="dxa"/>
          </w:tcPr>
          <w:p w14:paraId="7CC0F6B0" w14:textId="77777777" w:rsidR="007C4AB6" w:rsidRDefault="00000000">
            <w:r>
              <w:rPr>
                <w:sz w:val="16"/>
              </w:rPr>
              <w:t>2</w:t>
            </w:r>
          </w:p>
        </w:tc>
        <w:tc>
          <w:tcPr>
            <w:tcW w:w="1872" w:type="dxa"/>
          </w:tcPr>
          <w:p w14:paraId="11C4C8B5" w14:textId="77777777" w:rsidR="007C4AB6" w:rsidRDefault="00000000">
            <w:r>
              <w:rPr>
                <w:sz w:val="16"/>
              </w:rPr>
              <w:t>Background/rationale</w:t>
            </w:r>
          </w:p>
        </w:tc>
        <w:tc>
          <w:tcPr>
            <w:tcW w:w="1872" w:type="dxa"/>
          </w:tcPr>
          <w:p w14:paraId="45548A84" w14:textId="77777777" w:rsidR="007C4AB6" w:rsidRDefault="00000000">
            <w:r>
              <w:rPr>
                <w:sz w:val="16"/>
              </w:rPr>
              <w:t>Explain the scientific background and rationale for the investigation.</w:t>
            </w:r>
          </w:p>
        </w:tc>
        <w:tc>
          <w:tcPr>
            <w:tcW w:w="1872" w:type="dxa"/>
          </w:tcPr>
          <w:p w14:paraId="5752BDB9" w14:textId="77777777" w:rsidR="007C4AB6" w:rsidRDefault="00000000">
            <w:r>
              <w:rPr>
                <w:sz w:val="16"/>
              </w:rPr>
              <w:t>Background, pp. 3–4</w:t>
            </w:r>
          </w:p>
        </w:tc>
        <w:tc>
          <w:tcPr>
            <w:tcW w:w="1872" w:type="dxa"/>
          </w:tcPr>
          <w:p w14:paraId="1C453EE5" w14:textId="3B8CA92C" w:rsidR="007C4AB6" w:rsidRDefault="00000000">
            <w:r>
              <w:rPr>
                <w:sz w:val="16"/>
              </w:rPr>
              <w:t>Rationale covers nutritional assessment in older CKD, CT-derived adipose attenuation, GNRI, and NT-</w:t>
            </w:r>
            <w:proofErr w:type="spellStart"/>
            <w:r>
              <w:rPr>
                <w:sz w:val="16"/>
              </w:rPr>
              <w:t>proBNP</w:t>
            </w:r>
            <w:proofErr w:type="spellEnd"/>
            <w:r>
              <w:rPr>
                <w:sz w:val="16"/>
              </w:rPr>
              <w:t xml:space="preserve"> </w:t>
            </w:r>
            <w:r w:rsidR="00A731C6">
              <w:rPr>
                <w:sz w:val="16"/>
              </w:rPr>
              <w:t>contexts.</w:t>
            </w:r>
          </w:p>
        </w:tc>
      </w:tr>
      <w:tr w:rsidR="007C4AB6" w14:paraId="1F79798C" w14:textId="77777777">
        <w:trPr>
          <w:jc w:val="center"/>
        </w:trPr>
        <w:tc>
          <w:tcPr>
            <w:tcW w:w="1872" w:type="dxa"/>
          </w:tcPr>
          <w:p w14:paraId="0CED4625" w14:textId="77777777" w:rsidR="007C4AB6" w:rsidRDefault="00000000">
            <w:r>
              <w:rPr>
                <w:sz w:val="16"/>
              </w:rPr>
              <w:t>3</w:t>
            </w:r>
          </w:p>
        </w:tc>
        <w:tc>
          <w:tcPr>
            <w:tcW w:w="1872" w:type="dxa"/>
          </w:tcPr>
          <w:p w14:paraId="05A8AF8B" w14:textId="77777777" w:rsidR="007C4AB6" w:rsidRDefault="00000000">
            <w:r>
              <w:rPr>
                <w:sz w:val="16"/>
              </w:rPr>
              <w:t>Objectives</w:t>
            </w:r>
          </w:p>
        </w:tc>
        <w:tc>
          <w:tcPr>
            <w:tcW w:w="1872" w:type="dxa"/>
          </w:tcPr>
          <w:p w14:paraId="33632085" w14:textId="77777777" w:rsidR="007C4AB6" w:rsidRDefault="00000000">
            <w:r>
              <w:rPr>
                <w:sz w:val="16"/>
              </w:rPr>
              <w:t>State specific objectives, including any prespecified hypotheses.</w:t>
            </w:r>
          </w:p>
        </w:tc>
        <w:tc>
          <w:tcPr>
            <w:tcW w:w="1872" w:type="dxa"/>
          </w:tcPr>
          <w:p w14:paraId="7CE34A8E" w14:textId="77777777" w:rsidR="007C4AB6" w:rsidRDefault="00000000">
            <w:r>
              <w:rPr>
                <w:sz w:val="16"/>
              </w:rPr>
              <w:t>End of Background, p. 4</w:t>
            </w:r>
          </w:p>
        </w:tc>
        <w:tc>
          <w:tcPr>
            <w:tcW w:w="1872" w:type="dxa"/>
          </w:tcPr>
          <w:p w14:paraId="36B02B4A" w14:textId="77777777" w:rsidR="007C4AB6" w:rsidRDefault="00000000">
            <w:r>
              <w:rPr>
                <w:sz w:val="16"/>
              </w:rPr>
              <w:t>Objectives specify primary VAT-HU/GNRI-defined nutritional risk analysis, secondary albuminuria-related analyses, and exploratory NT-proBNP analyses.</w:t>
            </w:r>
          </w:p>
        </w:tc>
      </w:tr>
      <w:tr w:rsidR="007C4AB6" w14:paraId="4A973398" w14:textId="77777777">
        <w:trPr>
          <w:jc w:val="center"/>
        </w:trPr>
        <w:tc>
          <w:tcPr>
            <w:tcW w:w="1872" w:type="dxa"/>
          </w:tcPr>
          <w:p w14:paraId="1238A42A" w14:textId="77777777" w:rsidR="007C4AB6" w:rsidRDefault="00000000">
            <w:r>
              <w:rPr>
                <w:sz w:val="16"/>
              </w:rPr>
              <w:t>4</w:t>
            </w:r>
          </w:p>
        </w:tc>
        <w:tc>
          <w:tcPr>
            <w:tcW w:w="1872" w:type="dxa"/>
          </w:tcPr>
          <w:p w14:paraId="21FE8A7E" w14:textId="77777777" w:rsidR="007C4AB6" w:rsidRDefault="00000000">
            <w:r>
              <w:rPr>
                <w:sz w:val="16"/>
              </w:rPr>
              <w:t>Study design</w:t>
            </w:r>
          </w:p>
        </w:tc>
        <w:tc>
          <w:tcPr>
            <w:tcW w:w="1872" w:type="dxa"/>
          </w:tcPr>
          <w:p w14:paraId="3D13D632" w14:textId="77777777" w:rsidR="007C4AB6" w:rsidRDefault="00000000">
            <w:r>
              <w:rPr>
                <w:sz w:val="16"/>
              </w:rPr>
              <w:t>Present key elements of study design early in the paper.</w:t>
            </w:r>
          </w:p>
        </w:tc>
        <w:tc>
          <w:tcPr>
            <w:tcW w:w="1872" w:type="dxa"/>
          </w:tcPr>
          <w:p w14:paraId="3D0D0E83" w14:textId="77777777" w:rsidR="007C4AB6" w:rsidRDefault="00000000">
            <w:r>
              <w:rPr>
                <w:sz w:val="16"/>
              </w:rPr>
              <w:t>Methods: Study design and participants, p. 4</w:t>
            </w:r>
          </w:p>
        </w:tc>
        <w:tc>
          <w:tcPr>
            <w:tcW w:w="1872" w:type="dxa"/>
          </w:tcPr>
          <w:p w14:paraId="38F282F8" w14:textId="03388559" w:rsidR="007C4AB6" w:rsidRDefault="00A731C6">
            <w:r>
              <w:rPr>
                <w:sz w:val="16"/>
              </w:rPr>
              <w:t>A retrospective</w:t>
            </w:r>
            <w:r w:rsidR="00000000">
              <w:rPr>
                <w:sz w:val="16"/>
              </w:rPr>
              <w:t xml:space="preserve"> cross-sectional design and analytic cohort are stated early.</w:t>
            </w:r>
          </w:p>
        </w:tc>
      </w:tr>
      <w:tr w:rsidR="007C4AB6" w14:paraId="7B7562EB" w14:textId="77777777">
        <w:trPr>
          <w:jc w:val="center"/>
        </w:trPr>
        <w:tc>
          <w:tcPr>
            <w:tcW w:w="1872" w:type="dxa"/>
          </w:tcPr>
          <w:p w14:paraId="25A31D58" w14:textId="77777777" w:rsidR="007C4AB6" w:rsidRDefault="00000000">
            <w:r>
              <w:rPr>
                <w:sz w:val="16"/>
              </w:rPr>
              <w:t>5</w:t>
            </w:r>
          </w:p>
        </w:tc>
        <w:tc>
          <w:tcPr>
            <w:tcW w:w="1872" w:type="dxa"/>
          </w:tcPr>
          <w:p w14:paraId="7DA98B9C" w14:textId="77777777" w:rsidR="007C4AB6" w:rsidRDefault="00000000">
            <w:r>
              <w:rPr>
                <w:sz w:val="16"/>
              </w:rPr>
              <w:t>Setting</w:t>
            </w:r>
          </w:p>
        </w:tc>
        <w:tc>
          <w:tcPr>
            <w:tcW w:w="1872" w:type="dxa"/>
          </w:tcPr>
          <w:p w14:paraId="6C5DED49" w14:textId="77777777" w:rsidR="007C4AB6" w:rsidRDefault="00000000">
            <w:r>
              <w:rPr>
                <w:sz w:val="16"/>
              </w:rPr>
              <w:t>Describe the setting, locations, and relevant dates.</w:t>
            </w:r>
          </w:p>
        </w:tc>
        <w:tc>
          <w:tcPr>
            <w:tcW w:w="1872" w:type="dxa"/>
          </w:tcPr>
          <w:p w14:paraId="6A64EF0C" w14:textId="77777777" w:rsidR="007C4AB6" w:rsidRDefault="00000000">
            <w:r>
              <w:rPr>
                <w:sz w:val="16"/>
              </w:rPr>
              <w:t>Methods: Study design and participants, p. 4</w:t>
            </w:r>
          </w:p>
        </w:tc>
        <w:tc>
          <w:tcPr>
            <w:tcW w:w="1872" w:type="dxa"/>
          </w:tcPr>
          <w:p w14:paraId="3D337DFF" w14:textId="6DD4DBA6" w:rsidR="007C4AB6" w:rsidRDefault="00A731C6">
            <w:r>
              <w:rPr>
                <w:sz w:val="16"/>
              </w:rPr>
              <w:t>The hospital</w:t>
            </w:r>
            <w:r w:rsidR="00000000">
              <w:rPr>
                <w:sz w:val="16"/>
              </w:rPr>
              <w:t xml:space="preserve"> setting, Shanghai Sixth People’s Hospital, and admission </w:t>
            </w:r>
            <w:r>
              <w:rPr>
                <w:sz w:val="16"/>
              </w:rPr>
              <w:t>period,</w:t>
            </w:r>
            <w:r w:rsidR="00000000">
              <w:rPr>
                <w:sz w:val="16"/>
              </w:rPr>
              <w:t xml:space="preserve"> January 2018 to December </w:t>
            </w:r>
            <w:r>
              <w:rPr>
                <w:sz w:val="16"/>
              </w:rPr>
              <w:t>2024,</w:t>
            </w:r>
            <w:r w:rsidR="00000000">
              <w:rPr>
                <w:sz w:val="16"/>
              </w:rPr>
              <w:t xml:space="preserve"> are reported.</w:t>
            </w:r>
          </w:p>
        </w:tc>
      </w:tr>
      <w:tr w:rsidR="007C4AB6" w14:paraId="509ECDE8" w14:textId="77777777">
        <w:trPr>
          <w:jc w:val="center"/>
        </w:trPr>
        <w:tc>
          <w:tcPr>
            <w:tcW w:w="1872" w:type="dxa"/>
          </w:tcPr>
          <w:p w14:paraId="6160D5EB" w14:textId="77777777" w:rsidR="007C4AB6" w:rsidRDefault="00000000">
            <w:r>
              <w:rPr>
                <w:sz w:val="16"/>
              </w:rPr>
              <w:lastRenderedPageBreak/>
              <w:t>6a</w:t>
            </w:r>
          </w:p>
        </w:tc>
        <w:tc>
          <w:tcPr>
            <w:tcW w:w="1872" w:type="dxa"/>
          </w:tcPr>
          <w:p w14:paraId="5AFB7EA6" w14:textId="77777777" w:rsidR="007C4AB6" w:rsidRDefault="00000000">
            <w:r>
              <w:rPr>
                <w:sz w:val="16"/>
              </w:rPr>
              <w:t>Participants</w:t>
            </w:r>
          </w:p>
        </w:tc>
        <w:tc>
          <w:tcPr>
            <w:tcW w:w="1872" w:type="dxa"/>
          </w:tcPr>
          <w:p w14:paraId="7D367DD1" w14:textId="77777777" w:rsidR="007C4AB6" w:rsidRDefault="00000000">
            <w:r>
              <w:rPr>
                <w:sz w:val="16"/>
              </w:rPr>
              <w:t>Give eligibility criteria and sources/methods of participant selection.</w:t>
            </w:r>
          </w:p>
        </w:tc>
        <w:tc>
          <w:tcPr>
            <w:tcW w:w="1872" w:type="dxa"/>
          </w:tcPr>
          <w:p w14:paraId="2E85C120" w14:textId="77777777" w:rsidR="007C4AB6" w:rsidRDefault="00000000">
            <w:r>
              <w:rPr>
                <w:sz w:val="16"/>
              </w:rPr>
              <w:t>Methods: Study design and participants, pp. 4–5; Figure 1, p. 20</w:t>
            </w:r>
          </w:p>
        </w:tc>
        <w:tc>
          <w:tcPr>
            <w:tcW w:w="1872" w:type="dxa"/>
          </w:tcPr>
          <w:p w14:paraId="5C4EA863" w14:textId="77777777" w:rsidR="007C4AB6" w:rsidRDefault="00000000">
            <w:r>
              <w:rPr>
                <w:sz w:val="16"/>
              </w:rPr>
              <w:t>Eligibility criteria, CKD ascertainment, exclusions, and participant flow are reported.</w:t>
            </w:r>
          </w:p>
        </w:tc>
      </w:tr>
      <w:tr w:rsidR="007C4AB6" w14:paraId="7B99C8ED" w14:textId="77777777">
        <w:trPr>
          <w:jc w:val="center"/>
        </w:trPr>
        <w:tc>
          <w:tcPr>
            <w:tcW w:w="1872" w:type="dxa"/>
          </w:tcPr>
          <w:p w14:paraId="774E255B" w14:textId="77777777" w:rsidR="007C4AB6" w:rsidRDefault="00000000">
            <w:r>
              <w:rPr>
                <w:sz w:val="16"/>
              </w:rPr>
              <w:t>7</w:t>
            </w:r>
          </w:p>
        </w:tc>
        <w:tc>
          <w:tcPr>
            <w:tcW w:w="1872" w:type="dxa"/>
          </w:tcPr>
          <w:p w14:paraId="0BFBF95D" w14:textId="77777777" w:rsidR="007C4AB6" w:rsidRDefault="00000000">
            <w:r>
              <w:rPr>
                <w:sz w:val="16"/>
              </w:rPr>
              <w:t>Variables</w:t>
            </w:r>
          </w:p>
        </w:tc>
        <w:tc>
          <w:tcPr>
            <w:tcW w:w="1872" w:type="dxa"/>
          </w:tcPr>
          <w:p w14:paraId="5C9A2E70" w14:textId="77777777" w:rsidR="007C4AB6" w:rsidRDefault="00000000">
            <w:r>
              <w:rPr>
                <w:sz w:val="16"/>
              </w:rPr>
              <w:t>Clearly define outcomes, exposures, predictors, potential confounders, and effect modifiers.</w:t>
            </w:r>
          </w:p>
        </w:tc>
        <w:tc>
          <w:tcPr>
            <w:tcW w:w="1872" w:type="dxa"/>
          </w:tcPr>
          <w:p w14:paraId="21F46DBC" w14:textId="0A1BADC5" w:rsidR="007C4AB6" w:rsidRDefault="00000000">
            <w:r>
              <w:rPr>
                <w:sz w:val="16"/>
              </w:rPr>
              <w:t>Methods: Nutritional assessment, CT-derived adipose tissue metrics, NT-</w:t>
            </w:r>
            <w:proofErr w:type="spellStart"/>
            <w:r>
              <w:rPr>
                <w:sz w:val="16"/>
              </w:rPr>
              <w:t>proBNP</w:t>
            </w:r>
            <w:proofErr w:type="spellEnd"/>
            <w:r w:rsidR="00A731C6">
              <w:rPr>
                <w:sz w:val="16"/>
              </w:rPr>
              <w:t>,</w:t>
            </w:r>
            <w:r>
              <w:rPr>
                <w:sz w:val="16"/>
              </w:rPr>
              <w:t xml:space="preserve"> joint phenotype, </w:t>
            </w:r>
            <w:r w:rsidR="00A731C6">
              <w:rPr>
                <w:sz w:val="16"/>
              </w:rPr>
              <w:t>statistical</w:t>
            </w:r>
            <w:r>
              <w:rPr>
                <w:sz w:val="16"/>
              </w:rPr>
              <w:t xml:space="preserve"> analysis, pp. 5–8</w:t>
            </w:r>
          </w:p>
        </w:tc>
        <w:tc>
          <w:tcPr>
            <w:tcW w:w="1872" w:type="dxa"/>
          </w:tcPr>
          <w:p w14:paraId="3922801E" w14:textId="2F773FDC" w:rsidR="007C4AB6" w:rsidRDefault="00000000">
            <w:r>
              <w:rPr>
                <w:sz w:val="16"/>
              </w:rPr>
              <w:t xml:space="preserve">Primary outcome, secondary outcomes, VAT-HU/SAT-HU exposures, covariates, </w:t>
            </w:r>
            <w:r w:rsidR="00A731C6">
              <w:rPr>
                <w:sz w:val="16"/>
              </w:rPr>
              <w:t>NT-</w:t>
            </w:r>
            <w:proofErr w:type="spellStart"/>
            <w:r w:rsidR="00A731C6">
              <w:rPr>
                <w:sz w:val="16"/>
              </w:rPr>
              <w:t>proBNP</w:t>
            </w:r>
            <w:proofErr w:type="spellEnd"/>
            <w:r w:rsidR="00A731C6">
              <w:rPr>
                <w:sz w:val="16"/>
              </w:rPr>
              <w:t>,</w:t>
            </w:r>
            <w:r>
              <w:rPr>
                <w:sz w:val="16"/>
              </w:rPr>
              <w:t xml:space="preserve"> and interaction terms are defined.</w:t>
            </w:r>
          </w:p>
        </w:tc>
      </w:tr>
      <w:tr w:rsidR="007C4AB6" w14:paraId="65370D43" w14:textId="77777777">
        <w:trPr>
          <w:jc w:val="center"/>
        </w:trPr>
        <w:tc>
          <w:tcPr>
            <w:tcW w:w="1872" w:type="dxa"/>
          </w:tcPr>
          <w:p w14:paraId="55BE179E" w14:textId="77777777" w:rsidR="007C4AB6" w:rsidRDefault="00000000">
            <w:r>
              <w:rPr>
                <w:sz w:val="16"/>
              </w:rPr>
              <w:t>8</w:t>
            </w:r>
          </w:p>
        </w:tc>
        <w:tc>
          <w:tcPr>
            <w:tcW w:w="1872" w:type="dxa"/>
          </w:tcPr>
          <w:p w14:paraId="789CFB69" w14:textId="77777777" w:rsidR="007C4AB6" w:rsidRDefault="00000000">
            <w:r>
              <w:rPr>
                <w:sz w:val="16"/>
              </w:rPr>
              <w:t>Data sources/measurement</w:t>
            </w:r>
          </w:p>
        </w:tc>
        <w:tc>
          <w:tcPr>
            <w:tcW w:w="1872" w:type="dxa"/>
          </w:tcPr>
          <w:p w14:paraId="3965E461" w14:textId="77777777" w:rsidR="007C4AB6" w:rsidRDefault="00000000">
            <w:r>
              <w:rPr>
                <w:sz w:val="16"/>
              </w:rPr>
              <w:t>For each variable of interest, give sources of data and details of assessment methods.</w:t>
            </w:r>
          </w:p>
        </w:tc>
        <w:tc>
          <w:tcPr>
            <w:tcW w:w="1872" w:type="dxa"/>
          </w:tcPr>
          <w:p w14:paraId="14F7332F" w14:textId="77777777" w:rsidR="007C4AB6" w:rsidRDefault="00000000">
            <w:r>
              <w:rPr>
                <w:sz w:val="16"/>
              </w:rPr>
              <w:t>Methods: Clinical and laboratory variables; CT-derived adipose tissue metrics, pp. 5–7</w:t>
            </w:r>
          </w:p>
        </w:tc>
        <w:tc>
          <w:tcPr>
            <w:tcW w:w="1872" w:type="dxa"/>
          </w:tcPr>
          <w:p w14:paraId="6A7352A9" w14:textId="140190A8" w:rsidR="007C4AB6" w:rsidRDefault="00000000">
            <w:r>
              <w:rPr>
                <w:sz w:val="16"/>
              </w:rPr>
              <w:t xml:space="preserve">Clinical dataset, laboratory variables, CT parameters, AI </w:t>
            </w:r>
            <w:r w:rsidR="00A731C6">
              <w:rPr>
                <w:sz w:val="16"/>
              </w:rPr>
              <w:t>segmentation,</w:t>
            </w:r>
            <w:r>
              <w:rPr>
                <w:sz w:val="16"/>
              </w:rPr>
              <w:t xml:space="preserve"> and Dice validation are described.</w:t>
            </w:r>
          </w:p>
        </w:tc>
      </w:tr>
      <w:tr w:rsidR="007C4AB6" w14:paraId="53129A84" w14:textId="77777777">
        <w:trPr>
          <w:jc w:val="center"/>
        </w:trPr>
        <w:tc>
          <w:tcPr>
            <w:tcW w:w="1872" w:type="dxa"/>
          </w:tcPr>
          <w:p w14:paraId="0C04A473" w14:textId="77777777" w:rsidR="007C4AB6" w:rsidRDefault="00000000">
            <w:r>
              <w:rPr>
                <w:sz w:val="16"/>
              </w:rPr>
              <w:t>9</w:t>
            </w:r>
          </w:p>
        </w:tc>
        <w:tc>
          <w:tcPr>
            <w:tcW w:w="1872" w:type="dxa"/>
          </w:tcPr>
          <w:p w14:paraId="292592D7" w14:textId="77777777" w:rsidR="007C4AB6" w:rsidRDefault="00000000">
            <w:r>
              <w:rPr>
                <w:sz w:val="16"/>
              </w:rPr>
              <w:t>Bias</w:t>
            </w:r>
          </w:p>
        </w:tc>
        <w:tc>
          <w:tcPr>
            <w:tcW w:w="1872" w:type="dxa"/>
          </w:tcPr>
          <w:p w14:paraId="217F0B63" w14:textId="77777777" w:rsidR="007C4AB6" w:rsidRDefault="00000000">
            <w:r>
              <w:rPr>
                <w:sz w:val="16"/>
              </w:rPr>
              <w:t>Describe efforts to address potential sources of bias.</w:t>
            </w:r>
          </w:p>
        </w:tc>
        <w:tc>
          <w:tcPr>
            <w:tcW w:w="1872" w:type="dxa"/>
          </w:tcPr>
          <w:p w14:paraId="21E4A12B" w14:textId="51894487" w:rsidR="007C4AB6" w:rsidRDefault="00000000">
            <w:r>
              <w:rPr>
                <w:sz w:val="16"/>
              </w:rPr>
              <w:t xml:space="preserve">Methods, pp. 4–8; </w:t>
            </w:r>
            <w:r w:rsidR="00A731C6">
              <w:rPr>
                <w:sz w:val="16"/>
              </w:rPr>
              <w:t>discussion</w:t>
            </w:r>
            <w:r>
              <w:rPr>
                <w:sz w:val="16"/>
              </w:rPr>
              <w:t xml:space="preserve"> limitations, pp. 12–13</w:t>
            </w:r>
          </w:p>
        </w:tc>
        <w:tc>
          <w:tcPr>
            <w:tcW w:w="1872" w:type="dxa"/>
          </w:tcPr>
          <w:p w14:paraId="5B07BE0B" w14:textId="77777777" w:rsidR="007C4AB6" w:rsidRDefault="00000000">
            <w:r>
              <w:rPr>
                <w:sz w:val="16"/>
              </w:rPr>
              <w:t>Complete-case approach, non-contrast CT workflow, visual quality control, covariate adjustment, sensitivity analyses, and limitations are reported.</w:t>
            </w:r>
          </w:p>
        </w:tc>
      </w:tr>
      <w:tr w:rsidR="007C4AB6" w14:paraId="17ED24C7" w14:textId="77777777">
        <w:trPr>
          <w:jc w:val="center"/>
        </w:trPr>
        <w:tc>
          <w:tcPr>
            <w:tcW w:w="1872" w:type="dxa"/>
          </w:tcPr>
          <w:p w14:paraId="0BBE90B9" w14:textId="77777777" w:rsidR="007C4AB6" w:rsidRDefault="00000000">
            <w:r>
              <w:rPr>
                <w:sz w:val="16"/>
              </w:rPr>
              <w:t>10</w:t>
            </w:r>
          </w:p>
        </w:tc>
        <w:tc>
          <w:tcPr>
            <w:tcW w:w="1872" w:type="dxa"/>
          </w:tcPr>
          <w:p w14:paraId="28C2C9B9" w14:textId="77777777" w:rsidR="007C4AB6" w:rsidRDefault="00000000">
            <w:r>
              <w:rPr>
                <w:sz w:val="16"/>
              </w:rPr>
              <w:t>Study size</w:t>
            </w:r>
          </w:p>
        </w:tc>
        <w:tc>
          <w:tcPr>
            <w:tcW w:w="1872" w:type="dxa"/>
          </w:tcPr>
          <w:p w14:paraId="53C180BE" w14:textId="77777777" w:rsidR="007C4AB6" w:rsidRDefault="00000000">
            <w:r>
              <w:rPr>
                <w:sz w:val="16"/>
              </w:rPr>
              <w:t>Explain how the study size was arrived at.</w:t>
            </w:r>
          </w:p>
        </w:tc>
        <w:tc>
          <w:tcPr>
            <w:tcW w:w="1872" w:type="dxa"/>
          </w:tcPr>
          <w:p w14:paraId="4174DE40" w14:textId="77777777" w:rsidR="007C4AB6" w:rsidRDefault="00000000">
            <w:r>
              <w:rPr>
                <w:sz w:val="16"/>
              </w:rPr>
              <w:t>Methods and Results: Participant selection, pp. 4 and 8; Figure 1, p. 20</w:t>
            </w:r>
          </w:p>
        </w:tc>
        <w:tc>
          <w:tcPr>
            <w:tcW w:w="1872" w:type="dxa"/>
          </w:tcPr>
          <w:p w14:paraId="3B7F264D" w14:textId="77777777" w:rsidR="007C4AB6" w:rsidRDefault="00000000">
            <w:r>
              <w:rPr>
                <w:sz w:val="16"/>
              </w:rPr>
              <w:t>Source dataset and complete-case selection are reported; no formal sample-size calculation was performed because this was a retrospective dataset analysis.</w:t>
            </w:r>
          </w:p>
        </w:tc>
      </w:tr>
      <w:tr w:rsidR="007C4AB6" w14:paraId="3A2A132F" w14:textId="77777777">
        <w:trPr>
          <w:jc w:val="center"/>
        </w:trPr>
        <w:tc>
          <w:tcPr>
            <w:tcW w:w="1872" w:type="dxa"/>
          </w:tcPr>
          <w:p w14:paraId="7FA8A0BC" w14:textId="77777777" w:rsidR="007C4AB6" w:rsidRDefault="00000000">
            <w:r>
              <w:rPr>
                <w:sz w:val="16"/>
              </w:rPr>
              <w:t>11</w:t>
            </w:r>
          </w:p>
        </w:tc>
        <w:tc>
          <w:tcPr>
            <w:tcW w:w="1872" w:type="dxa"/>
          </w:tcPr>
          <w:p w14:paraId="032B4037" w14:textId="77777777" w:rsidR="007C4AB6" w:rsidRDefault="00000000">
            <w:r>
              <w:rPr>
                <w:sz w:val="16"/>
              </w:rPr>
              <w:t>Quantitative variables</w:t>
            </w:r>
          </w:p>
        </w:tc>
        <w:tc>
          <w:tcPr>
            <w:tcW w:w="1872" w:type="dxa"/>
          </w:tcPr>
          <w:p w14:paraId="2D4B3175" w14:textId="77777777" w:rsidR="007C4AB6" w:rsidRDefault="00000000">
            <w:r>
              <w:rPr>
                <w:sz w:val="16"/>
              </w:rPr>
              <w:t>Explain how quantitative variables were handled.</w:t>
            </w:r>
          </w:p>
        </w:tc>
        <w:tc>
          <w:tcPr>
            <w:tcW w:w="1872" w:type="dxa"/>
          </w:tcPr>
          <w:p w14:paraId="38B5272E" w14:textId="59BC823B" w:rsidR="007C4AB6" w:rsidRDefault="00000000">
            <w:r>
              <w:rPr>
                <w:sz w:val="16"/>
              </w:rPr>
              <w:t xml:space="preserve">Methods: Nutritional assessment, </w:t>
            </w:r>
            <w:r w:rsidR="00A731C6">
              <w:rPr>
                <w:sz w:val="16"/>
              </w:rPr>
              <w:t>clinical/laboratory</w:t>
            </w:r>
            <w:r>
              <w:rPr>
                <w:sz w:val="16"/>
              </w:rPr>
              <w:t xml:space="preserve"> variables, </w:t>
            </w:r>
            <w:r w:rsidR="00A731C6">
              <w:rPr>
                <w:sz w:val="16"/>
              </w:rPr>
              <w:t>statistical</w:t>
            </w:r>
            <w:r>
              <w:rPr>
                <w:sz w:val="16"/>
              </w:rPr>
              <w:t xml:space="preserve"> analysis, pp. 5–8</w:t>
            </w:r>
          </w:p>
        </w:tc>
        <w:tc>
          <w:tcPr>
            <w:tcW w:w="1872" w:type="dxa"/>
          </w:tcPr>
          <w:p w14:paraId="18ACD9BE" w14:textId="7EB58261" w:rsidR="007C4AB6" w:rsidRDefault="00A731C6">
            <w:r>
              <w:rPr>
                <w:sz w:val="16"/>
              </w:rPr>
              <w:t>The GNRI</w:t>
            </w:r>
            <w:r w:rsidR="00000000">
              <w:rPr>
                <w:sz w:val="16"/>
              </w:rPr>
              <w:t xml:space="preserve"> formula, </w:t>
            </w:r>
            <w:proofErr w:type="spellStart"/>
            <w:r w:rsidR="00000000">
              <w:rPr>
                <w:sz w:val="16"/>
              </w:rPr>
              <w:t>lnUACR</w:t>
            </w:r>
            <w:proofErr w:type="spellEnd"/>
            <w:r w:rsidR="00000000">
              <w:rPr>
                <w:sz w:val="16"/>
              </w:rPr>
              <w:t xml:space="preserve"> transformation, VAT-HU/SAT-HU per 10-HU scaling, log2 </w:t>
            </w:r>
            <w:r>
              <w:rPr>
                <w:sz w:val="16"/>
              </w:rPr>
              <w:t>NT-</w:t>
            </w:r>
            <w:proofErr w:type="spellStart"/>
            <w:r>
              <w:rPr>
                <w:sz w:val="16"/>
              </w:rPr>
              <w:t>proBNP</w:t>
            </w:r>
            <w:proofErr w:type="spellEnd"/>
            <w:r>
              <w:rPr>
                <w:sz w:val="16"/>
              </w:rPr>
              <w:t>,</w:t>
            </w:r>
            <w:r w:rsidR="00000000">
              <w:rPr>
                <w:sz w:val="16"/>
              </w:rPr>
              <w:t xml:space="preserve"> and RCS approach are reported.</w:t>
            </w:r>
          </w:p>
        </w:tc>
      </w:tr>
      <w:tr w:rsidR="007C4AB6" w14:paraId="3D12A267" w14:textId="77777777">
        <w:trPr>
          <w:jc w:val="center"/>
        </w:trPr>
        <w:tc>
          <w:tcPr>
            <w:tcW w:w="1872" w:type="dxa"/>
          </w:tcPr>
          <w:p w14:paraId="7B2EBEA6" w14:textId="77777777" w:rsidR="007C4AB6" w:rsidRDefault="00000000">
            <w:r>
              <w:rPr>
                <w:sz w:val="16"/>
              </w:rPr>
              <w:t>12a</w:t>
            </w:r>
          </w:p>
        </w:tc>
        <w:tc>
          <w:tcPr>
            <w:tcW w:w="1872" w:type="dxa"/>
          </w:tcPr>
          <w:p w14:paraId="4B54D892" w14:textId="77777777" w:rsidR="007C4AB6" w:rsidRDefault="00000000">
            <w:r>
              <w:rPr>
                <w:sz w:val="16"/>
              </w:rPr>
              <w:t>Statistical methods</w:t>
            </w:r>
          </w:p>
        </w:tc>
        <w:tc>
          <w:tcPr>
            <w:tcW w:w="1872" w:type="dxa"/>
          </w:tcPr>
          <w:p w14:paraId="11053308" w14:textId="77777777" w:rsidR="007C4AB6" w:rsidRDefault="00000000">
            <w:r>
              <w:rPr>
                <w:sz w:val="16"/>
              </w:rPr>
              <w:t>Describe all statistical methods, including those used to control for confounding.</w:t>
            </w:r>
          </w:p>
        </w:tc>
        <w:tc>
          <w:tcPr>
            <w:tcW w:w="1872" w:type="dxa"/>
          </w:tcPr>
          <w:p w14:paraId="0F837328" w14:textId="77777777" w:rsidR="007C4AB6" w:rsidRDefault="00000000">
            <w:r>
              <w:rPr>
                <w:sz w:val="16"/>
              </w:rPr>
              <w:t>Statistical analysis, pp. 7–8</w:t>
            </w:r>
          </w:p>
        </w:tc>
        <w:tc>
          <w:tcPr>
            <w:tcW w:w="1872" w:type="dxa"/>
          </w:tcPr>
          <w:p w14:paraId="40E57051" w14:textId="052860DB" w:rsidR="007C4AB6" w:rsidRDefault="00000000">
            <w:r>
              <w:rPr>
                <w:sz w:val="16"/>
              </w:rPr>
              <w:t xml:space="preserve">Linear/logistic regression, fully adjusted models, sensitivity </w:t>
            </w:r>
            <w:r w:rsidR="00A731C6">
              <w:rPr>
                <w:sz w:val="16"/>
              </w:rPr>
              <w:t>analyses,</w:t>
            </w:r>
            <w:r>
              <w:rPr>
                <w:sz w:val="16"/>
              </w:rPr>
              <w:t xml:space="preserve"> and RCS models are described.</w:t>
            </w:r>
          </w:p>
        </w:tc>
      </w:tr>
      <w:tr w:rsidR="007C4AB6" w14:paraId="4D005D7D" w14:textId="77777777">
        <w:trPr>
          <w:jc w:val="center"/>
        </w:trPr>
        <w:tc>
          <w:tcPr>
            <w:tcW w:w="1872" w:type="dxa"/>
          </w:tcPr>
          <w:p w14:paraId="0EED0E21" w14:textId="77777777" w:rsidR="007C4AB6" w:rsidRDefault="00000000">
            <w:r>
              <w:rPr>
                <w:sz w:val="16"/>
              </w:rPr>
              <w:t>12b</w:t>
            </w:r>
          </w:p>
        </w:tc>
        <w:tc>
          <w:tcPr>
            <w:tcW w:w="1872" w:type="dxa"/>
          </w:tcPr>
          <w:p w14:paraId="3743D11F" w14:textId="77777777" w:rsidR="007C4AB6" w:rsidRDefault="00000000">
            <w:r>
              <w:rPr>
                <w:sz w:val="16"/>
              </w:rPr>
              <w:t>Statistical methods</w:t>
            </w:r>
          </w:p>
        </w:tc>
        <w:tc>
          <w:tcPr>
            <w:tcW w:w="1872" w:type="dxa"/>
          </w:tcPr>
          <w:p w14:paraId="3FBA5087" w14:textId="77777777" w:rsidR="007C4AB6" w:rsidRDefault="00000000">
            <w:r>
              <w:rPr>
                <w:sz w:val="16"/>
              </w:rPr>
              <w:t xml:space="preserve">Describe methods used to examine subgroups and </w:t>
            </w:r>
            <w:r>
              <w:rPr>
                <w:sz w:val="16"/>
              </w:rPr>
              <w:lastRenderedPageBreak/>
              <w:t>interactions.</w:t>
            </w:r>
          </w:p>
        </w:tc>
        <w:tc>
          <w:tcPr>
            <w:tcW w:w="1872" w:type="dxa"/>
          </w:tcPr>
          <w:p w14:paraId="69B022B5" w14:textId="77777777" w:rsidR="007C4AB6" w:rsidRDefault="00000000">
            <w:r>
              <w:rPr>
                <w:sz w:val="16"/>
              </w:rPr>
              <w:lastRenderedPageBreak/>
              <w:t xml:space="preserve">Statistical analysis, pp. 7–8; Supplementary </w:t>
            </w:r>
            <w:r>
              <w:rPr>
                <w:sz w:val="16"/>
              </w:rPr>
              <w:lastRenderedPageBreak/>
              <w:t>Table S6</w:t>
            </w:r>
          </w:p>
        </w:tc>
        <w:tc>
          <w:tcPr>
            <w:tcW w:w="1872" w:type="dxa"/>
          </w:tcPr>
          <w:p w14:paraId="25306787" w14:textId="77777777" w:rsidR="007C4AB6" w:rsidRDefault="00000000">
            <w:r>
              <w:rPr>
                <w:sz w:val="16"/>
              </w:rPr>
              <w:lastRenderedPageBreak/>
              <w:t>Joint categories and VAT-HU × log2 NT-</w:t>
            </w:r>
            <w:r>
              <w:rPr>
                <w:sz w:val="16"/>
              </w:rPr>
              <w:lastRenderedPageBreak/>
              <w:t>proBNP interaction analyses are described.</w:t>
            </w:r>
          </w:p>
        </w:tc>
      </w:tr>
      <w:tr w:rsidR="007C4AB6" w14:paraId="72FC9E7E" w14:textId="77777777">
        <w:trPr>
          <w:jc w:val="center"/>
        </w:trPr>
        <w:tc>
          <w:tcPr>
            <w:tcW w:w="1872" w:type="dxa"/>
          </w:tcPr>
          <w:p w14:paraId="220F6E23" w14:textId="77777777" w:rsidR="007C4AB6" w:rsidRDefault="00000000">
            <w:r>
              <w:rPr>
                <w:sz w:val="16"/>
              </w:rPr>
              <w:lastRenderedPageBreak/>
              <w:t>12c</w:t>
            </w:r>
          </w:p>
        </w:tc>
        <w:tc>
          <w:tcPr>
            <w:tcW w:w="1872" w:type="dxa"/>
          </w:tcPr>
          <w:p w14:paraId="4500F381" w14:textId="77777777" w:rsidR="007C4AB6" w:rsidRDefault="00000000">
            <w:r>
              <w:rPr>
                <w:sz w:val="16"/>
              </w:rPr>
              <w:t>Statistical methods</w:t>
            </w:r>
          </w:p>
        </w:tc>
        <w:tc>
          <w:tcPr>
            <w:tcW w:w="1872" w:type="dxa"/>
          </w:tcPr>
          <w:p w14:paraId="508A7DF2" w14:textId="77777777" w:rsidR="007C4AB6" w:rsidRDefault="00000000">
            <w:r>
              <w:rPr>
                <w:sz w:val="16"/>
              </w:rPr>
              <w:t>Explain how missing data were addressed.</w:t>
            </w:r>
          </w:p>
        </w:tc>
        <w:tc>
          <w:tcPr>
            <w:tcW w:w="1872" w:type="dxa"/>
          </w:tcPr>
          <w:p w14:paraId="6C0E7DD6" w14:textId="77777777" w:rsidR="007C4AB6" w:rsidRDefault="00000000">
            <w:r>
              <w:rPr>
                <w:sz w:val="16"/>
              </w:rPr>
              <w:t>Methods, p. 4; Discussion limitations, p. 12</w:t>
            </w:r>
          </w:p>
        </w:tc>
        <w:tc>
          <w:tcPr>
            <w:tcW w:w="1872" w:type="dxa"/>
          </w:tcPr>
          <w:p w14:paraId="02FE5B2E" w14:textId="77777777" w:rsidR="007C4AB6" w:rsidRDefault="00000000">
            <w:r>
              <w:rPr>
                <w:sz w:val="16"/>
              </w:rPr>
              <w:t>Complete-case analysis without multiple imputation is stated; missing categories may overlap.</w:t>
            </w:r>
          </w:p>
        </w:tc>
      </w:tr>
      <w:tr w:rsidR="007C4AB6" w14:paraId="7E6267AA" w14:textId="77777777">
        <w:trPr>
          <w:jc w:val="center"/>
        </w:trPr>
        <w:tc>
          <w:tcPr>
            <w:tcW w:w="1872" w:type="dxa"/>
          </w:tcPr>
          <w:p w14:paraId="60593D1D" w14:textId="77777777" w:rsidR="007C4AB6" w:rsidRDefault="00000000">
            <w:r>
              <w:rPr>
                <w:sz w:val="16"/>
              </w:rPr>
              <w:t>12d</w:t>
            </w:r>
          </w:p>
        </w:tc>
        <w:tc>
          <w:tcPr>
            <w:tcW w:w="1872" w:type="dxa"/>
          </w:tcPr>
          <w:p w14:paraId="5A8A5D52" w14:textId="77777777" w:rsidR="007C4AB6" w:rsidRDefault="00000000">
            <w:r>
              <w:rPr>
                <w:sz w:val="16"/>
              </w:rPr>
              <w:t>Statistical methods</w:t>
            </w:r>
          </w:p>
        </w:tc>
        <w:tc>
          <w:tcPr>
            <w:tcW w:w="1872" w:type="dxa"/>
          </w:tcPr>
          <w:p w14:paraId="092B0030" w14:textId="77777777" w:rsidR="007C4AB6" w:rsidRDefault="00000000">
            <w:r>
              <w:rPr>
                <w:sz w:val="16"/>
              </w:rPr>
              <w:t>If applicable, describe analytical methods taking account of sampling strategy.</w:t>
            </w:r>
          </w:p>
        </w:tc>
        <w:tc>
          <w:tcPr>
            <w:tcW w:w="1872" w:type="dxa"/>
          </w:tcPr>
          <w:p w14:paraId="51B2EC68" w14:textId="77777777" w:rsidR="007C4AB6" w:rsidRDefault="00000000">
            <w:r>
              <w:rPr>
                <w:sz w:val="16"/>
              </w:rPr>
              <w:t>Not applicable</w:t>
            </w:r>
          </w:p>
        </w:tc>
        <w:tc>
          <w:tcPr>
            <w:tcW w:w="1872" w:type="dxa"/>
          </w:tcPr>
          <w:p w14:paraId="582429BF" w14:textId="77777777" w:rsidR="007C4AB6" w:rsidRDefault="00000000">
            <w:r>
              <w:rPr>
                <w:sz w:val="16"/>
              </w:rPr>
              <w:t>This was a single-center hospital-based cohort without complex survey sampling.</w:t>
            </w:r>
          </w:p>
        </w:tc>
      </w:tr>
      <w:tr w:rsidR="007C4AB6" w14:paraId="3055EF5F" w14:textId="77777777">
        <w:trPr>
          <w:jc w:val="center"/>
        </w:trPr>
        <w:tc>
          <w:tcPr>
            <w:tcW w:w="1872" w:type="dxa"/>
          </w:tcPr>
          <w:p w14:paraId="202FD873" w14:textId="77777777" w:rsidR="007C4AB6" w:rsidRDefault="00000000">
            <w:r>
              <w:rPr>
                <w:sz w:val="16"/>
              </w:rPr>
              <w:t>12e</w:t>
            </w:r>
          </w:p>
        </w:tc>
        <w:tc>
          <w:tcPr>
            <w:tcW w:w="1872" w:type="dxa"/>
          </w:tcPr>
          <w:p w14:paraId="668F78A2" w14:textId="77777777" w:rsidR="007C4AB6" w:rsidRDefault="00000000">
            <w:r>
              <w:rPr>
                <w:sz w:val="16"/>
              </w:rPr>
              <w:t>Statistical methods</w:t>
            </w:r>
          </w:p>
        </w:tc>
        <w:tc>
          <w:tcPr>
            <w:tcW w:w="1872" w:type="dxa"/>
          </w:tcPr>
          <w:p w14:paraId="2913DC49" w14:textId="77777777" w:rsidR="007C4AB6" w:rsidRDefault="00000000">
            <w:r>
              <w:rPr>
                <w:sz w:val="16"/>
              </w:rPr>
              <w:t>Describe any sensitivity analyses.</w:t>
            </w:r>
          </w:p>
        </w:tc>
        <w:tc>
          <w:tcPr>
            <w:tcW w:w="1872" w:type="dxa"/>
          </w:tcPr>
          <w:p w14:paraId="79F6928A" w14:textId="77777777" w:rsidR="007C4AB6" w:rsidRDefault="00000000">
            <w:r>
              <w:rPr>
                <w:sz w:val="16"/>
              </w:rPr>
              <w:t>Statistical analysis, pp. 7–8; Results, p. 10; Additional file 1</w:t>
            </w:r>
          </w:p>
        </w:tc>
        <w:tc>
          <w:tcPr>
            <w:tcW w:w="1872" w:type="dxa"/>
          </w:tcPr>
          <w:p w14:paraId="0360B6EA" w14:textId="1BE6106B" w:rsidR="007C4AB6" w:rsidRDefault="00000000">
            <w:r>
              <w:rPr>
                <w:sz w:val="16"/>
              </w:rPr>
              <w:t xml:space="preserve">Age </w:t>
            </w:r>
            <w:r w:rsidR="00A731C6">
              <w:rPr>
                <w:rFonts w:hint="eastAsia"/>
                <w:sz w:val="16"/>
              </w:rPr>
              <w:t>≥</w:t>
            </w:r>
            <w:r w:rsidR="00A731C6">
              <w:rPr>
                <w:sz w:val="16"/>
              </w:rPr>
              <w:t xml:space="preserve"> 65</w:t>
            </w:r>
            <w:r>
              <w:rPr>
                <w:sz w:val="16"/>
              </w:rPr>
              <w:t xml:space="preserve"> subset, CVD-exclusion models, area-adjusted models, NT-</w:t>
            </w:r>
            <w:proofErr w:type="spellStart"/>
            <w:r>
              <w:rPr>
                <w:sz w:val="16"/>
              </w:rPr>
              <w:t>proBNP</w:t>
            </w:r>
            <w:proofErr w:type="spellEnd"/>
            <w:r>
              <w:rPr>
                <w:sz w:val="16"/>
              </w:rPr>
              <w:t xml:space="preserve"> </w:t>
            </w:r>
            <w:r w:rsidR="00A731C6">
              <w:rPr>
                <w:sz w:val="16"/>
              </w:rPr>
              <w:t>models,</w:t>
            </w:r>
            <w:r>
              <w:rPr>
                <w:sz w:val="16"/>
              </w:rPr>
              <w:t xml:space="preserve"> and interaction analyses are reported.</w:t>
            </w:r>
          </w:p>
        </w:tc>
      </w:tr>
      <w:tr w:rsidR="007C4AB6" w14:paraId="5BE4511F" w14:textId="77777777">
        <w:trPr>
          <w:jc w:val="center"/>
        </w:trPr>
        <w:tc>
          <w:tcPr>
            <w:tcW w:w="1872" w:type="dxa"/>
          </w:tcPr>
          <w:p w14:paraId="6BCCEA79" w14:textId="77777777" w:rsidR="007C4AB6" w:rsidRDefault="00000000">
            <w:r>
              <w:rPr>
                <w:sz w:val="16"/>
              </w:rPr>
              <w:t>13a</w:t>
            </w:r>
          </w:p>
        </w:tc>
        <w:tc>
          <w:tcPr>
            <w:tcW w:w="1872" w:type="dxa"/>
          </w:tcPr>
          <w:p w14:paraId="2F4C116E" w14:textId="77777777" w:rsidR="007C4AB6" w:rsidRDefault="00000000">
            <w:r>
              <w:rPr>
                <w:sz w:val="16"/>
              </w:rPr>
              <w:t>Participants</w:t>
            </w:r>
          </w:p>
        </w:tc>
        <w:tc>
          <w:tcPr>
            <w:tcW w:w="1872" w:type="dxa"/>
          </w:tcPr>
          <w:p w14:paraId="14456AFA" w14:textId="77777777" w:rsidR="007C4AB6" w:rsidRDefault="00000000">
            <w:r>
              <w:rPr>
                <w:sz w:val="16"/>
              </w:rPr>
              <w:t>Report numbers of individuals at each stage of the study.</w:t>
            </w:r>
          </w:p>
        </w:tc>
        <w:tc>
          <w:tcPr>
            <w:tcW w:w="1872" w:type="dxa"/>
          </w:tcPr>
          <w:p w14:paraId="4625AD45" w14:textId="77777777" w:rsidR="007C4AB6" w:rsidRDefault="00000000">
            <w:r>
              <w:rPr>
                <w:sz w:val="16"/>
              </w:rPr>
              <w:t>Results: Participant selection, p. 8; Figure 1, p. 20</w:t>
            </w:r>
          </w:p>
        </w:tc>
        <w:tc>
          <w:tcPr>
            <w:tcW w:w="1872" w:type="dxa"/>
          </w:tcPr>
          <w:p w14:paraId="2E750F9A" w14:textId="49669C1F" w:rsidR="007C4AB6" w:rsidRDefault="00A731C6">
            <w:r>
              <w:rPr>
                <w:sz w:val="16"/>
              </w:rPr>
              <w:t>The source</w:t>
            </w:r>
            <w:r w:rsidR="00000000">
              <w:rPr>
                <w:sz w:val="16"/>
              </w:rPr>
              <w:t xml:space="preserve"> dataset, older-adult subset, missing data </w:t>
            </w:r>
            <w:r>
              <w:rPr>
                <w:sz w:val="16"/>
              </w:rPr>
              <w:t>exclusions,</w:t>
            </w:r>
            <w:r w:rsidR="00000000">
              <w:rPr>
                <w:sz w:val="16"/>
              </w:rPr>
              <w:t xml:space="preserve"> and final analytic cohort are reported.</w:t>
            </w:r>
          </w:p>
        </w:tc>
      </w:tr>
      <w:tr w:rsidR="007C4AB6" w14:paraId="2C3FEBAB" w14:textId="77777777">
        <w:trPr>
          <w:jc w:val="center"/>
        </w:trPr>
        <w:tc>
          <w:tcPr>
            <w:tcW w:w="1872" w:type="dxa"/>
          </w:tcPr>
          <w:p w14:paraId="61090BB8" w14:textId="77777777" w:rsidR="007C4AB6" w:rsidRDefault="00000000">
            <w:r>
              <w:rPr>
                <w:sz w:val="16"/>
              </w:rPr>
              <w:t>13b</w:t>
            </w:r>
          </w:p>
        </w:tc>
        <w:tc>
          <w:tcPr>
            <w:tcW w:w="1872" w:type="dxa"/>
          </w:tcPr>
          <w:p w14:paraId="33137C8B" w14:textId="77777777" w:rsidR="007C4AB6" w:rsidRDefault="00000000">
            <w:r>
              <w:rPr>
                <w:sz w:val="16"/>
              </w:rPr>
              <w:t>Participants</w:t>
            </w:r>
          </w:p>
        </w:tc>
        <w:tc>
          <w:tcPr>
            <w:tcW w:w="1872" w:type="dxa"/>
          </w:tcPr>
          <w:p w14:paraId="0D9DAD27" w14:textId="77777777" w:rsidR="007C4AB6" w:rsidRDefault="00000000">
            <w:r>
              <w:rPr>
                <w:sz w:val="16"/>
              </w:rPr>
              <w:t>Give reasons for non-participation at each stage.</w:t>
            </w:r>
          </w:p>
        </w:tc>
        <w:tc>
          <w:tcPr>
            <w:tcW w:w="1872" w:type="dxa"/>
          </w:tcPr>
          <w:p w14:paraId="75085DAC" w14:textId="77777777" w:rsidR="007C4AB6" w:rsidRDefault="00000000">
            <w:r>
              <w:rPr>
                <w:sz w:val="16"/>
              </w:rPr>
              <w:t>Methods/Results, pp. 4 and 8; Figure 1, p. 20</w:t>
            </w:r>
          </w:p>
        </w:tc>
        <w:tc>
          <w:tcPr>
            <w:tcW w:w="1872" w:type="dxa"/>
          </w:tcPr>
          <w:p w14:paraId="5CFE8BA4" w14:textId="77777777" w:rsidR="007C4AB6" w:rsidRDefault="00000000">
            <w:r>
              <w:rPr>
                <w:sz w:val="16"/>
              </w:rPr>
              <w:t>Age restriction and incomplete data exclusions are reported.</w:t>
            </w:r>
          </w:p>
        </w:tc>
      </w:tr>
      <w:tr w:rsidR="007C4AB6" w14:paraId="137C60F0" w14:textId="77777777">
        <w:trPr>
          <w:jc w:val="center"/>
        </w:trPr>
        <w:tc>
          <w:tcPr>
            <w:tcW w:w="1872" w:type="dxa"/>
          </w:tcPr>
          <w:p w14:paraId="2B40D7D6" w14:textId="77777777" w:rsidR="007C4AB6" w:rsidRDefault="00000000">
            <w:r>
              <w:rPr>
                <w:sz w:val="16"/>
              </w:rPr>
              <w:t>13c</w:t>
            </w:r>
          </w:p>
        </w:tc>
        <w:tc>
          <w:tcPr>
            <w:tcW w:w="1872" w:type="dxa"/>
          </w:tcPr>
          <w:p w14:paraId="71A508FA" w14:textId="77777777" w:rsidR="007C4AB6" w:rsidRDefault="00000000">
            <w:r>
              <w:rPr>
                <w:sz w:val="16"/>
              </w:rPr>
              <w:t>Participants</w:t>
            </w:r>
          </w:p>
        </w:tc>
        <w:tc>
          <w:tcPr>
            <w:tcW w:w="1872" w:type="dxa"/>
          </w:tcPr>
          <w:p w14:paraId="63564FA9" w14:textId="37BFC8A0" w:rsidR="007C4AB6" w:rsidRDefault="00000000">
            <w:r>
              <w:rPr>
                <w:sz w:val="16"/>
              </w:rPr>
              <w:t xml:space="preserve">Consider </w:t>
            </w:r>
            <w:r w:rsidR="00A731C6">
              <w:rPr>
                <w:rFonts w:eastAsia="宋体" w:hint="eastAsia"/>
                <w:sz w:val="16"/>
                <w:lang w:eastAsia="zh-CN"/>
              </w:rPr>
              <w:t xml:space="preserve">the </w:t>
            </w:r>
            <w:r>
              <w:rPr>
                <w:sz w:val="16"/>
              </w:rPr>
              <w:t>use of a flow diagram.</w:t>
            </w:r>
          </w:p>
        </w:tc>
        <w:tc>
          <w:tcPr>
            <w:tcW w:w="1872" w:type="dxa"/>
          </w:tcPr>
          <w:p w14:paraId="013AF584" w14:textId="77777777" w:rsidR="007C4AB6" w:rsidRDefault="00000000">
            <w:r>
              <w:rPr>
                <w:sz w:val="16"/>
              </w:rPr>
              <w:t>Figure 1, p. 20</w:t>
            </w:r>
          </w:p>
        </w:tc>
        <w:tc>
          <w:tcPr>
            <w:tcW w:w="1872" w:type="dxa"/>
          </w:tcPr>
          <w:p w14:paraId="4DE98ABD" w14:textId="77777777" w:rsidR="007C4AB6" w:rsidRDefault="00000000">
            <w:r>
              <w:rPr>
                <w:sz w:val="16"/>
              </w:rPr>
              <w:t>A study flowchart is included.</w:t>
            </w:r>
          </w:p>
        </w:tc>
      </w:tr>
      <w:tr w:rsidR="007C4AB6" w14:paraId="5493BF78" w14:textId="77777777">
        <w:trPr>
          <w:jc w:val="center"/>
        </w:trPr>
        <w:tc>
          <w:tcPr>
            <w:tcW w:w="1872" w:type="dxa"/>
          </w:tcPr>
          <w:p w14:paraId="259F81D3" w14:textId="77777777" w:rsidR="007C4AB6" w:rsidRDefault="00000000">
            <w:r>
              <w:rPr>
                <w:sz w:val="16"/>
              </w:rPr>
              <w:t>14a</w:t>
            </w:r>
          </w:p>
        </w:tc>
        <w:tc>
          <w:tcPr>
            <w:tcW w:w="1872" w:type="dxa"/>
          </w:tcPr>
          <w:p w14:paraId="73443CB0" w14:textId="77777777" w:rsidR="007C4AB6" w:rsidRDefault="00000000">
            <w:r>
              <w:rPr>
                <w:sz w:val="16"/>
              </w:rPr>
              <w:t>Descriptive data</w:t>
            </w:r>
          </w:p>
        </w:tc>
        <w:tc>
          <w:tcPr>
            <w:tcW w:w="1872" w:type="dxa"/>
          </w:tcPr>
          <w:p w14:paraId="1BD91F41" w14:textId="77777777" w:rsidR="007C4AB6" w:rsidRDefault="00000000">
            <w:r>
              <w:rPr>
                <w:sz w:val="16"/>
              </w:rPr>
              <w:t>Give characteristics of study participants.</w:t>
            </w:r>
          </w:p>
        </w:tc>
        <w:tc>
          <w:tcPr>
            <w:tcW w:w="1872" w:type="dxa"/>
          </w:tcPr>
          <w:p w14:paraId="7390C911" w14:textId="77777777" w:rsidR="007C4AB6" w:rsidRDefault="00000000">
            <w:r>
              <w:rPr>
                <w:sz w:val="16"/>
              </w:rPr>
              <w:t>Results, pp. 8–9; Table 1, p. 24; Additional file 1 Table S1</w:t>
            </w:r>
          </w:p>
        </w:tc>
        <w:tc>
          <w:tcPr>
            <w:tcW w:w="1872" w:type="dxa"/>
          </w:tcPr>
          <w:p w14:paraId="147E83D2" w14:textId="77777777" w:rsidR="007C4AB6" w:rsidRDefault="00000000">
            <w:r>
              <w:rPr>
                <w:sz w:val="16"/>
              </w:rPr>
              <w:t>Baseline characteristics by GNRI-defined nutritional risk and sex-stratified supplementary characteristics are provided.</w:t>
            </w:r>
          </w:p>
        </w:tc>
      </w:tr>
      <w:tr w:rsidR="007C4AB6" w14:paraId="34C34697" w14:textId="77777777">
        <w:trPr>
          <w:jc w:val="center"/>
        </w:trPr>
        <w:tc>
          <w:tcPr>
            <w:tcW w:w="1872" w:type="dxa"/>
          </w:tcPr>
          <w:p w14:paraId="43253091" w14:textId="77777777" w:rsidR="007C4AB6" w:rsidRDefault="00000000">
            <w:r>
              <w:rPr>
                <w:sz w:val="16"/>
              </w:rPr>
              <w:t>14b</w:t>
            </w:r>
          </w:p>
        </w:tc>
        <w:tc>
          <w:tcPr>
            <w:tcW w:w="1872" w:type="dxa"/>
          </w:tcPr>
          <w:p w14:paraId="04C4F994" w14:textId="77777777" w:rsidR="007C4AB6" w:rsidRDefault="00000000">
            <w:r>
              <w:rPr>
                <w:sz w:val="16"/>
              </w:rPr>
              <w:t>Descriptive data</w:t>
            </w:r>
          </w:p>
        </w:tc>
        <w:tc>
          <w:tcPr>
            <w:tcW w:w="1872" w:type="dxa"/>
          </w:tcPr>
          <w:p w14:paraId="13A76082" w14:textId="77777777" w:rsidR="007C4AB6" w:rsidRDefault="00000000">
            <w:r>
              <w:rPr>
                <w:sz w:val="16"/>
              </w:rPr>
              <w:t>Indicate number of participants with missing data for each variable of interest.</w:t>
            </w:r>
          </w:p>
        </w:tc>
        <w:tc>
          <w:tcPr>
            <w:tcW w:w="1872" w:type="dxa"/>
          </w:tcPr>
          <w:p w14:paraId="172E287B" w14:textId="77777777" w:rsidR="007C4AB6" w:rsidRDefault="00000000">
            <w:r>
              <w:rPr>
                <w:sz w:val="16"/>
              </w:rPr>
              <w:t>Methods, p. 4; Results, p. 8; Figure 1, p. 20</w:t>
            </w:r>
          </w:p>
        </w:tc>
        <w:tc>
          <w:tcPr>
            <w:tcW w:w="1872" w:type="dxa"/>
          </w:tcPr>
          <w:p w14:paraId="60D3B493" w14:textId="77777777" w:rsidR="007C4AB6" w:rsidRDefault="00000000">
            <w:r>
              <w:rPr>
                <w:sz w:val="16"/>
              </w:rPr>
              <w:t>Overall complete-case exclusion is reported; detailed missing categories were not mutually exclusive and were not imputed.</w:t>
            </w:r>
          </w:p>
        </w:tc>
      </w:tr>
      <w:tr w:rsidR="007C4AB6" w14:paraId="03D2AE16" w14:textId="77777777">
        <w:trPr>
          <w:jc w:val="center"/>
        </w:trPr>
        <w:tc>
          <w:tcPr>
            <w:tcW w:w="1872" w:type="dxa"/>
          </w:tcPr>
          <w:p w14:paraId="4277EADE" w14:textId="77777777" w:rsidR="007C4AB6" w:rsidRDefault="00000000">
            <w:r>
              <w:rPr>
                <w:sz w:val="16"/>
              </w:rPr>
              <w:t>14c</w:t>
            </w:r>
          </w:p>
        </w:tc>
        <w:tc>
          <w:tcPr>
            <w:tcW w:w="1872" w:type="dxa"/>
          </w:tcPr>
          <w:p w14:paraId="0D7A2297" w14:textId="77777777" w:rsidR="007C4AB6" w:rsidRDefault="00000000">
            <w:r>
              <w:rPr>
                <w:sz w:val="16"/>
              </w:rPr>
              <w:t>Descriptive data</w:t>
            </w:r>
          </w:p>
        </w:tc>
        <w:tc>
          <w:tcPr>
            <w:tcW w:w="1872" w:type="dxa"/>
          </w:tcPr>
          <w:p w14:paraId="218DA977" w14:textId="77777777" w:rsidR="007C4AB6" w:rsidRDefault="00000000">
            <w:r>
              <w:rPr>
                <w:sz w:val="16"/>
              </w:rPr>
              <w:t>Summarise follow-up time where applicable.</w:t>
            </w:r>
          </w:p>
        </w:tc>
        <w:tc>
          <w:tcPr>
            <w:tcW w:w="1872" w:type="dxa"/>
          </w:tcPr>
          <w:p w14:paraId="52AAECF5" w14:textId="77777777" w:rsidR="007C4AB6" w:rsidRDefault="00000000">
            <w:r>
              <w:rPr>
                <w:sz w:val="16"/>
              </w:rPr>
              <w:t>Not applicable</w:t>
            </w:r>
          </w:p>
        </w:tc>
        <w:tc>
          <w:tcPr>
            <w:tcW w:w="1872" w:type="dxa"/>
          </w:tcPr>
          <w:p w14:paraId="02514BB9" w14:textId="77777777" w:rsidR="007C4AB6" w:rsidRDefault="00000000">
            <w:r>
              <w:rPr>
                <w:sz w:val="16"/>
              </w:rPr>
              <w:t xml:space="preserve">The study is cross-sectional and did not </w:t>
            </w:r>
            <w:r>
              <w:rPr>
                <w:sz w:val="16"/>
              </w:rPr>
              <w:lastRenderedPageBreak/>
              <w:t>include follow-up time.</w:t>
            </w:r>
          </w:p>
        </w:tc>
      </w:tr>
      <w:tr w:rsidR="007C4AB6" w14:paraId="60388E90" w14:textId="77777777">
        <w:trPr>
          <w:jc w:val="center"/>
        </w:trPr>
        <w:tc>
          <w:tcPr>
            <w:tcW w:w="1872" w:type="dxa"/>
          </w:tcPr>
          <w:p w14:paraId="446D261C" w14:textId="77777777" w:rsidR="007C4AB6" w:rsidRDefault="00000000">
            <w:r>
              <w:rPr>
                <w:sz w:val="16"/>
              </w:rPr>
              <w:lastRenderedPageBreak/>
              <w:t>15</w:t>
            </w:r>
          </w:p>
        </w:tc>
        <w:tc>
          <w:tcPr>
            <w:tcW w:w="1872" w:type="dxa"/>
          </w:tcPr>
          <w:p w14:paraId="2A5BDFC6" w14:textId="77777777" w:rsidR="007C4AB6" w:rsidRDefault="00000000">
            <w:r>
              <w:rPr>
                <w:sz w:val="16"/>
              </w:rPr>
              <w:t>Outcome data</w:t>
            </w:r>
          </w:p>
        </w:tc>
        <w:tc>
          <w:tcPr>
            <w:tcW w:w="1872" w:type="dxa"/>
          </w:tcPr>
          <w:p w14:paraId="21A470CB" w14:textId="77777777" w:rsidR="007C4AB6" w:rsidRDefault="00000000">
            <w:r>
              <w:rPr>
                <w:sz w:val="16"/>
              </w:rPr>
              <w:t>Report numbers of outcome events or summary measures.</w:t>
            </w:r>
          </w:p>
        </w:tc>
        <w:tc>
          <w:tcPr>
            <w:tcW w:w="1872" w:type="dxa"/>
          </w:tcPr>
          <w:p w14:paraId="3C87E8A0" w14:textId="77777777" w:rsidR="007C4AB6" w:rsidRDefault="00000000">
            <w:r>
              <w:rPr>
                <w:sz w:val="16"/>
              </w:rPr>
              <w:t>Results, pp. 8–10; Tables 1–4; Additional file 1</w:t>
            </w:r>
          </w:p>
        </w:tc>
        <w:tc>
          <w:tcPr>
            <w:tcW w:w="1872" w:type="dxa"/>
          </w:tcPr>
          <w:p w14:paraId="44F4038A" w14:textId="77777777" w:rsidR="007C4AB6" w:rsidRDefault="00000000">
            <w:r>
              <w:rPr>
                <w:sz w:val="16"/>
              </w:rPr>
              <w:t>Numbers and percentages for GNRI &lt;98 and A3 albuminuria are reported in baseline and joint-category tables.</w:t>
            </w:r>
          </w:p>
        </w:tc>
      </w:tr>
      <w:tr w:rsidR="007C4AB6" w14:paraId="51BA1D37" w14:textId="77777777">
        <w:trPr>
          <w:jc w:val="center"/>
        </w:trPr>
        <w:tc>
          <w:tcPr>
            <w:tcW w:w="1872" w:type="dxa"/>
          </w:tcPr>
          <w:p w14:paraId="74C20473" w14:textId="77777777" w:rsidR="007C4AB6" w:rsidRDefault="00000000">
            <w:r>
              <w:rPr>
                <w:sz w:val="16"/>
              </w:rPr>
              <w:t>16a</w:t>
            </w:r>
          </w:p>
        </w:tc>
        <w:tc>
          <w:tcPr>
            <w:tcW w:w="1872" w:type="dxa"/>
          </w:tcPr>
          <w:p w14:paraId="52319D52" w14:textId="77777777" w:rsidR="007C4AB6" w:rsidRDefault="00000000">
            <w:r>
              <w:rPr>
                <w:sz w:val="16"/>
              </w:rPr>
              <w:t>Main results</w:t>
            </w:r>
          </w:p>
        </w:tc>
        <w:tc>
          <w:tcPr>
            <w:tcW w:w="1872" w:type="dxa"/>
          </w:tcPr>
          <w:p w14:paraId="546D4235" w14:textId="77777777" w:rsidR="007C4AB6" w:rsidRDefault="00000000">
            <w:r>
              <w:rPr>
                <w:sz w:val="16"/>
              </w:rPr>
              <w:t>Give unadjusted and confounder-adjusted estimates and precision.</w:t>
            </w:r>
          </w:p>
        </w:tc>
        <w:tc>
          <w:tcPr>
            <w:tcW w:w="1872" w:type="dxa"/>
          </w:tcPr>
          <w:p w14:paraId="7E91C8E9" w14:textId="77777777" w:rsidR="007C4AB6" w:rsidRDefault="00000000">
            <w:r>
              <w:rPr>
                <w:sz w:val="16"/>
              </w:rPr>
              <w:t>Results, pp. 9–10; Tables 2–4; Additional file 1</w:t>
            </w:r>
          </w:p>
        </w:tc>
        <w:tc>
          <w:tcPr>
            <w:tcW w:w="1872" w:type="dxa"/>
          </w:tcPr>
          <w:p w14:paraId="39D594CC" w14:textId="77777777" w:rsidR="007C4AB6" w:rsidRDefault="00000000">
            <w:r>
              <w:rPr>
                <w:sz w:val="16"/>
              </w:rPr>
              <w:t>Beta coefficients/ORs and 95% CIs are reported across models.</w:t>
            </w:r>
          </w:p>
        </w:tc>
      </w:tr>
      <w:tr w:rsidR="007C4AB6" w14:paraId="4C3ED090" w14:textId="77777777">
        <w:trPr>
          <w:jc w:val="center"/>
        </w:trPr>
        <w:tc>
          <w:tcPr>
            <w:tcW w:w="1872" w:type="dxa"/>
          </w:tcPr>
          <w:p w14:paraId="6BFFAF47" w14:textId="77777777" w:rsidR="007C4AB6" w:rsidRDefault="00000000">
            <w:r>
              <w:rPr>
                <w:sz w:val="16"/>
              </w:rPr>
              <w:t>16b</w:t>
            </w:r>
          </w:p>
        </w:tc>
        <w:tc>
          <w:tcPr>
            <w:tcW w:w="1872" w:type="dxa"/>
          </w:tcPr>
          <w:p w14:paraId="4AF43100" w14:textId="77777777" w:rsidR="007C4AB6" w:rsidRDefault="00000000">
            <w:r>
              <w:rPr>
                <w:sz w:val="16"/>
              </w:rPr>
              <w:t>Main results</w:t>
            </w:r>
          </w:p>
        </w:tc>
        <w:tc>
          <w:tcPr>
            <w:tcW w:w="1872" w:type="dxa"/>
          </w:tcPr>
          <w:p w14:paraId="1508B0BC" w14:textId="77777777" w:rsidR="007C4AB6" w:rsidRDefault="00000000">
            <w:r>
              <w:rPr>
                <w:sz w:val="16"/>
              </w:rPr>
              <w:t>Report category boundaries when continuous variables were categorized.</w:t>
            </w:r>
          </w:p>
        </w:tc>
        <w:tc>
          <w:tcPr>
            <w:tcW w:w="1872" w:type="dxa"/>
          </w:tcPr>
          <w:p w14:paraId="0970C6B6" w14:textId="77777777" w:rsidR="007C4AB6" w:rsidRDefault="00000000">
            <w:r>
              <w:rPr>
                <w:sz w:val="16"/>
              </w:rPr>
              <w:t>Methods, pp. 5 and 7; Table 4 legend</w:t>
            </w:r>
          </w:p>
        </w:tc>
        <w:tc>
          <w:tcPr>
            <w:tcW w:w="1872" w:type="dxa"/>
          </w:tcPr>
          <w:p w14:paraId="4683E040" w14:textId="77777777" w:rsidR="007C4AB6" w:rsidRDefault="00000000">
            <w:r>
              <w:rPr>
                <w:sz w:val="16"/>
              </w:rPr>
              <w:t>GNRI &lt;98, hypoalbuminemia, A3 albuminuria, and sex-specific median-based VAT-HU/NT-proBNP categories are defined.</w:t>
            </w:r>
          </w:p>
        </w:tc>
      </w:tr>
      <w:tr w:rsidR="007C4AB6" w14:paraId="42AC5AB5" w14:textId="77777777">
        <w:trPr>
          <w:jc w:val="center"/>
        </w:trPr>
        <w:tc>
          <w:tcPr>
            <w:tcW w:w="1872" w:type="dxa"/>
          </w:tcPr>
          <w:p w14:paraId="20D411EF" w14:textId="77777777" w:rsidR="007C4AB6" w:rsidRDefault="00000000">
            <w:r>
              <w:rPr>
                <w:sz w:val="16"/>
              </w:rPr>
              <w:t>16c</w:t>
            </w:r>
          </w:p>
        </w:tc>
        <w:tc>
          <w:tcPr>
            <w:tcW w:w="1872" w:type="dxa"/>
          </w:tcPr>
          <w:p w14:paraId="02C0CDB4" w14:textId="77777777" w:rsidR="007C4AB6" w:rsidRDefault="00000000">
            <w:r>
              <w:rPr>
                <w:sz w:val="16"/>
              </w:rPr>
              <w:t>Main results</w:t>
            </w:r>
          </w:p>
        </w:tc>
        <w:tc>
          <w:tcPr>
            <w:tcW w:w="1872" w:type="dxa"/>
          </w:tcPr>
          <w:p w14:paraId="39A017A1" w14:textId="77777777" w:rsidR="007C4AB6" w:rsidRDefault="00000000">
            <w:r>
              <w:rPr>
                <w:sz w:val="16"/>
              </w:rPr>
              <w:t>If relevant, consider translating relative risk into absolute risk.</w:t>
            </w:r>
          </w:p>
        </w:tc>
        <w:tc>
          <w:tcPr>
            <w:tcW w:w="1872" w:type="dxa"/>
          </w:tcPr>
          <w:p w14:paraId="4DB75FE5" w14:textId="77777777" w:rsidR="007C4AB6" w:rsidRDefault="00000000">
            <w:r>
              <w:rPr>
                <w:sz w:val="16"/>
              </w:rPr>
              <w:t>Tables 1 and 4, pp. 24–26</w:t>
            </w:r>
          </w:p>
        </w:tc>
        <w:tc>
          <w:tcPr>
            <w:tcW w:w="1872" w:type="dxa"/>
          </w:tcPr>
          <w:p w14:paraId="0EE6ADF5" w14:textId="77777777" w:rsidR="007C4AB6" w:rsidRDefault="00000000">
            <w:r>
              <w:rPr>
                <w:sz w:val="16"/>
              </w:rPr>
              <w:t>Event counts and percentages are provided for key binary outcomes.</w:t>
            </w:r>
          </w:p>
        </w:tc>
      </w:tr>
      <w:tr w:rsidR="007C4AB6" w14:paraId="43813F24" w14:textId="77777777">
        <w:trPr>
          <w:jc w:val="center"/>
        </w:trPr>
        <w:tc>
          <w:tcPr>
            <w:tcW w:w="1872" w:type="dxa"/>
          </w:tcPr>
          <w:p w14:paraId="6920AF43" w14:textId="77777777" w:rsidR="007C4AB6" w:rsidRDefault="00000000">
            <w:r>
              <w:rPr>
                <w:sz w:val="16"/>
              </w:rPr>
              <w:t>17</w:t>
            </w:r>
          </w:p>
        </w:tc>
        <w:tc>
          <w:tcPr>
            <w:tcW w:w="1872" w:type="dxa"/>
          </w:tcPr>
          <w:p w14:paraId="25F0918E" w14:textId="77777777" w:rsidR="007C4AB6" w:rsidRDefault="00000000">
            <w:r>
              <w:rPr>
                <w:sz w:val="16"/>
              </w:rPr>
              <w:t>Other analyses</w:t>
            </w:r>
          </w:p>
        </w:tc>
        <w:tc>
          <w:tcPr>
            <w:tcW w:w="1872" w:type="dxa"/>
          </w:tcPr>
          <w:p w14:paraId="190CC3DD" w14:textId="77777777" w:rsidR="007C4AB6" w:rsidRDefault="00000000">
            <w:r>
              <w:rPr>
                <w:sz w:val="16"/>
              </w:rPr>
              <w:t>Report other analyses done.</w:t>
            </w:r>
          </w:p>
        </w:tc>
        <w:tc>
          <w:tcPr>
            <w:tcW w:w="1872" w:type="dxa"/>
          </w:tcPr>
          <w:p w14:paraId="19C2AF82" w14:textId="77777777" w:rsidR="007C4AB6" w:rsidRDefault="00000000">
            <w:r>
              <w:rPr>
                <w:sz w:val="16"/>
              </w:rPr>
              <w:t>Results: Supplementary and sensitivity analyses, p. 10; Additional file 1</w:t>
            </w:r>
          </w:p>
        </w:tc>
        <w:tc>
          <w:tcPr>
            <w:tcW w:w="1872" w:type="dxa"/>
          </w:tcPr>
          <w:p w14:paraId="5CD3C6DF" w14:textId="77777777" w:rsidR="007C4AB6" w:rsidRDefault="00000000">
            <w:r>
              <w:rPr>
                <w:sz w:val="16"/>
              </w:rPr>
              <w:t>Age ≥65, CVD-exclusion, area-adjusted, NT-proBNP standalone and interaction analyses are reported.</w:t>
            </w:r>
          </w:p>
        </w:tc>
      </w:tr>
      <w:tr w:rsidR="007C4AB6" w14:paraId="394F38DE" w14:textId="77777777">
        <w:trPr>
          <w:jc w:val="center"/>
        </w:trPr>
        <w:tc>
          <w:tcPr>
            <w:tcW w:w="1872" w:type="dxa"/>
          </w:tcPr>
          <w:p w14:paraId="506011A8" w14:textId="77777777" w:rsidR="007C4AB6" w:rsidRDefault="00000000">
            <w:r>
              <w:rPr>
                <w:sz w:val="16"/>
              </w:rPr>
              <w:t>18</w:t>
            </w:r>
          </w:p>
        </w:tc>
        <w:tc>
          <w:tcPr>
            <w:tcW w:w="1872" w:type="dxa"/>
          </w:tcPr>
          <w:p w14:paraId="1092421C" w14:textId="77777777" w:rsidR="007C4AB6" w:rsidRDefault="00000000">
            <w:r>
              <w:rPr>
                <w:sz w:val="16"/>
              </w:rPr>
              <w:t>Key results</w:t>
            </w:r>
          </w:p>
        </w:tc>
        <w:tc>
          <w:tcPr>
            <w:tcW w:w="1872" w:type="dxa"/>
          </w:tcPr>
          <w:p w14:paraId="55FEEB1C" w14:textId="77777777" w:rsidR="007C4AB6" w:rsidRDefault="00000000">
            <w:r>
              <w:rPr>
                <w:sz w:val="16"/>
              </w:rPr>
              <w:t>Summarise key results with reference to study objectives.</w:t>
            </w:r>
          </w:p>
        </w:tc>
        <w:tc>
          <w:tcPr>
            <w:tcW w:w="1872" w:type="dxa"/>
          </w:tcPr>
          <w:p w14:paraId="2F8E8131" w14:textId="77777777" w:rsidR="007C4AB6" w:rsidRDefault="00000000">
            <w:r>
              <w:rPr>
                <w:sz w:val="16"/>
              </w:rPr>
              <w:t>Discussion, p. 11</w:t>
            </w:r>
          </w:p>
        </w:tc>
        <w:tc>
          <w:tcPr>
            <w:tcW w:w="1872" w:type="dxa"/>
          </w:tcPr>
          <w:p w14:paraId="08FEFD7C" w14:textId="77777777" w:rsidR="007C4AB6" w:rsidRDefault="00000000">
            <w:r>
              <w:rPr>
                <w:sz w:val="16"/>
              </w:rPr>
              <w:t>Key findings are summarized in relation to VAT-HU, GNRI-defined nutritional risk, and albuminuria-related phenotypes.</w:t>
            </w:r>
          </w:p>
        </w:tc>
      </w:tr>
      <w:tr w:rsidR="007C4AB6" w14:paraId="3D5B4D78" w14:textId="77777777">
        <w:trPr>
          <w:jc w:val="center"/>
        </w:trPr>
        <w:tc>
          <w:tcPr>
            <w:tcW w:w="1872" w:type="dxa"/>
          </w:tcPr>
          <w:p w14:paraId="2F4566AE" w14:textId="77777777" w:rsidR="007C4AB6" w:rsidRDefault="00000000">
            <w:r>
              <w:rPr>
                <w:sz w:val="16"/>
              </w:rPr>
              <w:t>19</w:t>
            </w:r>
          </w:p>
        </w:tc>
        <w:tc>
          <w:tcPr>
            <w:tcW w:w="1872" w:type="dxa"/>
          </w:tcPr>
          <w:p w14:paraId="1480E65F" w14:textId="77777777" w:rsidR="007C4AB6" w:rsidRDefault="00000000">
            <w:r>
              <w:rPr>
                <w:sz w:val="16"/>
              </w:rPr>
              <w:t>Limitations</w:t>
            </w:r>
          </w:p>
        </w:tc>
        <w:tc>
          <w:tcPr>
            <w:tcW w:w="1872" w:type="dxa"/>
          </w:tcPr>
          <w:p w14:paraId="30129717" w14:textId="77777777" w:rsidR="007C4AB6" w:rsidRDefault="00000000">
            <w:r>
              <w:rPr>
                <w:sz w:val="16"/>
              </w:rPr>
              <w:t>Discuss limitations.</w:t>
            </w:r>
          </w:p>
        </w:tc>
        <w:tc>
          <w:tcPr>
            <w:tcW w:w="1872" w:type="dxa"/>
          </w:tcPr>
          <w:p w14:paraId="543B1942" w14:textId="77777777" w:rsidR="007C4AB6" w:rsidRDefault="00000000">
            <w:r>
              <w:rPr>
                <w:sz w:val="16"/>
              </w:rPr>
              <w:t>Discussion limitations, pp. 12–13</w:t>
            </w:r>
          </w:p>
        </w:tc>
        <w:tc>
          <w:tcPr>
            <w:tcW w:w="1872" w:type="dxa"/>
          </w:tcPr>
          <w:p w14:paraId="7A44D2E3" w14:textId="77777777" w:rsidR="007C4AB6" w:rsidRDefault="00000000">
            <w:r>
              <w:rPr>
                <w:sz w:val="16"/>
              </w:rPr>
              <w:t>Cross-sectional design, hospital setting, CKD chronicity, CT-lab timing, missing data, residual confounding and unmeasured variables are discussed.</w:t>
            </w:r>
          </w:p>
        </w:tc>
      </w:tr>
      <w:tr w:rsidR="007C4AB6" w14:paraId="1A384788" w14:textId="77777777">
        <w:trPr>
          <w:jc w:val="center"/>
        </w:trPr>
        <w:tc>
          <w:tcPr>
            <w:tcW w:w="1872" w:type="dxa"/>
          </w:tcPr>
          <w:p w14:paraId="72B7C9EF" w14:textId="77777777" w:rsidR="007C4AB6" w:rsidRDefault="00000000">
            <w:r>
              <w:rPr>
                <w:sz w:val="16"/>
              </w:rPr>
              <w:t>20</w:t>
            </w:r>
          </w:p>
        </w:tc>
        <w:tc>
          <w:tcPr>
            <w:tcW w:w="1872" w:type="dxa"/>
          </w:tcPr>
          <w:p w14:paraId="0FCAD1C2" w14:textId="77777777" w:rsidR="007C4AB6" w:rsidRDefault="00000000">
            <w:r>
              <w:rPr>
                <w:sz w:val="16"/>
              </w:rPr>
              <w:t>Interpretation</w:t>
            </w:r>
          </w:p>
        </w:tc>
        <w:tc>
          <w:tcPr>
            <w:tcW w:w="1872" w:type="dxa"/>
          </w:tcPr>
          <w:p w14:paraId="72DDC3BC" w14:textId="77777777" w:rsidR="007C4AB6" w:rsidRDefault="00000000">
            <w:r>
              <w:rPr>
                <w:sz w:val="16"/>
              </w:rPr>
              <w:t>Give a cautious overall interpretation of results.</w:t>
            </w:r>
          </w:p>
        </w:tc>
        <w:tc>
          <w:tcPr>
            <w:tcW w:w="1872" w:type="dxa"/>
          </w:tcPr>
          <w:p w14:paraId="40AAEF58" w14:textId="77777777" w:rsidR="007C4AB6" w:rsidRDefault="00000000">
            <w:r>
              <w:rPr>
                <w:sz w:val="16"/>
              </w:rPr>
              <w:t>Discussion, pp. 11–13</w:t>
            </w:r>
          </w:p>
        </w:tc>
        <w:tc>
          <w:tcPr>
            <w:tcW w:w="1872" w:type="dxa"/>
          </w:tcPr>
          <w:p w14:paraId="78ACDA1B" w14:textId="77777777" w:rsidR="007C4AB6" w:rsidRDefault="00000000">
            <w:r>
              <w:rPr>
                <w:sz w:val="16"/>
              </w:rPr>
              <w:t>The manuscript emphasizes cross-sectional associations and avoids causal or predictive claims.</w:t>
            </w:r>
          </w:p>
        </w:tc>
      </w:tr>
      <w:tr w:rsidR="007C4AB6" w14:paraId="1E396A44" w14:textId="77777777">
        <w:trPr>
          <w:jc w:val="center"/>
        </w:trPr>
        <w:tc>
          <w:tcPr>
            <w:tcW w:w="1872" w:type="dxa"/>
          </w:tcPr>
          <w:p w14:paraId="7C1CDA7C" w14:textId="77777777" w:rsidR="007C4AB6" w:rsidRDefault="00000000">
            <w:r>
              <w:rPr>
                <w:sz w:val="16"/>
              </w:rPr>
              <w:lastRenderedPageBreak/>
              <w:t>21</w:t>
            </w:r>
          </w:p>
        </w:tc>
        <w:tc>
          <w:tcPr>
            <w:tcW w:w="1872" w:type="dxa"/>
          </w:tcPr>
          <w:p w14:paraId="79F6BC15" w14:textId="77777777" w:rsidR="007C4AB6" w:rsidRDefault="00000000">
            <w:r>
              <w:rPr>
                <w:sz w:val="16"/>
              </w:rPr>
              <w:t>Generalisability</w:t>
            </w:r>
          </w:p>
        </w:tc>
        <w:tc>
          <w:tcPr>
            <w:tcW w:w="1872" w:type="dxa"/>
          </w:tcPr>
          <w:p w14:paraId="099A6758" w14:textId="77777777" w:rsidR="007C4AB6" w:rsidRDefault="00000000">
            <w:r>
              <w:rPr>
                <w:sz w:val="16"/>
              </w:rPr>
              <w:t>Discuss generalisability.</w:t>
            </w:r>
          </w:p>
        </w:tc>
        <w:tc>
          <w:tcPr>
            <w:tcW w:w="1872" w:type="dxa"/>
          </w:tcPr>
          <w:p w14:paraId="037B5C3C" w14:textId="77777777" w:rsidR="007C4AB6" w:rsidRDefault="00000000">
            <w:r>
              <w:rPr>
                <w:sz w:val="16"/>
              </w:rPr>
              <w:t>Discussion limitations, p. 12</w:t>
            </w:r>
          </w:p>
        </w:tc>
        <w:tc>
          <w:tcPr>
            <w:tcW w:w="1872" w:type="dxa"/>
          </w:tcPr>
          <w:p w14:paraId="2E8E254B" w14:textId="77777777" w:rsidR="007C4AB6" w:rsidRDefault="00000000">
            <w:r>
              <w:rPr>
                <w:sz w:val="16"/>
              </w:rPr>
              <w:t>Single-center hospitalized cohort and outpatient generalizability are discussed.</w:t>
            </w:r>
          </w:p>
        </w:tc>
      </w:tr>
      <w:tr w:rsidR="007C4AB6" w14:paraId="3F3154CB" w14:textId="77777777">
        <w:trPr>
          <w:jc w:val="center"/>
        </w:trPr>
        <w:tc>
          <w:tcPr>
            <w:tcW w:w="1872" w:type="dxa"/>
          </w:tcPr>
          <w:p w14:paraId="1BAE7923" w14:textId="77777777" w:rsidR="007C4AB6" w:rsidRDefault="00000000">
            <w:r>
              <w:rPr>
                <w:sz w:val="16"/>
              </w:rPr>
              <w:t>22</w:t>
            </w:r>
          </w:p>
        </w:tc>
        <w:tc>
          <w:tcPr>
            <w:tcW w:w="1872" w:type="dxa"/>
          </w:tcPr>
          <w:p w14:paraId="0F6A03AB" w14:textId="77777777" w:rsidR="007C4AB6" w:rsidRDefault="00000000">
            <w:r>
              <w:rPr>
                <w:sz w:val="16"/>
              </w:rPr>
              <w:t>Funding</w:t>
            </w:r>
          </w:p>
        </w:tc>
        <w:tc>
          <w:tcPr>
            <w:tcW w:w="1872" w:type="dxa"/>
          </w:tcPr>
          <w:p w14:paraId="711B6353" w14:textId="77777777" w:rsidR="007C4AB6" w:rsidRDefault="00000000">
            <w:r>
              <w:rPr>
                <w:sz w:val="16"/>
              </w:rPr>
              <w:t>Give the source of funding and role of funders.</w:t>
            </w:r>
          </w:p>
        </w:tc>
        <w:tc>
          <w:tcPr>
            <w:tcW w:w="1872" w:type="dxa"/>
          </w:tcPr>
          <w:p w14:paraId="42BE6DCC" w14:textId="77777777" w:rsidR="007C4AB6" w:rsidRDefault="00000000">
            <w:r>
              <w:rPr>
                <w:sz w:val="16"/>
              </w:rPr>
              <w:t>Declarations: Funding, p. 15</w:t>
            </w:r>
          </w:p>
        </w:tc>
        <w:tc>
          <w:tcPr>
            <w:tcW w:w="1872" w:type="dxa"/>
          </w:tcPr>
          <w:p w14:paraId="1E8714B0" w14:textId="77777777" w:rsidR="007C4AB6" w:rsidRDefault="00000000">
            <w:r>
              <w:rPr>
                <w:sz w:val="16"/>
              </w:rPr>
              <w:t>Funding sources and funder role are stated.</w:t>
            </w:r>
          </w:p>
        </w:tc>
      </w:tr>
    </w:tbl>
    <w:p w14:paraId="628EB3B4" w14:textId="77777777" w:rsidR="00035179" w:rsidRDefault="00035179"/>
    <w:sectPr w:rsidR="00035179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4023131">
    <w:abstractNumId w:val="8"/>
  </w:num>
  <w:num w:numId="2" w16cid:durableId="1108088638">
    <w:abstractNumId w:val="6"/>
  </w:num>
  <w:num w:numId="3" w16cid:durableId="281502546">
    <w:abstractNumId w:val="5"/>
  </w:num>
  <w:num w:numId="4" w16cid:durableId="1698501864">
    <w:abstractNumId w:val="4"/>
  </w:num>
  <w:num w:numId="5" w16cid:durableId="2028215871">
    <w:abstractNumId w:val="7"/>
  </w:num>
  <w:num w:numId="6" w16cid:durableId="541137036">
    <w:abstractNumId w:val="3"/>
  </w:num>
  <w:num w:numId="7" w16cid:durableId="972828887">
    <w:abstractNumId w:val="2"/>
  </w:num>
  <w:num w:numId="8" w16cid:durableId="612177147">
    <w:abstractNumId w:val="1"/>
  </w:num>
  <w:num w:numId="9" w16cid:durableId="107901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179"/>
    <w:rsid w:val="0006063C"/>
    <w:rsid w:val="0015074B"/>
    <w:rsid w:val="0029639D"/>
    <w:rsid w:val="00326F90"/>
    <w:rsid w:val="007C4AB6"/>
    <w:rsid w:val="00A731C6"/>
    <w:rsid w:val="00AA1D8D"/>
    <w:rsid w:val="00B47730"/>
    <w:rsid w:val="00BE32F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4C946A"/>
  <w14:defaultImageDpi w14:val="300"/>
  <w15:docId w15:val="{60CC2CA7-B922-4F1D-B83F-25DD2262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6C4513A-5C6D-45D1-B10E-282C50A32553}">
  <we:reference id="wa200000368" version="1.0.0.0" store="en-US" storeType="OMEX"/>
  <we:alternateReferences>
    <we:reference id="wa200000368" version="1.0.0.0" store="en-US" storeType="OMEX"/>
  </we:alternateReferences>
  <we:properties>
    <we:property name="documentId" value="&quot;6e120f2790fe70f6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钧 陶</cp:lastModifiedBy>
  <cp:revision>2</cp:revision>
  <dcterms:created xsi:type="dcterms:W3CDTF">2013-12-23T23:15:00Z</dcterms:created>
  <dcterms:modified xsi:type="dcterms:W3CDTF">2026-05-26T04:27:00Z</dcterms:modified>
  <cp:category/>
</cp:coreProperties>
</file>