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8626" w14:textId="77777777" w:rsidR="0066220E" w:rsidRDefault="0066220E" w:rsidP="0066220E">
      <w:pPr>
        <w:pStyle w:val="Heading2"/>
        <w:spacing w:line="480" w:lineRule="auto"/>
      </w:pPr>
      <w:r>
        <w:rPr>
          <w:rFonts w:ascii="Times New Roman" w:hAnsi="Times New Roman"/>
          <w:sz w:val="20"/>
        </w:rPr>
        <w:t>Supplementary figures and tables</w:t>
      </w:r>
    </w:p>
    <w:p w14:paraId="0C58EFBC" w14:textId="77777777" w:rsidR="00CC6034" w:rsidRDefault="0066220E" w:rsidP="004D7497">
      <w:pPr>
        <w:spacing w:line="480" w:lineRule="auto"/>
        <w:rPr>
          <w:sz w:val="20"/>
        </w:rPr>
      </w:pPr>
      <w:r>
        <w:rPr>
          <w:sz w:val="20"/>
        </w:rPr>
        <w:t xml:space="preserve">The following items should be supplied as Supplementary </w:t>
      </w:r>
      <w:r w:rsidR="00CC6034">
        <w:rPr>
          <w:sz w:val="20"/>
        </w:rPr>
        <w:t>Figures</w:t>
      </w:r>
    </w:p>
    <w:p w14:paraId="06B5BF06" w14:textId="55327901" w:rsidR="004D7497" w:rsidRDefault="004D7497" w:rsidP="004D7497">
      <w:pPr>
        <w:spacing w:line="480" w:lineRule="auto"/>
        <w:rPr>
          <w:b/>
          <w:bCs/>
          <w:sz w:val="20"/>
        </w:rPr>
      </w:pPr>
      <w:r w:rsidRPr="004D7497">
        <w:rPr>
          <w:b/>
          <w:bCs/>
          <w:sz w:val="20"/>
        </w:rPr>
        <w:t>Fig. S1, pre-fertilisation sensitivity analysis excluding Karabinus 2014</w:t>
      </w:r>
    </w:p>
    <w:p w14:paraId="7D73B165" w14:textId="79A8C2A8" w:rsidR="004D7497" w:rsidRDefault="004D7497" w:rsidP="004D7497">
      <w:pPr>
        <w:spacing w:line="480" w:lineRule="auto"/>
      </w:pPr>
      <w:r w:rsidRPr="004D7497">
        <w:drawing>
          <wp:inline distT="0" distB="0" distL="0" distR="0" wp14:anchorId="51D57F12" wp14:editId="32370674">
            <wp:extent cx="4396173" cy="3277891"/>
            <wp:effectExtent l="0" t="0" r="4445" b="0"/>
            <wp:docPr id="114878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3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7241" cy="328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A684" w14:textId="0D9FCBE8" w:rsidR="004D7497" w:rsidRPr="004D7497" w:rsidRDefault="004D7497" w:rsidP="004D7497">
      <w:pPr>
        <w:spacing w:line="480" w:lineRule="auto"/>
        <w:rPr>
          <w:b/>
          <w:bCs/>
          <w:sz w:val="20"/>
        </w:rPr>
      </w:pPr>
      <w:r w:rsidRPr="004D7497">
        <w:rPr>
          <w:b/>
          <w:bCs/>
          <w:sz w:val="20"/>
        </w:rPr>
        <w:t>Fig. S2, blastulation-day comparison</w:t>
      </w:r>
    </w:p>
    <w:p w14:paraId="262590A3" w14:textId="4288F4A9" w:rsidR="004D7497" w:rsidRDefault="004D7497" w:rsidP="004D7497">
      <w:pPr>
        <w:spacing w:line="480" w:lineRule="auto"/>
      </w:pPr>
      <w:r w:rsidRPr="004D7497">
        <w:drawing>
          <wp:inline distT="0" distB="0" distL="0" distR="0" wp14:anchorId="1B1ECD0A" wp14:editId="5BBF1513">
            <wp:extent cx="4104217" cy="1883044"/>
            <wp:effectExtent l="0" t="0" r="0" b="3175"/>
            <wp:docPr id="111504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477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1218" cy="19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7186" w14:textId="0B1117B9" w:rsidR="004D7497" w:rsidRPr="003B649E" w:rsidRDefault="003B649E" w:rsidP="004D7497">
      <w:pPr>
        <w:spacing w:line="480" w:lineRule="auto"/>
        <w:rPr>
          <w:b/>
          <w:bCs/>
          <w:sz w:val="20"/>
        </w:rPr>
      </w:pPr>
      <w:r w:rsidRPr="003B649E">
        <w:rPr>
          <w:b/>
          <w:bCs/>
          <w:sz w:val="20"/>
        </w:rPr>
        <w:t>Fig. S3, TE-grade comparison</w:t>
      </w:r>
    </w:p>
    <w:p w14:paraId="722BF9BC" w14:textId="01AA78D3" w:rsidR="003B649E" w:rsidRDefault="003B649E" w:rsidP="004D7497">
      <w:pPr>
        <w:spacing w:line="480" w:lineRule="auto"/>
      </w:pPr>
      <w:r w:rsidRPr="003B649E">
        <w:drawing>
          <wp:inline distT="0" distB="0" distL="0" distR="0" wp14:anchorId="03E9E410" wp14:editId="67FB63FB">
            <wp:extent cx="4401519" cy="1355664"/>
            <wp:effectExtent l="0" t="0" r="0" b="0"/>
            <wp:docPr id="732780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809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1494" cy="13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19E1" w14:textId="77777777" w:rsidR="00580259" w:rsidRDefault="00580259" w:rsidP="004D7497">
      <w:pPr>
        <w:spacing w:line="480" w:lineRule="auto"/>
      </w:pPr>
    </w:p>
    <w:p w14:paraId="1D07C9E0" w14:textId="4ED85B03" w:rsidR="00580259" w:rsidRPr="00580259" w:rsidRDefault="00580259" w:rsidP="004D7497">
      <w:pPr>
        <w:spacing w:line="480" w:lineRule="auto"/>
        <w:rPr>
          <w:b/>
          <w:bCs/>
          <w:sz w:val="20"/>
        </w:rPr>
      </w:pPr>
      <w:r w:rsidRPr="00580259">
        <w:rPr>
          <w:b/>
          <w:bCs/>
          <w:sz w:val="20"/>
        </w:rPr>
        <w:t>Fig. S4, ICM-grade comparison</w:t>
      </w:r>
    </w:p>
    <w:p w14:paraId="7041AC4B" w14:textId="4F632594" w:rsidR="00580259" w:rsidRDefault="00580259" w:rsidP="004D7497">
      <w:pPr>
        <w:spacing w:line="480" w:lineRule="auto"/>
      </w:pPr>
      <w:r w:rsidRPr="00580259">
        <w:lastRenderedPageBreak/>
        <w:drawing>
          <wp:inline distT="0" distB="0" distL="0" distR="0" wp14:anchorId="29A58E1C" wp14:editId="5165AA29">
            <wp:extent cx="4386020" cy="1259049"/>
            <wp:effectExtent l="0" t="0" r="0" b="0"/>
            <wp:docPr id="562043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435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123" cy="126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A47A" w14:textId="727CC298" w:rsidR="00A757C6" w:rsidRPr="00A757C6" w:rsidRDefault="00A757C6" w:rsidP="004D7497">
      <w:pPr>
        <w:spacing w:line="480" w:lineRule="auto"/>
        <w:rPr>
          <w:b/>
          <w:bCs/>
          <w:sz w:val="20"/>
        </w:rPr>
      </w:pPr>
      <w:r w:rsidRPr="00A757C6">
        <w:rPr>
          <w:b/>
          <w:bCs/>
          <w:sz w:val="20"/>
        </w:rPr>
        <w:t>Fig. S5, fertilisation-method comparison</w:t>
      </w:r>
    </w:p>
    <w:p w14:paraId="037E61DD" w14:textId="02E1026E" w:rsidR="00A757C6" w:rsidRDefault="00A757C6" w:rsidP="004D7497">
      <w:pPr>
        <w:spacing w:line="480" w:lineRule="auto"/>
      </w:pPr>
      <w:r w:rsidRPr="00A757C6">
        <w:drawing>
          <wp:inline distT="0" distB="0" distL="0" distR="0" wp14:anchorId="0D26DD74" wp14:editId="00A6C632">
            <wp:extent cx="4331776" cy="1406171"/>
            <wp:effectExtent l="0" t="0" r="0" b="3810"/>
            <wp:docPr id="186821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14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974" cy="14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FA6D" w14:textId="454370FE" w:rsidR="00A757C6" w:rsidRDefault="00A757C6" w:rsidP="004D7497">
      <w:pPr>
        <w:spacing w:line="480" w:lineRule="auto"/>
        <w:rPr>
          <w:b/>
          <w:bCs/>
          <w:sz w:val="20"/>
        </w:rPr>
      </w:pPr>
      <w:r w:rsidRPr="00A757C6">
        <w:rPr>
          <w:b/>
          <w:bCs/>
          <w:sz w:val="20"/>
        </w:rPr>
        <w:t>Fig. S6, primary contour-enhanced funnel plot</w:t>
      </w:r>
    </w:p>
    <w:p w14:paraId="47005B6E" w14:textId="23639E14" w:rsidR="00A757C6" w:rsidRDefault="00A757C6" w:rsidP="004D7497">
      <w:pPr>
        <w:spacing w:line="480" w:lineRule="auto"/>
        <w:rPr>
          <w:b/>
          <w:bCs/>
        </w:rPr>
      </w:pPr>
      <w:r w:rsidRPr="00A757C6">
        <w:rPr>
          <w:b/>
          <w:bCs/>
        </w:rPr>
        <w:drawing>
          <wp:inline distT="0" distB="0" distL="0" distR="0" wp14:anchorId="3FB4324B" wp14:editId="50DF30FC">
            <wp:extent cx="4437363" cy="4502257"/>
            <wp:effectExtent l="0" t="0" r="1905" b="0"/>
            <wp:docPr id="1372612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124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2532" cy="450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29C83" w14:textId="77777777" w:rsidR="00587E93" w:rsidRDefault="00587E93" w:rsidP="004D7497">
      <w:pPr>
        <w:spacing w:line="480" w:lineRule="auto"/>
        <w:rPr>
          <w:b/>
          <w:bCs/>
          <w:sz w:val="20"/>
        </w:rPr>
      </w:pPr>
    </w:p>
    <w:p w14:paraId="152EC34C" w14:textId="77777777" w:rsidR="00587E93" w:rsidRDefault="00587E93" w:rsidP="004D7497">
      <w:pPr>
        <w:spacing w:line="480" w:lineRule="auto"/>
        <w:rPr>
          <w:b/>
          <w:bCs/>
          <w:sz w:val="20"/>
        </w:rPr>
      </w:pPr>
    </w:p>
    <w:p w14:paraId="2C6F8214" w14:textId="77777777" w:rsidR="00587E93" w:rsidRDefault="00587E93" w:rsidP="004D7497">
      <w:pPr>
        <w:spacing w:line="480" w:lineRule="auto"/>
        <w:rPr>
          <w:b/>
          <w:bCs/>
          <w:sz w:val="20"/>
        </w:rPr>
      </w:pPr>
    </w:p>
    <w:p w14:paraId="7AFDAD9A" w14:textId="77777777" w:rsidR="00587E93" w:rsidRDefault="00587E93" w:rsidP="004D7497">
      <w:pPr>
        <w:spacing w:line="480" w:lineRule="auto"/>
        <w:rPr>
          <w:b/>
          <w:bCs/>
          <w:sz w:val="20"/>
        </w:rPr>
      </w:pPr>
    </w:p>
    <w:p w14:paraId="3FE612B9" w14:textId="77777777" w:rsidR="00587E93" w:rsidRDefault="00587E93" w:rsidP="004D7497">
      <w:pPr>
        <w:spacing w:line="480" w:lineRule="auto"/>
        <w:rPr>
          <w:b/>
          <w:bCs/>
          <w:sz w:val="20"/>
        </w:rPr>
      </w:pPr>
    </w:p>
    <w:p w14:paraId="19439BF5" w14:textId="70F9F2D7" w:rsidR="00A757C6" w:rsidRDefault="00A757C6" w:rsidP="004D7497">
      <w:pPr>
        <w:spacing w:line="480" w:lineRule="auto"/>
        <w:rPr>
          <w:b/>
          <w:bCs/>
          <w:sz w:val="20"/>
        </w:rPr>
      </w:pPr>
      <w:r w:rsidRPr="00A757C6">
        <w:rPr>
          <w:b/>
          <w:bCs/>
          <w:sz w:val="20"/>
        </w:rPr>
        <w:lastRenderedPageBreak/>
        <w:t>Fig. S7, primary sensitivity analysis</w:t>
      </w:r>
    </w:p>
    <w:p w14:paraId="2E526D5F" w14:textId="316E768A" w:rsidR="00587E93" w:rsidRDefault="00587E93" w:rsidP="004D7497">
      <w:pPr>
        <w:spacing w:line="480" w:lineRule="auto"/>
        <w:rPr>
          <w:b/>
          <w:bCs/>
        </w:rPr>
      </w:pPr>
      <w:r w:rsidRPr="00587E93">
        <w:rPr>
          <w:b/>
          <w:bCs/>
        </w:rPr>
        <w:drawing>
          <wp:inline distT="0" distB="0" distL="0" distR="0" wp14:anchorId="75C659AE" wp14:editId="5211FCF7">
            <wp:extent cx="4111480" cy="4796726"/>
            <wp:effectExtent l="0" t="0" r="3810" b="4445"/>
            <wp:docPr id="994110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101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6280" cy="48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3FA4" w14:textId="6E3C1BB2" w:rsidR="00CC6034" w:rsidRDefault="00CC6034" w:rsidP="004D7497">
      <w:pPr>
        <w:spacing w:line="480" w:lineRule="auto"/>
        <w:rPr>
          <w:b/>
          <w:bCs/>
          <w:sz w:val="20"/>
        </w:rPr>
      </w:pPr>
      <w:r w:rsidRPr="00CC6034">
        <w:rPr>
          <w:b/>
          <w:bCs/>
          <w:sz w:val="20"/>
        </w:rPr>
        <w:t>Fig. S8, secondary contour-enhanced funnel plot</w:t>
      </w:r>
    </w:p>
    <w:p w14:paraId="6D3D1108" w14:textId="439F54D0" w:rsidR="00CC6034" w:rsidRDefault="00CC6034" w:rsidP="004D7497">
      <w:pPr>
        <w:spacing w:line="480" w:lineRule="auto"/>
        <w:rPr>
          <w:b/>
          <w:bCs/>
        </w:rPr>
      </w:pPr>
      <w:r w:rsidRPr="00CC6034">
        <w:rPr>
          <w:b/>
          <w:bCs/>
        </w:rPr>
        <w:drawing>
          <wp:inline distT="0" distB="0" distL="0" distR="0" wp14:anchorId="528596E3" wp14:editId="606D4291">
            <wp:extent cx="4110990" cy="4177032"/>
            <wp:effectExtent l="0" t="0" r="3810" b="0"/>
            <wp:docPr id="1435028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284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8009" cy="419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A3BA" w14:textId="5633E099" w:rsidR="00CC6034" w:rsidRDefault="00CC6034" w:rsidP="004D7497">
      <w:pPr>
        <w:spacing w:line="480" w:lineRule="auto"/>
        <w:rPr>
          <w:b/>
          <w:bCs/>
          <w:sz w:val="20"/>
        </w:rPr>
      </w:pPr>
      <w:r w:rsidRPr="00CC6034">
        <w:rPr>
          <w:b/>
          <w:bCs/>
          <w:sz w:val="20"/>
        </w:rPr>
        <w:lastRenderedPageBreak/>
        <w:t>Fig. S9, secondary sensitivity analysis</w:t>
      </w:r>
    </w:p>
    <w:p w14:paraId="65A3BF28" w14:textId="13EDF30F" w:rsidR="00CC6034" w:rsidRPr="00CC6034" w:rsidRDefault="00CC6034" w:rsidP="004D7497">
      <w:pPr>
        <w:spacing w:line="480" w:lineRule="auto"/>
        <w:rPr>
          <w:b/>
          <w:bCs/>
        </w:rPr>
      </w:pPr>
      <w:r w:rsidRPr="00CC6034">
        <w:rPr>
          <w:b/>
          <w:bCs/>
        </w:rPr>
        <w:drawing>
          <wp:inline distT="0" distB="0" distL="0" distR="0" wp14:anchorId="2A92422B" wp14:editId="30CD724A">
            <wp:extent cx="4148736" cy="2859438"/>
            <wp:effectExtent l="0" t="0" r="4445" b="0"/>
            <wp:docPr id="970071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710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5248" cy="286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034" w:rsidRPr="00CC6034" w:rsidSect="003B649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98"/>
    <w:rsid w:val="00015355"/>
    <w:rsid w:val="003B649E"/>
    <w:rsid w:val="004D7497"/>
    <w:rsid w:val="00580259"/>
    <w:rsid w:val="00587E93"/>
    <w:rsid w:val="00617380"/>
    <w:rsid w:val="0066220E"/>
    <w:rsid w:val="00912998"/>
    <w:rsid w:val="00A757C6"/>
    <w:rsid w:val="00C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81A0"/>
  <w15:chartTrackingRefBased/>
  <w15:docId w15:val="{F019C955-E276-4B06-A66E-7E75C7CC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0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9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9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9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9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9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9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9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9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9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2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9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2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9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2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Dr.Srisailesh Vitthala</dc:creator>
  <cp:keywords/>
  <dc:description/>
  <cp:lastModifiedBy>Dr.Srisailesh Vitthala</cp:lastModifiedBy>
  <cp:revision>8</cp:revision>
  <dcterms:created xsi:type="dcterms:W3CDTF">2026-05-06T07:47:00Z</dcterms:created>
  <dcterms:modified xsi:type="dcterms:W3CDTF">2026-05-06T08:13:00Z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3c81a117-a6af-4436-97f2-c6f854af5632</vt:lpwstr>
  </property>
</Properties>
</file>