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EA524" w14:textId="77777777" w:rsidR="00D841D1" w:rsidRDefault="00D841D1" w:rsidP="00D841D1">
      <w:pPr>
        <w:rPr>
          <w:rFonts w:cs="Times New Roman"/>
          <w:b/>
          <w:bCs/>
          <w:sz w:val="28"/>
          <w:szCs w:val="28"/>
        </w:rPr>
      </w:pPr>
      <w:r>
        <w:rPr>
          <w:rFonts w:cs="Times New Roman"/>
          <w:b/>
          <w:bCs/>
          <w:sz w:val="28"/>
          <w:szCs w:val="28"/>
        </w:rPr>
        <w:t>Table 1</w:t>
      </w:r>
    </w:p>
    <w:tbl>
      <w:tblPr>
        <w:tblStyle w:val="TableGrid"/>
        <w:tblW w:w="0" w:type="auto"/>
        <w:tblLook w:val="04A0" w:firstRow="1" w:lastRow="0" w:firstColumn="1" w:lastColumn="0" w:noHBand="0" w:noVBand="1"/>
      </w:tblPr>
      <w:tblGrid>
        <w:gridCol w:w="1061"/>
        <w:gridCol w:w="716"/>
        <w:gridCol w:w="798"/>
        <w:gridCol w:w="651"/>
        <w:gridCol w:w="852"/>
        <w:gridCol w:w="1143"/>
        <w:gridCol w:w="979"/>
        <w:gridCol w:w="1069"/>
        <w:gridCol w:w="1135"/>
        <w:gridCol w:w="946"/>
      </w:tblGrid>
      <w:tr w:rsidR="00D841D1" w:rsidRPr="003B5800" w14:paraId="2AC3B9F0" w14:textId="77777777" w:rsidTr="00B25225">
        <w:tc>
          <w:tcPr>
            <w:tcW w:w="0" w:type="auto"/>
          </w:tcPr>
          <w:p w14:paraId="10F23CA8" w14:textId="77777777" w:rsidR="00D841D1" w:rsidRPr="003B5800" w:rsidRDefault="00D841D1" w:rsidP="00B25225">
            <w:pPr>
              <w:jc w:val="both"/>
              <w:rPr>
                <w:rFonts w:cs="Times New Roman"/>
                <w:sz w:val="20"/>
                <w:szCs w:val="20"/>
              </w:rPr>
            </w:pPr>
            <w:r w:rsidRPr="003B5800">
              <w:rPr>
                <w:rFonts w:cs="Times New Roman"/>
                <w:sz w:val="20"/>
                <w:szCs w:val="20"/>
              </w:rPr>
              <w:t>First author,</w:t>
            </w:r>
          </w:p>
          <w:p w14:paraId="380DC622" w14:textId="77777777" w:rsidR="00D841D1" w:rsidRPr="003B5800" w:rsidRDefault="00D841D1" w:rsidP="00B25225">
            <w:pPr>
              <w:jc w:val="both"/>
              <w:rPr>
                <w:rFonts w:cs="Times New Roman"/>
                <w:sz w:val="20"/>
                <w:szCs w:val="20"/>
              </w:rPr>
            </w:pPr>
            <w:r w:rsidRPr="003B5800">
              <w:rPr>
                <w:rFonts w:cs="Times New Roman"/>
                <w:sz w:val="20"/>
                <w:szCs w:val="20"/>
              </w:rPr>
              <w:t>year[Ref.]</w:t>
            </w:r>
          </w:p>
        </w:tc>
        <w:tc>
          <w:tcPr>
            <w:tcW w:w="0" w:type="auto"/>
          </w:tcPr>
          <w:p w14:paraId="0376DCAC" w14:textId="77777777" w:rsidR="00D841D1" w:rsidRPr="003B5800" w:rsidRDefault="00D841D1" w:rsidP="00B25225">
            <w:pPr>
              <w:jc w:val="both"/>
              <w:rPr>
                <w:rFonts w:cs="Times New Roman"/>
                <w:sz w:val="20"/>
                <w:szCs w:val="20"/>
              </w:rPr>
            </w:pPr>
            <w:r w:rsidRPr="003B5800">
              <w:rPr>
                <w:rFonts w:cs="Times New Roman"/>
                <w:sz w:val="20"/>
                <w:szCs w:val="20"/>
              </w:rPr>
              <w:t>Region</w:t>
            </w:r>
          </w:p>
        </w:tc>
        <w:tc>
          <w:tcPr>
            <w:tcW w:w="0" w:type="auto"/>
          </w:tcPr>
          <w:p w14:paraId="01FC6F8E" w14:textId="77777777" w:rsidR="00D841D1" w:rsidRPr="003B5800" w:rsidRDefault="00D841D1" w:rsidP="00B25225">
            <w:pPr>
              <w:jc w:val="both"/>
              <w:rPr>
                <w:rFonts w:cs="Times New Roman"/>
                <w:sz w:val="20"/>
                <w:szCs w:val="20"/>
              </w:rPr>
            </w:pPr>
            <w:r w:rsidRPr="003B5800">
              <w:rPr>
                <w:rFonts w:cs="Times New Roman"/>
                <w:sz w:val="20"/>
                <w:szCs w:val="20"/>
              </w:rPr>
              <w:t>Age</w:t>
            </w:r>
          </w:p>
        </w:tc>
        <w:tc>
          <w:tcPr>
            <w:tcW w:w="0" w:type="auto"/>
          </w:tcPr>
          <w:p w14:paraId="4C504F7C" w14:textId="77777777" w:rsidR="00D841D1" w:rsidRPr="003B5800" w:rsidRDefault="00D841D1" w:rsidP="00B25225">
            <w:pPr>
              <w:jc w:val="both"/>
              <w:rPr>
                <w:rFonts w:cs="Times New Roman"/>
                <w:sz w:val="20"/>
                <w:szCs w:val="20"/>
              </w:rPr>
            </w:pPr>
            <w:r w:rsidRPr="003B5800">
              <w:rPr>
                <w:rFonts w:cs="Times New Roman"/>
                <w:sz w:val="20"/>
                <w:szCs w:val="20"/>
              </w:rPr>
              <w:t>Gender</w:t>
            </w:r>
          </w:p>
        </w:tc>
        <w:tc>
          <w:tcPr>
            <w:tcW w:w="0" w:type="auto"/>
          </w:tcPr>
          <w:p w14:paraId="40062B08" w14:textId="77777777" w:rsidR="00D841D1" w:rsidRPr="003B5800" w:rsidRDefault="00D841D1" w:rsidP="00B25225">
            <w:pPr>
              <w:jc w:val="both"/>
              <w:rPr>
                <w:rFonts w:cs="Times New Roman"/>
                <w:sz w:val="20"/>
                <w:szCs w:val="20"/>
              </w:rPr>
            </w:pPr>
            <w:r w:rsidRPr="003B5800">
              <w:rPr>
                <w:rFonts w:cs="Times New Roman"/>
                <w:sz w:val="20"/>
                <w:szCs w:val="20"/>
              </w:rPr>
              <w:t>Dose (mg)</w:t>
            </w:r>
          </w:p>
        </w:tc>
        <w:tc>
          <w:tcPr>
            <w:tcW w:w="0" w:type="auto"/>
          </w:tcPr>
          <w:p w14:paraId="47AD9A5D" w14:textId="77777777" w:rsidR="00D841D1" w:rsidRPr="003B5800" w:rsidRDefault="00D841D1" w:rsidP="00B25225">
            <w:pPr>
              <w:jc w:val="both"/>
              <w:rPr>
                <w:rFonts w:cs="Times New Roman"/>
                <w:sz w:val="20"/>
                <w:szCs w:val="20"/>
              </w:rPr>
            </w:pPr>
            <w:r w:rsidRPr="003B5800">
              <w:rPr>
                <w:rFonts w:cs="Times New Roman"/>
                <w:sz w:val="20"/>
                <w:szCs w:val="20"/>
              </w:rPr>
              <w:t>Symtoms</w:t>
            </w:r>
          </w:p>
        </w:tc>
        <w:tc>
          <w:tcPr>
            <w:tcW w:w="0" w:type="auto"/>
          </w:tcPr>
          <w:p w14:paraId="6A07AE0F" w14:textId="77777777" w:rsidR="00D841D1" w:rsidRPr="003B5800" w:rsidRDefault="00D841D1" w:rsidP="00B25225">
            <w:pPr>
              <w:jc w:val="both"/>
              <w:rPr>
                <w:rFonts w:cs="Times New Roman"/>
                <w:sz w:val="20"/>
                <w:szCs w:val="20"/>
              </w:rPr>
            </w:pPr>
            <w:r w:rsidRPr="003B5800">
              <w:rPr>
                <w:rFonts w:cs="Times New Roman"/>
                <w:sz w:val="20"/>
                <w:szCs w:val="20"/>
              </w:rPr>
              <w:t>Chest X-ray/</w:t>
            </w:r>
          </w:p>
          <w:p w14:paraId="43AD7234" w14:textId="77777777" w:rsidR="00D841D1" w:rsidRPr="003B5800" w:rsidRDefault="00D841D1" w:rsidP="00B25225">
            <w:pPr>
              <w:jc w:val="both"/>
              <w:rPr>
                <w:rFonts w:cs="Times New Roman"/>
                <w:sz w:val="20"/>
                <w:szCs w:val="20"/>
              </w:rPr>
            </w:pPr>
            <w:r w:rsidRPr="003B5800">
              <w:rPr>
                <w:rFonts w:cs="Times New Roman"/>
                <w:sz w:val="20"/>
                <w:szCs w:val="20"/>
              </w:rPr>
              <w:t>CT</w:t>
            </w:r>
          </w:p>
        </w:tc>
        <w:tc>
          <w:tcPr>
            <w:tcW w:w="0" w:type="auto"/>
          </w:tcPr>
          <w:p w14:paraId="70031F49" w14:textId="77777777" w:rsidR="00D841D1" w:rsidRPr="003B5800" w:rsidRDefault="00D841D1" w:rsidP="00B25225">
            <w:pPr>
              <w:jc w:val="both"/>
              <w:rPr>
                <w:rFonts w:cs="Times New Roman"/>
                <w:sz w:val="20"/>
                <w:szCs w:val="20"/>
              </w:rPr>
            </w:pPr>
            <w:r w:rsidRPr="003B5800">
              <w:rPr>
                <w:rFonts w:cs="Times New Roman"/>
                <w:sz w:val="20"/>
                <w:szCs w:val="20"/>
              </w:rPr>
              <w:t>Neuroimaging</w:t>
            </w:r>
          </w:p>
        </w:tc>
        <w:tc>
          <w:tcPr>
            <w:tcW w:w="0" w:type="auto"/>
          </w:tcPr>
          <w:p w14:paraId="42D43106" w14:textId="77777777" w:rsidR="00D841D1" w:rsidRPr="003B5800" w:rsidRDefault="00D841D1" w:rsidP="00B25225">
            <w:pPr>
              <w:jc w:val="both"/>
              <w:rPr>
                <w:rFonts w:cs="Times New Roman"/>
                <w:sz w:val="20"/>
                <w:szCs w:val="20"/>
              </w:rPr>
            </w:pPr>
            <w:r w:rsidRPr="003B5800">
              <w:rPr>
                <w:rFonts w:cs="Times New Roman"/>
                <w:sz w:val="20"/>
                <w:szCs w:val="20"/>
              </w:rPr>
              <w:t>Treatment</w:t>
            </w:r>
          </w:p>
        </w:tc>
        <w:tc>
          <w:tcPr>
            <w:tcW w:w="0" w:type="auto"/>
          </w:tcPr>
          <w:p w14:paraId="6169969C" w14:textId="77777777" w:rsidR="00D841D1" w:rsidRPr="003B5800" w:rsidRDefault="00D841D1" w:rsidP="00B25225">
            <w:pPr>
              <w:jc w:val="both"/>
              <w:rPr>
                <w:rFonts w:cs="Times New Roman"/>
                <w:sz w:val="20"/>
                <w:szCs w:val="20"/>
              </w:rPr>
            </w:pPr>
            <w:r w:rsidRPr="003B5800">
              <w:rPr>
                <w:rFonts w:cs="Times New Roman"/>
                <w:sz w:val="20"/>
                <w:szCs w:val="20"/>
              </w:rPr>
              <w:t>Prognosis</w:t>
            </w:r>
          </w:p>
        </w:tc>
      </w:tr>
      <w:tr w:rsidR="00D841D1" w:rsidRPr="003B5800" w14:paraId="74C565A0" w14:textId="77777777" w:rsidTr="00B25225">
        <w:tc>
          <w:tcPr>
            <w:tcW w:w="0" w:type="auto"/>
          </w:tcPr>
          <w:p w14:paraId="31C0E8CE" w14:textId="77777777" w:rsidR="00D841D1" w:rsidRPr="003B5800" w:rsidRDefault="00D841D1" w:rsidP="00B25225">
            <w:pPr>
              <w:jc w:val="both"/>
              <w:rPr>
                <w:rFonts w:cs="Times New Roman"/>
                <w:sz w:val="20"/>
                <w:szCs w:val="20"/>
              </w:rPr>
            </w:pPr>
            <w:r w:rsidRPr="003B5800">
              <w:rPr>
                <w:rFonts w:cs="Times New Roman"/>
                <w:sz w:val="20"/>
                <w:szCs w:val="20"/>
              </w:rPr>
              <w:t>Shengkun Zheng</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{"citationID":"FTMgRXKJ","properties":{"formattedCitation":"[4]","plainCitation":"[4]","noteIndex":0},"citationItems":[{"id":479,"uris":["http://zotero.org/users/4931759/items/RAMTLDJ8"],"itemData":{"id":479,"type":"webpage","title":"Severe dyspnea and uncontrolled seizures following meperfluthrin poisoning: a case report | BMC Pediatrics | Springer Nature Link","URL":"https://link.springer.com/article/10.1186/s12887-021-02509-2","accessed":{"date-parts":[["2026",2,3]]}}}],"schema":"https://github.com/citation-style-language/schema/raw/master/csl-citation.json"} </w:instrText>
            </w:r>
            <w:r>
              <w:rPr>
                <w:rFonts w:cs="Times New Roman"/>
                <w:sz w:val="20"/>
                <w:szCs w:val="20"/>
              </w:rPr>
              <w:fldChar w:fldCharType="separate"/>
            </w:r>
            <w:r w:rsidRPr="00BD2FD8">
              <w:rPr>
                <w:rFonts w:cs="Times New Roman"/>
                <w:sz w:val="20"/>
              </w:rPr>
              <w:t>[4]</w:t>
            </w:r>
            <w:r>
              <w:rPr>
                <w:rFonts w:cs="Times New Roman"/>
                <w:sz w:val="20"/>
                <w:szCs w:val="20"/>
              </w:rPr>
              <w:fldChar w:fldCharType="end"/>
            </w:r>
            <w:r w:rsidRPr="003B5800">
              <w:rPr>
                <w:rFonts w:cs="Times New Roman"/>
                <w:sz w:val="20"/>
                <w:szCs w:val="20"/>
              </w:rPr>
              <w:t>, 2021</w:t>
            </w:r>
          </w:p>
          <w:p w14:paraId="50AFFEA7" w14:textId="77777777" w:rsidR="00D841D1" w:rsidRPr="003B5800" w:rsidRDefault="00D841D1" w:rsidP="00B25225">
            <w:pPr>
              <w:jc w:val="both"/>
              <w:rPr>
                <w:rFonts w:cs="Times New Roman"/>
                <w:sz w:val="20"/>
                <w:szCs w:val="20"/>
              </w:rPr>
            </w:pPr>
          </w:p>
        </w:tc>
        <w:tc>
          <w:tcPr>
            <w:tcW w:w="0" w:type="auto"/>
          </w:tcPr>
          <w:p w14:paraId="0AC92204" w14:textId="77777777" w:rsidR="00D841D1" w:rsidRPr="003B5800" w:rsidRDefault="00D841D1" w:rsidP="00B25225">
            <w:pPr>
              <w:jc w:val="both"/>
              <w:rPr>
                <w:rFonts w:cs="Times New Roman"/>
                <w:sz w:val="20"/>
                <w:szCs w:val="20"/>
              </w:rPr>
            </w:pPr>
            <w:r w:rsidRPr="003B5800">
              <w:rPr>
                <w:rFonts w:cs="Times New Roman"/>
                <w:sz w:val="20"/>
                <w:szCs w:val="20"/>
              </w:rPr>
              <w:t>Chi</w:t>
            </w:r>
            <w:r>
              <w:rPr>
                <w:rFonts w:cs="Times New Roman"/>
                <w:sz w:val="20"/>
                <w:szCs w:val="20"/>
              </w:rPr>
              <w:t>n</w:t>
            </w:r>
            <w:r w:rsidRPr="003B5800">
              <w:rPr>
                <w:rFonts w:cs="Times New Roman"/>
                <w:sz w:val="20"/>
                <w:szCs w:val="20"/>
              </w:rPr>
              <w:t>a</w:t>
            </w:r>
          </w:p>
        </w:tc>
        <w:tc>
          <w:tcPr>
            <w:tcW w:w="0" w:type="auto"/>
          </w:tcPr>
          <w:p w14:paraId="612AA2A8" w14:textId="77777777" w:rsidR="00D841D1" w:rsidRPr="003B5800" w:rsidRDefault="00D841D1" w:rsidP="00B25225">
            <w:pPr>
              <w:jc w:val="both"/>
              <w:rPr>
                <w:rFonts w:cs="Times New Roman"/>
                <w:sz w:val="20"/>
                <w:szCs w:val="20"/>
              </w:rPr>
            </w:pPr>
            <w:r w:rsidRPr="003B5800">
              <w:rPr>
                <w:rFonts w:cs="Times New Roman"/>
                <w:sz w:val="20"/>
                <w:szCs w:val="20"/>
              </w:rPr>
              <w:t>16months</w:t>
            </w:r>
          </w:p>
        </w:tc>
        <w:tc>
          <w:tcPr>
            <w:tcW w:w="0" w:type="auto"/>
          </w:tcPr>
          <w:p w14:paraId="3BAEF181" w14:textId="77777777" w:rsidR="00D841D1" w:rsidRPr="003B5800" w:rsidRDefault="00D841D1" w:rsidP="00B25225">
            <w:pPr>
              <w:jc w:val="both"/>
              <w:rPr>
                <w:rFonts w:cs="Times New Roman"/>
                <w:sz w:val="20"/>
                <w:szCs w:val="20"/>
              </w:rPr>
            </w:pPr>
            <w:r w:rsidRPr="003B5800">
              <w:rPr>
                <w:rFonts w:cs="Times New Roman"/>
                <w:sz w:val="20"/>
                <w:szCs w:val="20"/>
              </w:rPr>
              <w:t>Male</w:t>
            </w:r>
          </w:p>
        </w:tc>
        <w:tc>
          <w:tcPr>
            <w:tcW w:w="0" w:type="auto"/>
          </w:tcPr>
          <w:p w14:paraId="4173BFF9" w14:textId="77777777" w:rsidR="00D841D1" w:rsidRPr="003B5800" w:rsidRDefault="00D841D1" w:rsidP="00B25225">
            <w:pPr>
              <w:jc w:val="both"/>
              <w:rPr>
                <w:rFonts w:cs="Times New Roman"/>
                <w:sz w:val="20"/>
                <w:szCs w:val="20"/>
              </w:rPr>
            </w:pPr>
            <w:r w:rsidRPr="003B5800">
              <w:rPr>
                <w:rFonts w:cs="Times New Roman"/>
                <w:sz w:val="20"/>
                <w:szCs w:val="20"/>
              </w:rPr>
              <w:t>240</w:t>
            </w:r>
          </w:p>
        </w:tc>
        <w:tc>
          <w:tcPr>
            <w:tcW w:w="0" w:type="auto"/>
          </w:tcPr>
          <w:p w14:paraId="109892B2" w14:textId="77777777" w:rsidR="00D841D1" w:rsidRPr="003B5800" w:rsidRDefault="00D841D1" w:rsidP="00B25225">
            <w:pPr>
              <w:rPr>
                <w:rFonts w:cs="Times New Roman"/>
                <w:sz w:val="20"/>
                <w:szCs w:val="20"/>
              </w:rPr>
            </w:pPr>
            <w:r w:rsidRPr="003B5800">
              <w:rPr>
                <w:rFonts w:cs="Times New Roman"/>
                <w:sz w:val="20"/>
                <w:szCs w:val="20"/>
              </w:rPr>
              <w:t>Shortness ofbreath, serious dyspnea, cyanosis, tonic-clonic convulsions</w:t>
            </w:r>
          </w:p>
        </w:tc>
        <w:tc>
          <w:tcPr>
            <w:tcW w:w="0" w:type="auto"/>
          </w:tcPr>
          <w:p w14:paraId="484064F8" w14:textId="77777777" w:rsidR="00D841D1" w:rsidRPr="003B5800" w:rsidRDefault="00D841D1" w:rsidP="00B25225">
            <w:pPr>
              <w:rPr>
                <w:rFonts w:cs="Times New Roman"/>
                <w:sz w:val="20"/>
                <w:szCs w:val="20"/>
              </w:rPr>
            </w:pPr>
            <w:r w:rsidRPr="003B5800">
              <w:rPr>
                <w:rFonts w:cs="Times New Roman"/>
                <w:sz w:val="20"/>
                <w:szCs w:val="20"/>
              </w:rPr>
              <w:t>X-ray and CT of chest showed multiple patchy highdensity shadows in the lungs bilaterally</w:t>
            </w:r>
          </w:p>
        </w:tc>
        <w:tc>
          <w:tcPr>
            <w:tcW w:w="0" w:type="auto"/>
          </w:tcPr>
          <w:p w14:paraId="696E61AC" w14:textId="77777777" w:rsidR="00D841D1" w:rsidRPr="003B5800" w:rsidRDefault="00D841D1" w:rsidP="00B25225">
            <w:pPr>
              <w:jc w:val="both"/>
              <w:rPr>
                <w:rFonts w:cs="Times New Roman"/>
                <w:sz w:val="20"/>
                <w:szCs w:val="20"/>
              </w:rPr>
            </w:pPr>
            <w:r>
              <w:rPr>
                <w:rFonts w:cs="Times New Roman"/>
                <w:sz w:val="20"/>
                <w:szCs w:val="20"/>
              </w:rPr>
              <w:t>Normal</w:t>
            </w:r>
          </w:p>
        </w:tc>
        <w:tc>
          <w:tcPr>
            <w:tcW w:w="0" w:type="auto"/>
          </w:tcPr>
          <w:p w14:paraId="4AA5ECAF" w14:textId="77777777" w:rsidR="00D841D1" w:rsidRPr="003B5800" w:rsidRDefault="00D841D1" w:rsidP="00B25225">
            <w:pPr>
              <w:rPr>
                <w:rFonts w:cs="Times New Roman"/>
                <w:sz w:val="20"/>
                <w:szCs w:val="20"/>
              </w:rPr>
            </w:pPr>
            <w:r w:rsidRPr="003B5800">
              <w:rPr>
                <w:rFonts w:cs="Times New Roman"/>
                <w:sz w:val="20"/>
                <w:szCs w:val="20"/>
              </w:rPr>
              <w:t>No response to 10% chloral hydrate, midazolam and phenobarbital but propofol was effective, broad-spectrum antibiotics, mechanical ventilation</w:t>
            </w:r>
          </w:p>
        </w:tc>
        <w:tc>
          <w:tcPr>
            <w:tcW w:w="0" w:type="auto"/>
          </w:tcPr>
          <w:p w14:paraId="5A75D050" w14:textId="77777777" w:rsidR="00D841D1" w:rsidRPr="003B5800" w:rsidRDefault="00D841D1" w:rsidP="00B25225">
            <w:pPr>
              <w:rPr>
                <w:rFonts w:cs="Times New Roman"/>
                <w:sz w:val="20"/>
                <w:szCs w:val="20"/>
              </w:rPr>
            </w:pPr>
            <w:r w:rsidRPr="003B5800">
              <w:rPr>
                <w:rFonts w:cs="Times New Roman"/>
                <w:sz w:val="20"/>
                <w:szCs w:val="20"/>
              </w:rPr>
              <w:t>Recover after 30 days</w:t>
            </w:r>
          </w:p>
        </w:tc>
      </w:tr>
      <w:tr w:rsidR="00D841D1" w:rsidRPr="003B5800" w14:paraId="3FFA8DD2" w14:textId="77777777" w:rsidTr="00B25225">
        <w:tc>
          <w:tcPr>
            <w:tcW w:w="0" w:type="auto"/>
          </w:tcPr>
          <w:p w14:paraId="53D89FCA" w14:textId="77777777" w:rsidR="00D841D1" w:rsidRPr="003B5800" w:rsidRDefault="00D841D1" w:rsidP="00B25225">
            <w:pPr>
              <w:jc w:val="both"/>
              <w:rPr>
                <w:rFonts w:cs="Times New Roman"/>
                <w:sz w:val="20"/>
                <w:szCs w:val="20"/>
              </w:rPr>
            </w:pPr>
            <w:r w:rsidRPr="003B5800">
              <w:rPr>
                <w:rFonts w:cs="Times New Roman"/>
                <w:sz w:val="20"/>
                <w:szCs w:val="20"/>
              </w:rPr>
              <w:t>ZhongqiangLi</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{"citationID":"nfBsskHQ","properties":{"formattedCitation":"[5]","plainCitation":"[5]","noteIndex":0},"citationItems":[{"id":480,"uris":["http://zotero.org/users/4931759/items/PNUFGUAN"],"itemData":{"id":480,"type":"article-journal","abstract":"Mosquito coils, common in resource-constraint countries where mosquito-borne diseases are endemic, are slow- burning sticks that emit smoke containing mosquito repellents, commonly pyrethroids like meperfluthrin. In humans, the documented side effects of inhaled meperfluthrin are few. We report a case of meperfluthrin toxicity following exposure to mosquito coil fumes. A 14-year-old male&amp;nbsp; adolescent developed multiple episodes of vomiting, respiratory distress, and altered consciousness following exposure to mosquito- repellent fumes containing 0.25% meperfluthrin. He had slept on a floor mat CC –BY 4.0 with the burning coil 20cm from his face before&amp;nbsp; the onset of symptoms. He received initial oxygen, steroids, and antibiotics care at a private hospital before being referred to the&amp;nbsp; teaching hospital. At presentation, his Glasgow Coma Score was 12, otherwise normal CNS finding. He developed irrational talk, violent&amp;nbsp; behaviour and insomnia three days later. He recovered fully with supportive care. Excessive inhalation of meperfluthrinfumes maylead to&amp;nbsp; neurotoxicity and pulmonary toxicity.&amp;nbsp;","container-title":"Nigerian Journal of Paediatrics","DOI":"10.4314/njp.v50i3.6","ISSN":"0302-4660","issue":"3","language":"en","license":"Copyright (c) 2023","page":"160-163","source":"www.ajol.info","title":"Meperfluthrin poisoning from mosquito repellent fumes in a 14-year-old Nigerian male adolescent- a case report","volume":"50","author":[{"family":"Rasheedat","given":"Ibraheem M."},{"family":"Ibraheem","given":"Sanusi"},{"family":"Peace","given":"Akanbi O."},{"family":"Eseoghene","given":"Emerhor"},{"family":"Aishatu","given":"Gobir A."}],"issued":{"date-parts":[["2023",11,2]]}}}],"schema":"https://github.com/citation-style-language/schema/raw/master/csl-citation.json"} </w:instrText>
            </w:r>
            <w:r>
              <w:rPr>
                <w:rFonts w:cs="Times New Roman"/>
                <w:sz w:val="20"/>
                <w:szCs w:val="20"/>
              </w:rPr>
              <w:fldChar w:fldCharType="separate"/>
            </w:r>
            <w:r w:rsidRPr="005A1264">
              <w:rPr>
                <w:rFonts w:cs="Times New Roman"/>
                <w:sz w:val="20"/>
              </w:rPr>
              <w:t>[5]</w:t>
            </w:r>
            <w:r>
              <w:rPr>
                <w:rFonts w:cs="Times New Roman"/>
                <w:sz w:val="20"/>
                <w:szCs w:val="20"/>
              </w:rPr>
              <w:fldChar w:fldCharType="end"/>
            </w:r>
            <w:r w:rsidRPr="003B5800">
              <w:rPr>
                <w:rFonts w:cs="Times New Roman"/>
                <w:sz w:val="20"/>
                <w:szCs w:val="20"/>
              </w:rPr>
              <w:t>, 2022</w:t>
            </w:r>
          </w:p>
        </w:tc>
        <w:tc>
          <w:tcPr>
            <w:tcW w:w="0" w:type="auto"/>
          </w:tcPr>
          <w:p w14:paraId="3876DB2E" w14:textId="77777777" w:rsidR="00D841D1" w:rsidRPr="003B5800" w:rsidRDefault="00D841D1" w:rsidP="00B25225">
            <w:pPr>
              <w:jc w:val="both"/>
              <w:rPr>
                <w:rFonts w:cs="Times New Roman"/>
                <w:sz w:val="20"/>
                <w:szCs w:val="20"/>
              </w:rPr>
            </w:pPr>
            <w:r w:rsidRPr="003B5800">
              <w:rPr>
                <w:rFonts w:cs="Times New Roman"/>
                <w:sz w:val="20"/>
                <w:szCs w:val="20"/>
              </w:rPr>
              <w:t>China</w:t>
            </w:r>
          </w:p>
        </w:tc>
        <w:tc>
          <w:tcPr>
            <w:tcW w:w="0" w:type="auto"/>
          </w:tcPr>
          <w:p w14:paraId="42C34289" w14:textId="77777777" w:rsidR="00D841D1" w:rsidRPr="003B5800" w:rsidRDefault="00D841D1" w:rsidP="00B25225">
            <w:pPr>
              <w:jc w:val="both"/>
              <w:rPr>
                <w:rFonts w:cs="Times New Roman"/>
                <w:sz w:val="20"/>
                <w:szCs w:val="20"/>
              </w:rPr>
            </w:pPr>
            <w:r w:rsidRPr="003B5800">
              <w:rPr>
                <w:rFonts w:cs="Times New Roman"/>
                <w:sz w:val="20"/>
                <w:szCs w:val="20"/>
              </w:rPr>
              <w:t>1 year</w:t>
            </w:r>
          </w:p>
        </w:tc>
        <w:tc>
          <w:tcPr>
            <w:tcW w:w="0" w:type="auto"/>
          </w:tcPr>
          <w:p w14:paraId="57DC5EE7" w14:textId="77777777" w:rsidR="00D841D1" w:rsidRPr="003B5800" w:rsidRDefault="00D841D1" w:rsidP="00B25225">
            <w:pPr>
              <w:jc w:val="both"/>
              <w:rPr>
                <w:rFonts w:cs="Times New Roman"/>
                <w:sz w:val="20"/>
                <w:szCs w:val="20"/>
              </w:rPr>
            </w:pPr>
            <w:r w:rsidRPr="003B5800">
              <w:rPr>
                <w:rFonts w:cs="Times New Roman"/>
                <w:sz w:val="20"/>
                <w:szCs w:val="20"/>
              </w:rPr>
              <w:t>Male</w:t>
            </w:r>
          </w:p>
        </w:tc>
        <w:tc>
          <w:tcPr>
            <w:tcW w:w="0" w:type="auto"/>
          </w:tcPr>
          <w:p w14:paraId="3C31BBA7" w14:textId="77777777" w:rsidR="00D841D1" w:rsidRPr="003B5800" w:rsidRDefault="00D841D1" w:rsidP="00B25225">
            <w:pPr>
              <w:jc w:val="both"/>
              <w:rPr>
                <w:rFonts w:cs="Times New Roman"/>
                <w:sz w:val="20"/>
                <w:szCs w:val="20"/>
              </w:rPr>
            </w:pPr>
            <w:r w:rsidRPr="003B5800">
              <w:rPr>
                <w:rFonts w:cs="Times New Roman"/>
                <w:sz w:val="20"/>
                <w:szCs w:val="20"/>
              </w:rPr>
              <w:t>90</w:t>
            </w:r>
          </w:p>
        </w:tc>
        <w:tc>
          <w:tcPr>
            <w:tcW w:w="0" w:type="auto"/>
          </w:tcPr>
          <w:p w14:paraId="5AF8D98C" w14:textId="77777777" w:rsidR="00D841D1" w:rsidRPr="003B5800" w:rsidRDefault="00D841D1" w:rsidP="00B25225">
            <w:pPr>
              <w:rPr>
                <w:rFonts w:cs="Times New Roman"/>
                <w:sz w:val="20"/>
                <w:szCs w:val="20"/>
              </w:rPr>
            </w:pPr>
            <w:r w:rsidRPr="003B5800">
              <w:rPr>
                <w:rFonts w:cs="Times New Roman"/>
                <w:sz w:val="20"/>
                <w:szCs w:val="20"/>
              </w:rPr>
              <w:t>No respiratory disease symptoms for the first 3days; cough, accompaniedby sputum no wheezing from 4</w:t>
            </w:r>
            <w:r w:rsidRPr="003B5800">
              <w:rPr>
                <w:rFonts w:cs="Times New Roman"/>
                <w:sz w:val="20"/>
                <w:szCs w:val="20"/>
                <w:vertAlign w:val="superscript"/>
              </w:rPr>
              <w:t>th</w:t>
            </w:r>
            <w:r w:rsidRPr="003B5800">
              <w:rPr>
                <w:rFonts w:cs="Times New Roman"/>
                <w:sz w:val="20"/>
                <w:szCs w:val="20"/>
              </w:rPr>
              <w:t xml:space="preserve"> day; Fever occurred on day 6, between 37°C and 40°C.</w:t>
            </w:r>
          </w:p>
        </w:tc>
        <w:tc>
          <w:tcPr>
            <w:tcW w:w="0" w:type="auto"/>
          </w:tcPr>
          <w:p w14:paraId="17BEAE92" w14:textId="77777777" w:rsidR="00D841D1" w:rsidRPr="003B5800" w:rsidRDefault="00D841D1" w:rsidP="00B25225">
            <w:pPr>
              <w:rPr>
                <w:rFonts w:cs="Times New Roman"/>
                <w:sz w:val="20"/>
                <w:szCs w:val="20"/>
              </w:rPr>
            </w:pPr>
            <w:r w:rsidRPr="003B5800">
              <w:rPr>
                <w:rFonts w:cs="Times New Roman"/>
                <w:sz w:val="20"/>
                <w:szCs w:val="20"/>
              </w:rPr>
              <w:t>Showed uneven brightness in both lungs with multiple spots, scaly shadows, and mesh. Density of the shadows indicated lung parenchymal and interstitial lung disease</w:t>
            </w:r>
          </w:p>
        </w:tc>
        <w:tc>
          <w:tcPr>
            <w:tcW w:w="0" w:type="auto"/>
          </w:tcPr>
          <w:p w14:paraId="093BE14C" w14:textId="77777777" w:rsidR="00D841D1" w:rsidRPr="003B5800" w:rsidRDefault="00D841D1" w:rsidP="00B25225">
            <w:pPr>
              <w:jc w:val="both"/>
              <w:rPr>
                <w:rFonts w:cs="Times New Roman"/>
                <w:sz w:val="20"/>
                <w:szCs w:val="20"/>
              </w:rPr>
            </w:pPr>
            <w:r w:rsidRPr="003B5800">
              <w:rPr>
                <w:rFonts w:cs="Times New Roman"/>
                <w:sz w:val="20"/>
                <w:szCs w:val="20"/>
              </w:rPr>
              <w:t>Not done</w:t>
            </w:r>
          </w:p>
        </w:tc>
        <w:tc>
          <w:tcPr>
            <w:tcW w:w="0" w:type="auto"/>
          </w:tcPr>
          <w:p w14:paraId="593ED44F" w14:textId="77777777" w:rsidR="00D841D1" w:rsidRPr="003B5800" w:rsidRDefault="00D841D1" w:rsidP="00B25225">
            <w:pPr>
              <w:jc w:val="both"/>
              <w:rPr>
                <w:rFonts w:cs="Times New Roman"/>
                <w:sz w:val="20"/>
                <w:szCs w:val="20"/>
              </w:rPr>
            </w:pPr>
            <w:r w:rsidRPr="003B5800">
              <w:rPr>
                <w:rFonts w:cs="Times New Roman"/>
                <w:sz w:val="20"/>
                <w:szCs w:val="20"/>
              </w:rPr>
              <w:t>Inhale budesonideand terbutaline</w:t>
            </w:r>
          </w:p>
        </w:tc>
        <w:tc>
          <w:tcPr>
            <w:tcW w:w="0" w:type="auto"/>
          </w:tcPr>
          <w:p w14:paraId="5A63C146" w14:textId="77777777" w:rsidR="00D841D1" w:rsidRPr="003B5800" w:rsidRDefault="00D841D1" w:rsidP="00B25225">
            <w:pPr>
              <w:rPr>
                <w:rFonts w:cs="Times New Roman"/>
                <w:sz w:val="20"/>
                <w:szCs w:val="20"/>
              </w:rPr>
            </w:pPr>
            <w:r w:rsidRPr="003B5800">
              <w:rPr>
                <w:rFonts w:cs="Times New Roman"/>
                <w:sz w:val="20"/>
                <w:szCs w:val="20"/>
              </w:rPr>
              <w:t>On day 50, no cough or fever, and the lung CT condition had improved. No symptoms had occurred after 12 months of follow up. The lung function had returned to a normal range for the patient’s age group</w:t>
            </w:r>
          </w:p>
        </w:tc>
      </w:tr>
      <w:tr w:rsidR="00D841D1" w:rsidRPr="003B5800" w14:paraId="76BADCAE" w14:textId="77777777" w:rsidTr="00B25225">
        <w:tc>
          <w:tcPr>
            <w:tcW w:w="0" w:type="auto"/>
          </w:tcPr>
          <w:p w14:paraId="0A1F80A4" w14:textId="77777777" w:rsidR="00D841D1" w:rsidRPr="003B5800" w:rsidRDefault="00D841D1" w:rsidP="00B25225">
            <w:pPr>
              <w:jc w:val="both"/>
              <w:rPr>
                <w:rFonts w:cs="Times New Roman"/>
                <w:sz w:val="20"/>
                <w:szCs w:val="20"/>
              </w:rPr>
            </w:pPr>
            <w:r w:rsidRPr="003B5800">
              <w:rPr>
                <w:rFonts w:cs="Times New Roman"/>
                <w:sz w:val="20"/>
                <w:szCs w:val="20"/>
              </w:rPr>
              <w:lastRenderedPageBreak/>
              <w:t>Rasheedat M.Ibrahem</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{"citationID":"BYRBrpT4","properties":{"formattedCitation":"[6]","plainCitation":"[6]","noteIndex":0},"citationItems":[{"id":482,"uris":["http://zotero.org/users/4931759/items/K53MV48Z"],"itemData":{"id":482,"type":"article-journal","abstract":"BACKGROUND: It is common for children to accidentally ingest chemical drugs with different degrees of toxicity. Meperfluthrin is a highly effective and easy-to-use pyrethroid pesticide with low toxicity. It is widely used in electric mosquito coils. This type of electric mosquito coil is used in daily life, which increases the chance of exposure among children and, consequently, may lead to accidental ingestion. There are only few reports of meperfluthrin poisoning causing lung injury in children. We report a rare clinical case of lung injury wherein a child ingested meperfluthrin orally.\nCASE PRESENTATION: We report the case of a 1-year-old boy who accidentally swallowed an electric mosquito coil containing meperfluthrin and developed cough and fever. The patient's parents observed him swallowing the electric mosquito coil (Qiangshou®). Although he was stopped, the child had already swallowed approximately 10 ml of the liquid. According to the instructions, it contained 9 mg/ml of meperfluthrin, thus, it was assumed that he ingested meperfluthrin at a dose of approximately 90 mg. Computed tomography (CT) of his lungs showed uneven brightness in both lungs with multiple spots, scaly shadows, and mesh. Density of the shadows indicated lung parenchymal and interstitial lung disease. Lung tidal function tests indicated obstructive ventilation dysfunction. After evaluation and treatment, his cough drastically reduced, his fever disappeared, and his lung CT findings showed improvement. Therefore, accidental ingestion of meperfluthrin led to acute lung injury in a paediatric patient. Because of prompt treatment, his lung lesions recovered well.\nCONCLUSIONS: Meperfluthrin causes airway mucosal damage and hypersensitivity. Lung CT and lung tidal function measurements can be used to monitor changes in the condition. Presently, there is a lack of specific detoxification drugs for meperfluthrin poisoning. Thus, the focus of treatment is to protect the airway mucosa and reduce inflammatory reactions.","container-title":"BMC pediatrics","DOI":"10.1186/s12887-022-03117-4","ISSN":"1471-2431","issue":"1","journalAbbreviation":"BMC Pediatr","language":"eng","page":"43","PMID":"35038988","PMCID":"PMC8762887","source":"PubMed","title":"Paediatric lung injury due to accidental ingestion of meperfluthrin: a case report","title-short":"Paediatric lung injury due to accidental ingestion of meperfluthrin","volume":"22","author":[{"family":"Li","given":"Zhongqiang"},{"family":"Wu","given":"Xuejun"},{"family":"Lv","given":"Gaomei"},{"family":"Ren","given":"Zhijuan"},{"family":"Yang","given":"Huimin"},{"family":"Xu","given":"Leilei"},{"family":"Guan","given":"Qingli"},{"family":"Meng","given":"Xiuqi"}],"issued":{"date-parts":[["2022",1,17]]}}}],"schema":"https://github.com/citation-style-language/schema/raw/master/csl-citation.json"} </w:instrText>
            </w:r>
            <w:r>
              <w:rPr>
                <w:rFonts w:cs="Times New Roman"/>
                <w:sz w:val="20"/>
                <w:szCs w:val="20"/>
              </w:rPr>
              <w:fldChar w:fldCharType="separate"/>
            </w:r>
            <w:r w:rsidRPr="005A1264">
              <w:rPr>
                <w:rFonts w:cs="Times New Roman"/>
                <w:sz w:val="20"/>
              </w:rPr>
              <w:t>[6]</w:t>
            </w:r>
            <w:r>
              <w:rPr>
                <w:rFonts w:cs="Times New Roman"/>
                <w:sz w:val="20"/>
                <w:szCs w:val="20"/>
              </w:rPr>
              <w:fldChar w:fldCharType="end"/>
            </w:r>
            <w:r w:rsidRPr="003B5800">
              <w:rPr>
                <w:rFonts w:cs="Times New Roman"/>
                <w:sz w:val="20"/>
                <w:szCs w:val="20"/>
              </w:rPr>
              <w:t>, 2023</w:t>
            </w:r>
          </w:p>
        </w:tc>
        <w:tc>
          <w:tcPr>
            <w:tcW w:w="0" w:type="auto"/>
          </w:tcPr>
          <w:p w14:paraId="7596D4C3" w14:textId="77777777" w:rsidR="00D841D1" w:rsidRPr="003B5800" w:rsidRDefault="00D841D1" w:rsidP="00B25225">
            <w:pPr>
              <w:jc w:val="both"/>
              <w:rPr>
                <w:rFonts w:cs="Times New Roman"/>
                <w:sz w:val="20"/>
                <w:szCs w:val="20"/>
              </w:rPr>
            </w:pPr>
            <w:r w:rsidRPr="003B5800">
              <w:rPr>
                <w:rFonts w:cs="Times New Roman"/>
                <w:sz w:val="20"/>
                <w:szCs w:val="20"/>
              </w:rPr>
              <w:t>Niger</w:t>
            </w:r>
            <w:r>
              <w:rPr>
                <w:rFonts w:cs="Times New Roman"/>
                <w:sz w:val="20"/>
                <w:szCs w:val="20"/>
              </w:rPr>
              <w:t>i</w:t>
            </w:r>
            <w:r w:rsidRPr="003B5800">
              <w:rPr>
                <w:rFonts w:cs="Times New Roman"/>
                <w:sz w:val="20"/>
                <w:szCs w:val="20"/>
              </w:rPr>
              <w:t>a</w:t>
            </w:r>
          </w:p>
        </w:tc>
        <w:tc>
          <w:tcPr>
            <w:tcW w:w="0" w:type="auto"/>
          </w:tcPr>
          <w:p w14:paraId="366D3E18" w14:textId="77777777" w:rsidR="00D841D1" w:rsidRPr="003B5800" w:rsidRDefault="00D841D1" w:rsidP="00B25225">
            <w:pPr>
              <w:jc w:val="both"/>
              <w:rPr>
                <w:rFonts w:cs="Times New Roman"/>
                <w:sz w:val="20"/>
                <w:szCs w:val="20"/>
              </w:rPr>
            </w:pPr>
            <w:r w:rsidRPr="003B5800">
              <w:rPr>
                <w:rFonts w:cs="Times New Roman"/>
                <w:sz w:val="20"/>
                <w:szCs w:val="20"/>
              </w:rPr>
              <w:t>14 years</w:t>
            </w:r>
          </w:p>
        </w:tc>
        <w:tc>
          <w:tcPr>
            <w:tcW w:w="0" w:type="auto"/>
          </w:tcPr>
          <w:p w14:paraId="17F3DEEF" w14:textId="77777777" w:rsidR="00D841D1" w:rsidRPr="003B5800" w:rsidRDefault="00D841D1" w:rsidP="00B25225">
            <w:pPr>
              <w:jc w:val="both"/>
              <w:rPr>
                <w:rFonts w:cs="Times New Roman"/>
                <w:sz w:val="20"/>
                <w:szCs w:val="20"/>
              </w:rPr>
            </w:pPr>
            <w:r w:rsidRPr="003B5800">
              <w:rPr>
                <w:rFonts w:cs="Times New Roman"/>
                <w:sz w:val="20"/>
                <w:szCs w:val="20"/>
              </w:rPr>
              <w:t>Male</w:t>
            </w:r>
          </w:p>
        </w:tc>
        <w:tc>
          <w:tcPr>
            <w:tcW w:w="0" w:type="auto"/>
          </w:tcPr>
          <w:p w14:paraId="01BC43DB" w14:textId="77777777" w:rsidR="00D841D1" w:rsidRPr="003B5800" w:rsidRDefault="00D841D1" w:rsidP="00B25225">
            <w:pPr>
              <w:jc w:val="both"/>
              <w:rPr>
                <w:rFonts w:cs="Times New Roman"/>
                <w:sz w:val="20"/>
                <w:szCs w:val="20"/>
              </w:rPr>
            </w:pPr>
            <w:r w:rsidRPr="003B5800">
              <w:rPr>
                <w:rFonts w:cs="Times New Roman"/>
                <w:sz w:val="20"/>
                <w:szCs w:val="20"/>
              </w:rPr>
              <w:t>Inhalation, Unknown quantity</w:t>
            </w:r>
          </w:p>
        </w:tc>
        <w:tc>
          <w:tcPr>
            <w:tcW w:w="0" w:type="auto"/>
          </w:tcPr>
          <w:p w14:paraId="2E83D18C" w14:textId="77777777" w:rsidR="00D841D1" w:rsidRPr="003B5800" w:rsidRDefault="00D841D1" w:rsidP="00B25225">
            <w:pPr>
              <w:rPr>
                <w:rFonts w:cs="Times New Roman"/>
                <w:sz w:val="20"/>
                <w:szCs w:val="20"/>
              </w:rPr>
            </w:pPr>
            <w:r w:rsidRPr="003B5800">
              <w:rPr>
                <w:rFonts w:cs="Times New Roman"/>
                <w:sz w:val="20"/>
                <w:szCs w:val="20"/>
              </w:rPr>
              <w:t>At presentation, GCS was 12, irrational talk, violent behaviour and insomnia three days later</w:t>
            </w:r>
          </w:p>
        </w:tc>
        <w:tc>
          <w:tcPr>
            <w:tcW w:w="0" w:type="auto"/>
          </w:tcPr>
          <w:p w14:paraId="120AA90D" w14:textId="77777777" w:rsidR="00D841D1" w:rsidRPr="003B5800" w:rsidRDefault="00D841D1" w:rsidP="00B25225">
            <w:pPr>
              <w:jc w:val="both"/>
              <w:rPr>
                <w:rFonts w:cs="Times New Roman"/>
                <w:sz w:val="20"/>
                <w:szCs w:val="20"/>
              </w:rPr>
            </w:pPr>
            <w:r w:rsidRPr="003B5800">
              <w:rPr>
                <w:rFonts w:cs="Times New Roman"/>
                <w:sz w:val="20"/>
                <w:szCs w:val="20"/>
              </w:rPr>
              <w:t>Normal</w:t>
            </w:r>
          </w:p>
        </w:tc>
        <w:tc>
          <w:tcPr>
            <w:tcW w:w="0" w:type="auto"/>
          </w:tcPr>
          <w:p w14:paraId="3E042340" w14:textId="77777777" w:rsidR="00D841D1" w:rsidRPr="003B5800" w:rsidRDefault="00D841D1" w:rsidP="00B25225">
            <w:pPr>
              <w:jc w:val="both"/>
              <w:rPr>
                <w:rFonts w:cs="Times New Roman"/>
                <w:sz w:val="20"/>
                <w:szCs w:val="20"/>
              </w:rPr>
            </w:pPr>
            <w:r w:rsidRPr="003B5800">
              <w:rPr>
                <w:rFonts w:cs="Times New Roman"/>
                <w:sz w:val="20"/>
                <w:szCs w:val="20"/>
              </w:rPr>
              <w:t>Not done</w:t>
            </w:r>
          </w:p>
        </w:tc>
        <w:tc>
          <w:tcPr>
            <w:tcW w:w="0" w:type="auto"/>
          </w:tcPr>
          <w:p w14:paraId="3FC92BB0" w14:textId="77777777" w:rsidR="00D841D1" w:rsidRPr="003B5800" w:rsidRDefault="00D841D1" w:rsidP="00B25225">
            <w:pPr>
              <w:jc w:val="both"/>
              <w:rPr>
                <w:rFonts w:cs="Times New Roman"/>
                <w:sz w:val="20"/>
                <w:szCs w:val="20"/>
              </w:rPr>
            </w:pPr>
            <w:r w:rsidRPr="003B5800">
              <w:rPr>
                <w:rFonts w:cs="Times New Roman"/>
                <w:sz w:val="20"/>
                <w:szCs w:val="20"/>
              </w:rPr>
              <w:t>oxygen, steroid, antibiotics</w:t>
            </w:r>
          </w:p>
        </w:tc>
        <w:tc>
          <w:tcPr>
            <w:tcW w:w="0" w:type="auto"/>
          </w:tcPr>
          <w:p w14:paraId="239DC5D2" w14:textId="77777777" w:rsidR="00D841D1" w:rsidRPr="003B5800" w:rsidRDefault="00D841D1" w:rsidP="00B25225">
            <w:pPr>
              <w:rPr>
                <w:rFonts w:cs="Times New Roman"/>
                <w:sz w:val="20"/>
                <w:szCs w:val="20"/>
              </w:rPr>
            </w:pPr>
            <w:r w:rsidRPr="003B5800">
              <w:rPr>
                <w:rFonts w:cs="Times New Roman"/>
                <w:sz w:val="20"/>
                <w:szCs w:val="20"/>
              </w:rPr>
              <w:t>By the seventh day, he recorvered fully. During a followup visit, all examination findings were normal</w:t>
            </w:r>
          </w:p>
        </w:tc>
      </w:tr>
      <w:tr w:rsidR="00D841D1" w:rsidRPr="003B5800" w14:paraId="2E93F26B" w14:textId="77777777" w:rsidTr="00B25225">
        <w:tc>
          <w:tcPr>
            <w:tcW w:w="0" w:type="auto"/>
          </w:tcPr>
          <w:p w14:paraId="79B105C7" w14:textId="77777777" w:rsidR="00D841D1" w:rsidRPr="003B5800" w:rsidRDefault="00D841D1" w:rsidP="00B25225">
            <w:pPr>
              <w:jc w:val="both"/>
              <w:rPr>
                <w:rFonts w:cs="Times New Roman"/>
                <w:sz w:val="20"/>
                <w:szCs w:val="20"/>
              </w:rPr>
            </w:pPr>
            <w:r w:rsidRPr="003B5800">
              <w:rPr>
                <w:rFonts w:cs="Times New Roman"/>
                <w:sz w:val="20"/>
                <w:szCs w:val="20"/>
              </w:rPr>
              <w:t>Present study</w:t>
            </w:r>
          </w:p>
        </w:tc>
        <w:tc>
          <w:tcPr>
            <w:tcW w:w="0" w:type="auto"/>
          </w:tcPr>
          <w:p w14:paraId="1737AC31" w14:textId="77777777" w:rsidR="00D841D1" w:rsidRPr="003B5800" w:rsidRDefault="00D841D1" w:rsidP="00B25225">
            <w:pPr>
              <w:jc w:val="both"/>
              <w:rPr>
                <w:rFonts w:cs="Times New Roman"/>
                <w:sz w:val="20"/>
                <w:szCs w:val="20"/>
              </w:rPr>
            </w:pPr>
            <w:r w:rsidRPr="003B5800">
              <w:rPr>
                <w:rFonts w:cs="Times New Roman"/>
                <w:sz w:val="20"/>
                <w:szCs w:val="20"/>
              </w:rPr>
              <w:t>Vietnam</w:t>
            </w:r>
          </w:p>
        </w:tc>
        <w:tc>
          <w:tcPr>
            <w:tcW w:w="0" w:type="auto"/>
          </w:tcPr>
          <w:p w14:paraId="4DD581E2" w14:textId="77777777" w:rsidR="00D841D1" w:rsidRPr="003B5800" w:rsidRDefault="00D841D1" w:rsidP="00B25225">
            <w:pPr>
              <w:jc w:val="both"/>
              <w:rPr>
                <w:rFonts w:cs="Times New Roman"/>
                <w:sz w:val="20"/>
                <w:szCs w:val="20"/>
              </w:rPr>
            </w:pPr>
            <w:r w:rsidRPr="003B5800">
              <w:rPr>
                <w:rFonts w:cs="Times New Roman"/>
                <w:sz w:val="20"/>
                <w:szCs w:val="20"/>
              </w:rPr>
              <w:t>19 months</w:t>
            </w:r>
          </w:p>
        </w:tc>
        <w:tc>
          <w:tcPr>
            <w:tcW w:w="0" w:type="auto"/>
          </w:tcPr>
          <w:p w14:paraId="12E489C8" w14:textId="77777777" w:rsidR="00D841D1" w:rsidRPr="003B5800" w:rsidRDefault="00D841D1" w:rsidP="00B25225">
            <w:pPr>
              <w:jc w:val="both"/>
              <w:rPr>
                <w:rFonts w:cs="Times New Roman"/>
                <w:sz w:val="20"/>
                <w:szCs w:val="20"/>
              </w:rPr>
            </w:pPr>
            <w:r w:rsidRPr="003B5800">
              <w:rPr>
                <w:rFonts w:cs="Times New Roman"/>
                <w:sz w:val="20"/>
                <w:szCs w:val="20"/>
              </w:rPr>
              <w:t>Male</w:t>
            </w:r>
          </w:p>
        </w:tc>
        <w:tc>
          <w:tcPr>
            <w:tcW w:w="0" w:type="auto"/>
          </w:tcPr>
          <w:p w14:paraId="6486667E" w14:textId="77777777" w:rsidR="00D841D1" w:rsidRPr="003B5800" w:rsidRDefault="00D841D1" w:rsidP="00B25225">
            <w:pPr>
              <w:jc w:val="both"/>
              <w:rPr>
                <w:rFonts w:cs="Times New Roman"/>
                <w:sz w:val="20"/>
                <w:szCs w:val="20"/>
              </w:rPr>
            </w:pPr>
            <w:r w:rsidRPr="003B5800">
              <w:rPr>
                <w:rFonts w:cs="Times New Roman"/>
                <w:sz w:val="20"/>
                <w:szCs w:val="20"/>
              </w:rPr>
              <w:t>Unknown quantity</w:t>
            </w:r>
          </w:p>
        </w:tc>
        <w:tc>
          <w:tcPr>
            <w:tcW w:w="0" w:type="auto"/>
          </w:tcPr>
          <w:p w14:paraId="1316C964" w14:textId="77777777" w:rsidR="00D841D1" w:rsidRPr="003B5800" w:rsidRDefault="00D841D1" w:rsidP="00B25225">
            <w:pPr>
              <w:rPr>
                <w:rFonts w:cs="Times New Roman"/>
                <w:sz w:val="20"/>
                <w:szCs w:val="20"/>
              </w:rPr>
            </w:pPr>
            <w:r w:rsidRPr="003B5800">
              <w:rPr>
                <w:rFonts w:cs="Times New Roman"/>
                <w:sz w:val="20"/>
                <w:szCs w:val="20"/>
              </w:rPr>
              <w:t>generalized tonic - clonic seizures</w:t>
            </w:r>
          </w:p>
        </w:tc>
        <w:tc>
          <w:tcPr>
            <w:tcW w:w="0" w:type="auto"/>
          </w:tcPr>
          <w:p w14:paraId="6C38BE18" w14:textId="77777777" w:rsidR="00D841D1" w:rsidRPr="003B5800" w:rsidRDefault="00D841D1" w:rsidP="00B25225">
            <w:pPr>
              <w:jc w:val="both"/>
              <w:rPr>
                <w:rFonts w:cs="Times New Roman"/>
                <w:sz w:val="20"/>
                <w:szCs w:val="20"/>
              </w:rPr>
            </w:pPr>
            <w:r w:rsidRPr="003B5800">
              <w:rPr>
                <w:rFonts w:cs="Times New Roman"/>
                <w:sz w:val="20"/>
                <w:szCs w:val="20"/>
              </w:rPr>
              <w:t>Normal</w:t>
            </w:r>
          </w:p>
        </w:tc>
        <w:tc>
          <w:tcPr>
            <w:tcW w:w="0" w:type="auto"/>
          </w:tcPr>
          <w:p w14:paraId="57E18478" w14:textId="77777777" w:rsidR="00D841D1" w:rsidRPr="003B5800" w:rsidRDefault="00D841D1" w:rsidP="00B25225">
            <w:pPr>
              <w:jc w:val="both"/>
              <w:rPr>
                <w:rFonts w:cs="Times New Roman"/>
                <w:sz w:val="20"/>
                <w:szCs w:val="20"/>
              </w:rPr>
            </w:pPr>
            <w:r w:rsidRPr="003B5800">
              <w:rPr>
                <w:rFonts w:cs="Times New Roman"/>
                <w:sz w:val="20"/>
                <w:szCs w:val="20"/>
              </w:rPr>
              <w:t>Normal</w:t>
            </w:r>
          </w:p>
        </w:tc>
        <w:tc>
          <w:tcPr>
            <w:tcW w:w="0" w:type="auto"/>
          </w:tcPr>
          <w:p w14:paraId="01A3E336" w14:textId="77777777" w:rsidR="00D841D1" w:rsidRPr="003B5800" w:rsidRDefault="00D841D1" w:rsidP="00B25225">
            <w:pPr>
              <w:rPr>
                <w:rFonts w:cs="Times New Roman"/>
                <w:sz w:val="20"/>
                <w:szCs w:val="20"/>
              </w:rPr>
            </w:pPr>
            <w:r w:rsidRPr="003B5800">
              <w:rPr>
                <w:rFonts w:cs="Times New Roman"/>
                <w:sz w:val="20"/>
                <w:szCs w:val="20"/>
              </w:rPr>
              <w:t>Continuous intravenous midazolam, Invasive mechanical ventilation, Hemoperfusion</w:t>
            </w:r>
          </w:p>
        </w:tc>
        <w:tc>
          <w:tcPr>
            <w:tcW w:w="0" w:type="auto"/>
          </w:tcPr>
          <w:p w14:paraId="07504C83" w14:textId="77777777" w:rsidR="00D841D1" w:rsidRPr="003B5800" w:rsidRDefault="00D841D1" w:rsidP="00B25225">
            <w:pPr>
              <w:rPr>
                <w:rFonts w:cs="Times New Roman"/>
                <w:sz w:val="20"/>
                <w:szCs w:val="20"/>
              </w:rPr>
            </w:pPr>
            <w:r w:rsidRPr="003B5800">
              <w:rPr>
                <w:rFonts w:cs="Times New Roman"/>
                <w:sz w:val="20"/>
                <w:szCs w:val="20"/>
              </w:rPr>
              <w:t>Recorvered fully and was discharged after 6 days.</w:t>
            </w:r>
          </w:p>
        </w:tc>
      </w:tr>
    </w:tbl>
    <w:p w14:paraId="5570F815" w14:textId="4F6C8B87" w:rsidR="009B707C" w:rsidRPr="00D841D1" w:rsidRDefault="00D841D1">
      <w:pPr>
        <w:rPr>
          <w:rFonts w:cs="Times New Roman"/>
          <w:b/>
          <w:bCs/>
          <w:sz w:val="28"/>
          <w:szCs w:val="28"/>
        </w:rPr>
      </w:pPr>
      <w:r>
        <w:rPr>
          <w:rFonts w:cs="Times New Roman"/>
          <w:b/>
          <w:bCs/>
          <w:sz w:val="28"/>
          <w:szCs w:val="28"/>
        </w:rPr>
        <w:t xml:space="preserve"> </w:t>
      </w:r>
      <w:r>
        <w:rPr>
          <w:rFonts w:cs="Times New Roman"/>
          <w:b/>
          <w:bCs/>
          <w:sz w:val="28"/>
          <w:szCs w:val="28"/>
        </w:rPr>
        <w:br w:type="page"/>
      </w:r>
    </w:p>
    <w:sectPr w:rsidR="009B707C" w:rsidRPr="00D84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C0"/>
    <w:rsid w:val="00517AE8"/>
    <w:rsid w:val="009B707C"/>
    <w:rsid w:val="00A61707"/>
    <w:rsid w:val="00D841D1"/>
    <w:rsid w:val="00E9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F541"/>
  <w15:chartTrackingRefBased/>
  <w15:docId w15:val="{D7FAF93C-49F8-45A3-8BE1-2F69D79CC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1D1"/>
    <w:pPr>
      <w:spacing w:line="259" w:lineRule="auto"/>
    </w:pPr>
    <w:rPr>
      <w:sz w:val="24"/>
      <w:szCs w:val="22"/>
      <w14:ligatures w14:val="none"/>
    </w:rPr>
  </w:style>
  <w:style w:type="paragraph" w:styleId="Heading1">
    <w:name w:val="heading 1"/>
    <w:basedOn w:val="Normal"/>
    <w:next w:val="Normal"/>
    <w:link w:val="Heading1Char"/>
    <w:uiPriority w:val="9"/>
    <w:qFormat/>
    <w:rsid w:val="00E956C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E956C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E956C0"/>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E956C0"/>
    <w:pPr>
      <w:keepNext/>
      <w:keepLines/>
      <w:spacing w:before="80" w:after="40" w:line="278" w:lineRule="auto"/>
      <w:outlineLvl w:val="3"/>
    </w:pPr>
    <w:rPr>
      <w:rFonts w:asciiTheme="minorHAnsi" w:eastAsiaTheme="majorEastAsia" w:hAnsiTheme="minorHAnsi" w:cstheme="majorBidi"/>
      <w:i/>
      <w:iCs/>
      <w:color w:val="0F4761" w:themeColor="accent1" w:themeShade="BF"/>
      <w:sz w:val="26"/>
      <w:szCs w:val="24"/>
      <w14:ligatures w14:val="standardContextual"/>
    </w:rPr>
  </w:style>
  <w:style w:type="paragraph" w:styleId="Heading5">
    <w:name w:val="heading 5"/>
    <w:basedOn w:val="Normal"/>
    <w:next w:val="Normal"/>
    <w:link w:val="Heading5Char"/>
    <w:uiPriority w:val="9"/>
    <w:semiHidden/>
    <w:unhideWhenUsed/>
    <w:qFormat/>
    <w:rsid w:val="00E956C0"/>
    <w:pPr>
      <w:keepNext/>
      <w:keepLines/>
      <w:spacing w:before="80" w:after="40" w:line="278" w:lineRule="auto"/>
      <w:outlineLvl w:val="4"/>
    </w:pPr>
    <w:rPr>
      <w:rFonts w:asciiTheme="minorHAnsi" w:eastAsiaTheme="majorEastAsia" w:hAnsiTheme="minorHAnsi" w:cstheme="majorBidi"/>
      <w:color w:val="0F4761" w:themeColor="accent1" w:themeShade="BF"/>
      <w:sz w:val="26"/>
      <w:szCs w:val="24"/>
      <w14:ligatures w14:val="standardContextual"/>
    </w:rPr>
  </w:style>
  <w:style w:type="paragraph" w:styleId="Heading6">
    <w:name w:val="heading 6"/>
    <w:basedOn w:val="Normal"/>
    <w:next w:val="Normal"/>
    <w:link w:val="Heading6Char"/>
    <w:uiPriority w:val="9"/>
    <w:semiHidden/>
    <w:unhideWhenUsed/>
    <w:qFormat/>
    <w:rsid w:val="00E956C0"/>
    <w:pPr>
      <w:keepNext/>
      <w:keepLines/>
      <w:spacing w:before="40" w:after="0" w:line="278" w:lineRule="auto"/>
      <w:outlineLvl w:val="5"/>
    </w:pPr>
    <w:rPr>
      <w:rFonts w:asciiTheme="minorHAnsi" w:eastAsiaTheme="majorEastAsia" w:hAnsiTheme="minorHAnsi" w:cstheme="majorBidi"/>
      <w:i/>
      <w:iCs/>
      <w:color w:val="595959" w:themeColor="text1" w:themeTint="A6"/>
      <w:sz w:val="26"/>
      <w:szCs w:val="24"/>
      <w14:ligatures w14:val="standardContextual"/>
    </w:rPr>
  </w:style>
  <w:style w:type="paragraph" w:styleId="Heading7">
    <w:name w:val="heading 7"/>
    <w:basedOn w:val="Normal"/>
    <w:next w:val="Normal"/>
    <w:link w:val="Heading7Char"/>
    <w:uiPriority w:val="9"/>
    <w:semiHidden/>
    <w:unhideWhenUsed/>
    <w:qFormat/>
    <w:rsid w:val="00E956C0"/>
    <w:pPr>
      <w:keepNext/>
      <w:keepLines/>
      <w:spacing w:before="40" w:after="0" w:line="278" w:lineRule="auto"/>
      <w:outlineLvl w:val="6"/>
    </w:pPr>
    <w:rPr>
      <w:rFonts w:asciiTheme="minorHAnsi" w:eastAsiaTheme="majorEastAsia" w:hAnsiTheme="minorHAnsi" w:cstheme="majorBidi"/>
      <w:color w:val="595959" w:themeColor="text1" w:themeTint="A6"/>
      <w:sz w:val="26"/>
      <w:szCs w:val="24"/>
      <w14:ligatures w14:val="standardContextual"/>
    </w:rPr>
  </w:style>
  <w:style w:type="paragraph" w:styleId="Heading8">
    <w:name w:val="heading 8"/>
    <w:basedOn w:val="Normal"/>
    <w:next w:val="Normal"/>
    <w:link w:val="Heading8Char"/>
    <w:uiPriority w:val="9"/>
    <w:semiHidden/>
    <w:unhideWhenUsed/>
    <w:qFormat/>
    <w:rsid w:val="00E956C0"/>
    <w:pPr>
      <w:keepNext/>
      <w:keepLines/>
      <w:spacing w:after="0" w:line="278" w:lineRule="auto"/>
      <w:outlineLvl w:val="7"/>
    </w:pPr>
    <w:rPr>
      <w:rFonts w:asciiTheme="minorHAnsi" w:eastAsiaTheme="majorEastAsia" w:hAnsiTheme="minorHAnsi" w:cstheme="majorBidi"/>
      <w:i/>
      <w:iCs/>
      <w:color w:val="272727" w:themeColor="text1" w:themeTint="D8"/>
      <w:sz w:val="26"/>
      <w:szCs w:val="24"/>
      <w14:ligatures w14:val="standardContextual"/>
    </w:rPr>
  </w:style>
  <w:style w:type="paragraph" w:styleId="Heading9">
    <w:name w:val="heading 9"/>
    <w:basedOn w:val="Normal"/>
    <w:next w:val="Normal"/>
    <w:link w:val="Heading9Char"/>
    <w:uiPriority w:val="9"/>
    <w:semiHidden/>
    <w:unhideWhenUsed/>
    <w:qFormat/>
    <w:rsid w:val="00E956C0"/>
    <w:pPr>
      <w:keepNext/>
      <w:keepLines/>
      <w:spacing w:after="0" w:line="278" w:lineRule="auto"/>
      <w:outlineLvl w:val="8"/>
    </w:pPr>
    <w:rPr>
      <w:rFonts w:asciiTheme="minorHAnsi" w:eastAsiaTheme="majorEastAsia" w:hAnsiTheme="minorHAnsi" w:cstheme="majorBidi"/>
      <w:color w:val="272727" w:themeColor="text1" w:themeTint="D8"/>
      <w:sz w:val="26"/>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6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6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6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6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56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56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56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56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56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56C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95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6C0"/>
    <w:pPr>
      <w:numPr>
        <w:ilvl w:val="1"/>
      </w:numPr>
      <w:spacing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E956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56C0"/>
    <w:pPr>
      <w:spacing w:before="160" w:line="278" w:lineRule="auto"/>
      <w:jc w:val="center"/>
    </w:pPr>
    <w:rPr>
      <w:i/>
      <w:iCs/>
      <w:color w:val="404040" w:themeColor="text1" w:themeTint="BF"/>
      <w:sz w:val="26"/>
      <w:szCs w:val="24"/>
      <w14:ligatures w14:val="standardContextual"/>
    </w:rPr>
  </w:style>
  <w:style w:type="character" w:customStyle="1" w:styleId="QuoteChar">
    <w:name w:val="Quote Char"/>
    <w:basedOn w:val="DefaultParagraphFont"/>
    <w:link w:val="Quote"/>
    <w:uiPriority w:val="29"/>
    <w:rsid w:val="00E956C0"/>
    <w:rPr>
      <w:i/>
      <w:iCs/>
      <w:color w:val="404040" w:themeColor="text1" w:themeTint="BF"/>
    </w:rPr>
  </w:style>
  <w:style w:type="paragraph" w:styleId="ListParagraph">
    <w:name w:val="List Paragraph"/>
    <w:basedOn w:val="Normal"/>
    <w:uiPriority w:val="34"/>
    <w:qFormat/>
    <w:rsid w:val="00E956C0"/>
    <w:pPr>
      <w:spacing w:line="278" w:lineRule="auto"/>
      <w:ind w:left="720"/>
      <w:contextualSpacing/>
    </w:pPr>
    <w:rPr>
      <w:sz w:val="26"/>
      <w:szCs w:val="24"/>
      <w14:ligatures w14:val="standardContextual"/>
    </w:rPr>
  </w:style>
  <w:style w:type="character" w:styleId="IntenseEmphasis">
    <w:name w:val="Intense Emphasis"/>
    <w:basedOn w:val="DefaultParagraphFont"/>
    <w:uiPriority w:val="21"/>
    <w:qFormat/>
    <w:rsid w:val="00E956C0"/>
    <w:rPr>
      <w:i/>
      <w:iCs/>
      <w:color w:val="0F4761" w:themeColor="accent1" w:themeShade="BF"/>
    </w:rPr>
  </w:style>
  <w:style w:type="paragraph" w:styleId="IntenseQuote">
    <w:name w:val="Intense Quote"/>
    <w:basedOn w:val="Normal"/>
    <w:next w:val="Normal"/>
    <w:link w:val="IntenseQuoteChar"/>
    <w:uiPriority w:val="30"/>
    <w:qFormat/>
    <w:rsid w:val="00E956C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6"/>
      <w:szCs w:val="24"/>
      <w14:ligatures w14:val="standardContextual"/>
    </w:rPr>
  </w:style>
  <w:style w:type="character" w:customStyle="1" w:styleId="IntenseQuoteChar">
    <w:name w:val="Intense Quote Char"/>
    <w:basedOn w:val="DefaultParagraphFont"/>
    <w:link w:val="IntenseQuote"/>
    <w:uiPriority w:val="30"/>
    <w:rsid w:val="00E956C0"/>
    <w:rPr>
      <w:i/>
      <w:iCs/>
      <w:color w:val="0F4761" w:themeColor="accent1" w:themeShade="BF"/>
    </w:rPr>
  </w:style>
  <w:style w:type="character" w:styleId="IntenseReference">
    <w:name w:val="Intense Reference"/>
    <w:basedOn w:val="DefaultParagraphFont"/>
    <w:uiPriority w:val="32"/>
    <w:qFormat/>
    <w:rsid w:val="00E956C0"/>
    <w:rPr>
      <w:b/>
      <w:bCs/>
      <w:smallCaps/>
      <w:color w:val="0F4761" w:themeColor="accent1" w:themeShade="BF"/>
      <w:spacing w:val="5"/>
    </w:rPr>
  </w:style>
  <w:style w:type="table" w:styleId="TableGrid">
    <w:name w:val="Table Grid"/>
    <w:basedOn w:val="TableNormal"/>
    <w:uiPriority w:val="39"/>
    <w:rsid w:val="00D841D1"/>
    <w:pPr>
      <w:spacing w:after="0" w:line="240" w:lineRule="auto"/>
    </w:pPr>
    <w:rPr>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6400</Characters>
  <Application>Microsoft Office Word</Application>
  <DocSecurity>0</DocSecurity>
  <Lines>53</Lines>
  <Paragraphs>15</Paragraphs>
  <ScaleCrop>false</ScaleCrop>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Cuong</dc:creator>
  <cp:keywords/>
  <dc:description/>
  <cp:lastModifiedBy>Le Cuong</cp:lastModifiedBy>
  <cp:revision>2</cp:revision>
  <dcterms:created xsi:type="dcterms:W3CDTF">2026-02-03T05:42:00Z</dcterms:created>
  <dcterms:modified xsi:type="dcterms:W3CDTF">2026-02-03T05:42:00Z</dcterms:modified>
</cp:coreProperties>
</file>