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a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417"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1a</w:t>
            </w:r>
          </w:p>
        </w:tc>
        <w:tc>
          <w:tcPr>
            <w:tcW w:w="9356"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Identification as a randomised trial </w:t>
            </w:r>
          </w:p>
        </w:tc>
        <w:tc>
          <w:tcPr>
            <w:tcW w:w="1417" w:type="dxa"/>
          </w:tcPr>
          <w:p w14:paraId="682CEBAD" w14:textId="244E71B0" w:rsidR="00B36D6D" w:rsidRPr="009C6FD6" w:rsidRDefault="008742E6">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1b</w:t>
            </w:r>
          </w:p>
        </w:tc>
        <w:tc>
          <w:tcPr>
            <w:tcW w:w="9356"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Structured summary of the trial design, methods, results, and conclusions</w:t>
            </w:r>
          </w:p>
        </w:tc>
        <w:tc>
          <w:tcPr>
            <w:tcW w:w="1417" w:type="dxa"/>
          </w:tcPr>
          <w:p w14:paraId="078952E4" w14:textId="59DB73A5"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1-2</w:t>
            </w: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w:t>
            </w:r>
          </w:p>
        </w:tc>
        <w:tc>
          <w:tcPr>
            <w:tcW w:w="9356"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Name of trial registry, identifying number (with URL) and date of registration</w:t>
            </w:r>
          </w:p>
        </w:tc>
        <w:tc>
          <w:tcPr>
            <w:tcW w:w="1417" w:type="dxa"/>
          </w:tcPr>
          <w:p w14:paraId="5384896B" w14:textId="35B91B46"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2 </w:t>
            </w: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417" w:type="dxa"/>
          </w:tcPr>
          <w:p w14:paraId="628ED577" w14:textId="567F5DF0"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Title Page 2</w:t>
            </w: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14:textId="71488C9F"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Title Page 2</w:t>
            </w: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14:textId="64C34210"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Title Page 2</w:t>
            </w: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417" w:type="dxa"/>
          </w:tcPr>
          <w:p w14:paraId="2C85AC6B" w14:textId="3E4592AD"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Title Page </w:t>
            </w:r>
            <w:r>
              <w:rPr>
                <w:rFonts w:ascii="Calibri" w:eastAsia="Calibri" w:hAnsi="Calibri" w:cs="Calibri"/>
                <w:color w:val="000000"/>
                <w:sz w:val="22"/>
                <w:szCs w:val="22"/>
                <w:lang w:val="en-GB"/>
              </w:rPr>
              <w:t>3</w:t>
            </w: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417" w:type="dxa"/>
          </w:tcPr>
          <w:p w14:paraId="3333AA56" w14:textId="0E89C5A7"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3-4</w:t>
            </w: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417" w:type="dxa"/>
          </w:tcPr>
          <w:p w14:paraId="70B2DB04" w14:textId="2C2AE5AF"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417" w:type="dxa"/>
          </w:tcPr>
          <w:p w14:paraId="736CE81D" w14:textId="65175B41"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14:textId="53953005"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14:paraId="58F0C5A6" w14:textId="2FCC354E"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5-6</w:t>
            </w: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14:paraId="266DD31E" w14:textId="24B5C907"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5-6</w:t>
            </w: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417" w:type="dxa"/>
          </w:tcPr>
          <w:p w14:paraId="3128EB9A" w14:textId="763E92DE"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6</w:t>
            </w: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14:paraId="6D568B99"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417" w:type="dxa"/>
          </w:tcPr>
          <w:p w14:paraId="3D06E337" w14:textId="6661E880"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6</w:t>
            </w: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14:textId="0A83EA21"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417" w:type="dxa"/>
          </w:tcPr>
          <w:p w14:paraId="5D66BF02" w14:textId="495BAED5"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62973BF2" w14:textId="49BAA2F8" w:rsidTr="00BC3998">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9356" w:type="dxa"/>
          </w:tcPr>
          <w:p w14:paraId="3B91C74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14:paraId="180AD325" w14:textId="355AF238"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p>
        </w:tc>
      </w:tr>
      <w:tr w:rsidR="00B36D6D" w:rsidRPr="009C6FD6" w14:paraId="365605D7" w14:textId="7252FE1E" w:rsidTr="00BC3998">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417" w:type="dxa"/>
          </w:tcPr>
          <w:p w14:paraId="74EBB045"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7CF31D29" w14:textId="10D62C26" w:rsidTr="00BC3998">
        <w:trPr>
          <w:trHeight w:val="276"/>
        </w:trPr>
        <w:tc>
          <w:tcPr>
            <w:tcW w:w="2547" w:type="dxa"/>
          </w:tcPr>
          <w:p w14:paraId="1D2AE3F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Randomisation:</w:t>
            </w:r>
          </w:p>
        </w:tc>
        <w:tc>
          <w:tcPr>
            <w:tcW w:w="992" w:type="dxa"/>
          </w:tcPr>
          <w:p w14:paraId="11796DC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9356" w:type="dxa"/>
          </w:tcPr>
          <w:p w14:paraId="7A75315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1417" w:type="dxa"/>
          </w:tcPr>
          <w:p w14:paraId="036862A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4537F87A" w14:textId="569C9680" w:rsidTr="00BC3998">
        <w:trPr>
          <w:trHeight w:val="266"/>
        </w:trPr>
        <w:tc>
          <w:tcPr>
            <w:tcW w:w="2547" w:type="dxa"/>
            <w:vMerge w:val="restart"/>
          </w:tcPr>
          <w:p w14:paraId="15B2BB96"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Sequence generation</w:t>
            </w:r>
          </w:p>
        </w:tc>
        <w:tc>
          <w:tcPr>
            <w:tcW w:w="992" w:type="dxa"/>
          </w:tcPr>
          <w:p w14:paraId="04D32F8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17a</w:t>
            </w:r>
          </w:p>
        </w:tc>
        <w:tc>
          <w:tcPr>
            <w:tcW w:w="9356" w:type="dxa"/>
          </w:tcPr>
          <w:p w14:paraId="34D407B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Who generated the random allocation sequence and the method used</w:t>
            </w:r>
          </w:p>
        </w:tc>
        <w:tc>
          <w:tcPr>
            <w:tcW w:w="1417" w:type="dxa"/>
          </w:tcPr>
          <w:p w14:paraId="50468870" w14:textId="1C921E3F"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14EC82C6" w14:textId="3CED05A8" w:rsidTr="00BC3998">
        <w:trPr>
          <w:trHeight w:val="285"/>
        </w:trPr>
        <w:tc>
          <w:tcPr>
            <w:tcW w:w="2547" w:type="dxa"/>
            <w:vMerge/>
          </w:tcPr>
          <w:p w14:paraId="0F443E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17b</w:t>
            </w:r>
          </w:p>
        </w:tc>
        <w:tc>
          <w:tcPr>
            <w:tcW w:w="9356" w:type="dxa"/>
          </w:tcPr>
          <w:p w14:paraId="29B4B76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14:paraId="6BFED71E" w14:textId="6D2B9B31"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30B7CE14" w14:textId="2A8F98FA" w:rsidTr="00BC3998">
        <w:trPr>
          <w:trHeight w:val="544"/>
        </w:trPr>
        <w:tc>
          <w:tcPr>
            <w:tcW w:w="2547" w:type="dxa"/>
          </w:tcPr>
          <w:p w14:paraId="50619AAE"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Allocation concealment mechanism</w:t>
            </w:r>
          </w:p>
        </w:tc>
        <w:tc>
          <w:tcPr>
            <w:tcW w:w="992" w:type="dxa"/>
          </w:tcPr>
          <w:p w14:paraId="4B77DA4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18</w:t>
            </w:r>
          </w:p>
        </w:tc>
        <w:tc>
          <w:tcPr>
            <w:tcW w:w="9356" w:type="dxa"/>
          </w:tcPr>
          <w:p w14:paraId="4FFCCFA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14:textId="632BAFF6"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685356C7" w14:textId="4A9F88ED" w:rsidTr="00BC3998">
        <w:trPr>
          <w:trHeight w:val="558"/>
        </w:trPr>
        <w:tc>
          <w:tcPr>
            <w:tcW w:w="2547" w:type="dxa"/>
          </w:tcPr>
          <w:p w14:paraId="1669B1E1"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Implementation</w:t>
            </w:r>
          </w:p>
        </w:tc>
        <w:tc>
          <w:tcPr>
            <w:tcW w:w="992" w:type="dxa"/>
          </w:tcPr>
          <w:p w14:paraId="6FD9CBB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19</w:t>
            </w:r>
          </w:p>
        </w:tc>
        <w:tc>
          <w:tcPr>
            <w:tcW w:w="9356" w:type="dxa"/>
          </w:tcPr>
          <w:p w14:paraId="1168460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14:textId="450B1CF2"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9356" w:type="dxa"/>
          </w:tcPr>
          <w:p w14:paraId="080A780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14:textId="20CE19F2"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417" w:type="dxa"/>
          </w:tcPr>
          <w:p w14:paraId="795AB5B0" w14:textId="643BC403"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14:paraId="1C79083E" w14:textId="24D2FE30"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8-9</w:t>
            </w: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14:paraId="6622E359" w14:textId="7ADF6CC4"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8-9</w:t>
            </w: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417" w:type="dxa"/>
          </w:tcPr>
          <w:p w14:paraId="295B5602" w14:textId="445B0F99"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8-9</w:t>
            </w: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14:paraId="710D1F83" w14:textId="5EEA1F60"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8-9</w:t>
            </w: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10F8ECC" w14:textId="46810026" w:rsidTr="00BC3998">
        <w:trPr>
          <w:trHeight w:val="409"/>
        </w:trPr>
        <w:tc>
          <w:tcPr>
            <w:tcW w:w="2547" w:type="dxa"/>
            <w:vMerge w:val="restart"/>
          </w:tcPr>
          <w:p w14:paraId="5A5782B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22a</w:t>
            </w:r>
          </w:p>
        </w:tc>
        <w:tc>
          <w:tcPr>
            <w:tcW w:w="9356" w:type="dxa"/>
          </w:tcPr>
          <w:p w14:paraId="5407FA06" w14:textId="61442A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group, the numbers of participants who were randomly assigned, received intended </w:t>
            </w:r>
            <w:r>
              <w:rPr>
                <w:rFonts w:ascii="Calibri" w:eastAsia="Calibri" w:hAnsi="Calibri" w:cs="Calibri"/>
                <w:color w:val="000000"/>
                <w:sz w:val="22"/>
                <w:szCs w:val="22"/>
                <w:lang w:val="en-GB"/>
              </w:rPr>
              <w:t>intervention</w:t>
            </w:r>
            <w:r w:rsidRPr="009C6FD6">
              <w:rPr>
                <w:rFonts w:ascii="Calibri" w:eastAsia="Calibri" w:hAnsi="Calibri" w:cs="Calibri"/>
                <w:color w:val="000000"/>
                <w:sz w:val="22"/>
                <w:szCs w:val="22"/>
                <w:lang w:val="en-GB"/>
              </w:rPr>
              <w:t>, and were analysed for the primary outcome</w:t>
            </w:r>
          </w:p>
        </w:tc>
        <w:tc>
          <w:tcPr>
            <w:tcW w:w="1417" w:type="dxa"/>
          </w:tcPr>
          <w:p w14:paraId="5DEF8ECA" w14:textId="10A09CE8"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10</w:t>
            </w:r>
            <w:r w:rsidR="004A39EB">
              <w:rPr>
                <w:rFonts w:ascii="Calibri" w:eastAsia="Calibri" w:hAnsi="Calibri" w:cs="Calibri"/>
                <w:color w:val="000000"/>
                <w:sz w:val="22"/>
                <w:szCs w:val="22"/>
                <w:lang w:val="en-GB"/>
              </w:rPr>
              <w:t>,</w:t>
            </w:r>
            <w:r>
              <w:rPr>
                <w:rFonts w:ascii="Calibri" w:eastAsia="Calibri" w:hAnsi="Calibri" w:cs="Calibri"/>
                <w:color w:val="000000"/>
                <w:sz w:val="22"/>
                <w:szCs w:val="22"/>
                <w:lang w:val="en-GB"/>
              </w:rPr>
              <w:t xml:space="preserve"> 26</w:t>
            </w:r>
          </w:p>
        </w:tc>
      </w:tr>
      <w:tr w:rsidR="00B36D6D" w:rsidRPr="009C6FD6" w14:paraId="2FE65AFD" w14:textId="4A45C52E" w:rsidTr="00BC3998">
        <w:trPr>
          <w:trHeight w:val="189"/>
        </w:trPr>
        <w:tc>
          <w:tcPr>
            <w:tcW w:w="2547" w:type="dxa"/>
            <w:vMerge/>
          </w:tcPr>
          <w:p w14:paraId="5CE6010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22b</w:t>
            </w:r>
          </w:p>
        </w:tc>
        <w:tc>
          <w:tcPr>
            <w:tcW w:w="9356" w:type="dxa"/>
          </w:tcPr>
          <w:p w14:paraId="1DDC84F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For each group, losses and exclusions after randomisation, together with reasons</w:t>
            </w:r>
          </w:p>
        </w:tc>
        <w:tc>
          <w:tcPr>
            <w:tcW w:w="1417" w:type="dxa"/>
          </w:tcPr>
          <w:p w14:paraId="0FBBD252" w14:textId="340FCED0" w:rsidR="00B36D6D"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10</w:t>
            </w:r>
            <w:r w:rsidR="004A39EB">
              <w:rPr>
                <w:rFonts w:ascii="Calibri" w:eastAsia="Calibri" w:hAnsi="Calibri" w:cs="Calibri"/>
                <w:color w:val="000000"/>
                <w:sz w:val="22"/>
                <w:szCs w:val="22"/>
                <w:lang w:val="en-GB"/>
              </w:rPr>
              <w:t>,</w:t>
            </w:r>
            <w:r>
              <w:rPr>
                <w:rFonts w:ascii="Calibri" w:eastAsia="Calibri" w:hAnsi="Calibri" w:cs="Calibri"/>
                <w:color w:val="000000"/>
                <w:sz w:val="22"/>
                <w:szCs w:val="22"/>
                <w:lang w:val="en-GB"/>
              </w:rPr>
              <w:t xml:space="preserve"> 26</w:t>
            </w:r>
          </w:p>
          <w:p w14:paraId="71AA61D4" w14:textId="5AAF1049" w:rsidR="00BB5B45"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Supplementary table 2</w:t>
            </w: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417" w:type="dxa"/>
          </w:tcPr>
          <w:p w14:paraId="0798090E" w14:textId="66F9214A" w:rsidR="00B36D6D" w:rsidRPr="009C6FD6" w:rsidRDefault="00BB5B45" w:rsidP="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4-5</w:t>
            </w: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417" w:type="dxa"/>
          </w:tcPr>
          <w:p w14:paraId="105B15A1" w14:textId="395E2CF4"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Intervention and comparator as they were </w:t>
            </w:r>
            <w:proofErr w:type="gramStart"/>
            <w:r w:rsidRPr="009C6FD6">
              <w:rPr>
                <w:rFonts w:ascii="Calibri" w:eastAsia="Calibri" w:hAnsi="Calibri" w:cs="Calibri"/>
                <w:color w:val="000000"/>
                <w:sz w:val="22"/>
                <w:szCs w:val="22"/>
                <w:lang w:val="en-GB"/>
              </w:rPr>
              <w:t>actually administered</w:t>
            </w:r>
            <w:proofErr w:type="gramEnd"/>
            <w:r w:rsidRPr="009C6FD6">
              <w:rPr>
                <w:rFonts w:ascii="Calibri" w:eastAsia="Calibri" w:hAnsi="Calibri" w:cs="Calibri"/>
                <w:color w:val="000000"/>
                <w:sz w:val="22"/>
                <w:szCs w:val="22"/>
                <w:lang w:val="en-GB"/>
              </w:rPr>
              <w:t xml:space="preserve">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p>
        </w:tc>
        <w:tc>
          <w:tcPr>
            <w:tcW w:w="1417" w:type="dxa"/>
          </w:tcPr>
          <w:p w14:paraId="33641150" w14:textId="2BE7285B"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Supplementary page 2</w:t>
            </w:r>
          </w:p>
        </w:tc>
      </w:tr>
      <w:tr w:rsidR="00B36D6D" w:rsidRPr="009C6FD6" w14:paraId="033933B9" w14:textId="20F8F7EA" w:rsidTr="00BC3998">
        <w:trPr>
          <w:trHeight w:val="243"/>
        </w:trPr>
        <w:tc>
          <w:tcPr>
            <w:tcW w:w="2547" w:type="dxa"/>
            <w:vMerge/>
          </w:tcPr>
          <w:p w14:paraId="29860036"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417" w:type="dxa"/>
          </w:tcPr>
          <w:p w14:paraId="0A4B9B49" w14:textId="4A53D8B9" w:rsidR="00B36D6D" w:rsidRPr="009C6FD6" w:rsidRDefault="00BB5B4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6, </w:t>
            </w:r>
            <w:r>
              <w:rPr>
                <w:rFonts w:ascii="Calibri" w:eastAsia="Calibri" w:hAnsi="Calibri" w:cs="Calibri"/>
                <w:color w:val="000000"/>
                <w:sz w:val="22"/>
                <w:szCs w:val="22"/>
                <w:lang w:val="en-GB"/>
              </w:rPr>
              <w:t>Supplementary page 2</w:t>
            </w: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417" w:type="dxa"/>
          </w:tcPr>
          <w:p w14:paraId="01C9A6AC" w14:textId="6B885EE5" w:rsidR="00B36D6D" w:rsidRPr="009C6FD6" w:rsidRDefault="008742E6">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3</w:t>
            </w:r>
            <w:r w:rsidR="00BB5B45">
              <w:rPr>
                <w:rFonts w:ascii="Calibri" w:eastAsia="Calibri" w:hAnsi="Calibri" w:cs="Calibri"/>
                <w:color w:val="000000"/>
                <w:sz w:val="22"/>
                <w:szCs w:val="22"/>
                <w:lang w:val="en-GB"/>
              </w:rPr>
              <w:t>0</w:t>
            </w:r>
          </w:p>
        </w:tc>
      </w:tr>
      <w:tr w:rsidR="00B36D6D" w:rsidRPr="009C6FD6"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14:paraId="50DA64D5" w14:textId="34EAB780" w:rsidR="00B36D6D" w:rsidRPr="009C6FD6" w:rsidRDefault="004A39EB">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 xml:space="preserve">10,11,12,13, 28, </w:t>
            </w:r>
            <w:r>
              <w:rPr>
                <w:rFonts w:ascii="Calibri" w:eastAsia="Calibri" w:hAnsi="Calibri" w:cs="Calibri"/>
                <w:color w:val="000000"/>
                <w:sz w:val="22"/>
                <w:szCs w:val="22"/>
                <w:lang w:val="en-GB"/>
              </w:rPr>
              <w:t>Supplementary table 2</w:t>
            </w: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417" w:type="dxa"/>
          </w:tcPr>
          <w:p w14:paraId="72B82CF4" w14:textId="42FCD637" w:rsidR="00B36D6D" w:rsidRPr="009C6FD6" w:rsidRDefault="004A39EB">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Report elsewhere</w:t>
            </w: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14:paraId="3457C6CE" w14:textId="7F350205" w:rsidR="00B36D6D" w:rsidRPr="009C6FD6" w:rsidRDefault="008742E6">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r w:rsidR="004A39EB">
              <w:rPr>
                <w:rFonts w:ascii="Calibri" w:eastAsia="Calibri" w:hAnsi="Calibri" w:cs="Calibri"/>
                <w:color w:val="000000"/>
                <w:sz w:val="22"/>
                <w:szCs w:val="22"/>
                <w:lang w:val="en-GB"/>
              </w:rPr>
              <w:t>3,14</w:t>
            </w: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417" w:type="dxa"/>
            <w:shd w:val="clear" w:color="auto" w:fill="C6D9F1" w:themeFill="text2" w:themeFillTint="33"/>
          </w:tcPr>
          <w:p w14:paraId="13D65609"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14:paraId="028813E5" w14:textId="4AA95EDA" w:rsidR="00B36D6D" w:rsidRPr="009C6FD6" w:rsidRDefault="004A39EB">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14,15</w:t>
            </w: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14:paraId="16436A34" w14:textId="37F70A46" w:rsidR="00B36D6D" w:rsidRPr="009C6FD6" w:rsidRDefault="004A39EB">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16,17</w:t>
            </w: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Hipervnculo"/>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Hróbjartsson A, Moher D, Schulz KF, et al. CONSORT 2025 Statement: updated guideline for reporting randomised trials. BMJ. 2025; </w:t>
      </w:r>
      <w:proofErr w:type="gramStart"/>
      <w:r w:rsidRPr="00B36D6D">
        <w:rPr>
          <w:rFonts w:ascii="Calibri" w:hAnsi="Calibri" w:cs="Calibri"/>
          <w:sz w:val="20"/>
        </w:rPr>
        <w:t>388:e</w:t>
      </w:r>
      <w:proofErr w:type="gramEnd"/>
      <w:r w:rsidRPr="00B36D6D">
        <w:rPr>
          <w:rFonts w:ascii="Calibri" w:hAnsi="Calibri" w:cs="Calibri"/>
          <w:sz w:val="20"/>
        </w:rPr>
        <w:t xml:space="preserve">081123. </w:t>
      </w:r>
      <w:hyperlink r:id="rId9" w:history="1">
        <w:r w:rsidRPr="00BC3998">
          <w:rPr>
            <w:rStyle w:val="Hipervnculo"/>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br/>
        <w:t>© 2025 Hopewell et al. This is an Open Access article distributed under the terms of the Creative Commons Attribution License (</w:t>
      </w:r>
      <w:hyperlink r:id="rId10" w:history="1">
        <w:r w:rsidRPr="002667FC">
          <w:rPr>
            <w:rStyle w:val="Hipervnculo"/>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8843" w14:textId="77777777" w:rsidR="00980F08" w:rsidRDefault="00980F08" w:rsidP="00B70CED">
      <w:pPr>
        <w:spacing w:line="240" w:lineRule="auto"/>
      </w:pPr>
      <w:r>
        <w:separator/>
      </w:r>
    </w:p>
  </w:endnote>
  <w:endnote w:type="continuationSeparator" w:id="0">
    <w:p w14:paraId="5E1461E6" w14:textId="77777777" w:rsidR="00980F08" w:rsidRDefault="00980F08"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78763"/>
      <w:docPartObj>
        <w:docPartGallery w:val="Page Numbers (Bottom of Page)"/>
        <w:docPartUnique/>
      </w:docPartObj>
    </w:sdtPr>
    <w:sdtEndPr>
      <w:rPr>
        <w:noProof/>
      </w:rPr>
    </w:sdtEndPr>
    <w:sdtContent>
      <w:p w14:paraId="4E24581E" w14:textId="48E1E977" w:rsidR="005D36BA" w:rsidRDefault="005D36BA">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805E" w14:textId="77777777" w:rsidR="00980F08" w:rsidRDefault="00980F08" w:rsidP="00B70CED">
      <w:pPr>
        <w:spacing w:line="240" w:lineRule="auto"/>
      </w:pPr>
      <w:r>
        <w:separator/>
      </w:r>
    </w:p>
  </w:footnote>
  <w:footnote w:type="continuationSeparator" w:id="0">
    <w:p w14:paraId="27316CF6" w14:textId="77777777" w:rsidR="00980F08" w:rsidRDefault="00980F08"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1989454">
    <w:abstractNumId w:val="25"/>
  </w:num>
  <w:num w:numId="2" w16cid:durableId="52630134">
    <w:abstractNumId w:val="51"/>
  </w:num>
  <w:num w:numId="3" w16cid:durableId="1504466151">
    <w:abstractNumId w:val="11"/>
  </w:num>
  <w:num w:numId="4" w16cid:durableId="423378145">
    <w:abstractNumId w:val="8"/>
  </w:num>
  <w:num w:numId="5" w16cid:durableId="126514983">
    <w:abstractNumId w:val="31"/>
  </w:num>
  <w:num w:numId="6" w16cid:durableId="1852141898">
    <w:abstractNumId w:val="5"/>
  </w:num>
  <w:num w:numId="7" w16cid:durableId="840435634">
    <w:abstractNumId w:val="36"/>
  </w:num>
  <w:num w:numId="8" w16cid:durableId="2060663774">
    <w:abstractNumId w:val="30"/>
  </w:num>
  <w:num w:numId="9" w16cid:durableId="1609124280">
    <w:abstractNumId w:val="16"/>
  </w:num>
  <w:num w:numId="10" w16cid:durableId="1151290203">
    <w:abstractNumId w:val="48"/>
  </w:num>
  <w:num w:numId="11" w16cid:durableId="142936646">
    <w:abstractNumId w:val="40"/>
  </w:num>
  <w:num w:numId="12" w16cid:durableId="165219399">
    <w:abstractNumId w:val="37"/>
  </w:num>
  <w:num w:numId="13" w16cid:durableId="622539090">
    <w:abstractNumId w:val="41"/>
  </w:num>
  <w:num w:numId="14" w16cid:durableId="2010980751">
    <w:abstractNumId w:val="18"/>
  </w:num>
  <w:num w:numId="15" w16cid:durableId="1049571710">
    <w:abstractNumId w:val="39"/>
  </w:num>
  <w:num w:numId="16" w16cid:durableId="54813659">
    <w:abstractNumId w:val="23"/>
  </w:num>
  <w:num w:numId="17" w16cid:durableId="1177302579">
    <w:abstractNumId w:val="1"/>
  </w:num>
  <w:num w:numId="18" w16cid:durableId="988948430">
    <w:abstractNumId w:val="22"/>
  </w:num>
  <w:num w:numId="19" w16cid:durableId="118378425">
    <w:abstractNumId w:val="50"/>
  </w:num>
  <w:num w:numId="20" w16cid:durableId="308831130">
    <w:abstractNumId w:val="27"/>
  </w:num>
  <w:num w:numId="21" w16cid:durableId="554660578">
    <w:abstractNumId w:val="38"/>
  </w:num>
  <w:num w:numId="22" w16cid:durableId="97260069">
    <w:abstractNumId w:val="4"/>
  </w:num>
  <w:num w:numId="23" w16cid:durableId="13894670">
    <w:abstractNumId w:val="20"/>
  </w:num>
  <w:num w:numId="24" w16cid:durableId="1519082156">
    <w:abstractNumId w:val="24"/>
  </w:num>
  <w:num w:numId="25" w16cid:durableId="2034963031">
    <w:abstractNumId w:val="9"/>
  </w:num>
  <w:num w:numId="26" w16cid:durableId="1804075111">
    <w:abstractNumId w:val="10"/>
  </w:num>
  <w:num w:numId="27" w16cid:durableId="45841405">
    <w:abstractNumId w:val="32"/>
  </w:num>
  <w:num w:numId="28" w16cid:durableId="2047829987">
    <w:abstractNumId w:val="7"/>
  </w:num>
  <w:num w:numId="29" w16cid:durableId="234902324">
    <w:abstractNumId w:val="17"/>
  </w:num>
  <w:num w:numId="30" w16cid:durableId="536554219">
    <w:abstractNumId w:val="26"/>
  </w:num>
  <w:num w:numId="31" w16cid:durableId="1090197286">
    <w:abstractNumId w:val="35"/>
  </w:num>
  <w:num w:numId="32" w16cid:durableId="434440709">
    <w:abstractNumId w:val="49"/>
  </w:num>
  <w:num w:numId="33" w16cid:durableId="1549955446">
    <w:abstractNumId w:val="15"/>
  </w:num>
  <w:num w:numId="34" w16cid:durableId="1082917385">
    <w:abstractNumId w:val="21"/>
  </w:num>
  <w:num w:numId="35" w16cid:durableId="1273973297">
    <w:abstractNumId w:val="13"/>
  </w:num>
  <w:num w:numId="36" w16cid:durableId="1016887373">
    <w:abstractNumId w:val="14"/>
  </w:num>
  <w:num w:numId="37" w16cid:durableId="2036534242">
    <w:abstractNumId w:val="29"/>
  </w:num>
  <w:num w:numId="38" w16cid:durableId="283079654">
    <w:abstractNumId w:val="34"/>
  </w:num>
  <w:num w:numId="39" w16cid:durableId="260916623">
    <w:abstractNumId w:val="47"/>
  </w:num>
  <w:num w:numId="40" w16cid:durableId="1783455087">
    <w:abstractNumId w:val="28"/>
  </w:num>
  <w:num w:numId="41" w16cid:durableId="1387559046">
    <w:abstractNumId w:val="2"/>
  </w:num>
  <w:num w:numId="42" w16cid:durableId="1679576847">
    <w:abstractNumId w:val="46"/>
  </w:num>
  <w:num w:numId="43" w16cid:durableId="2040692669">
    <w:abstractNumId w:val="19"/>
  </w:num>
  <w:num w:numId="44" w16cid:durableId="1697924831">
    <w:abstractNumId w:val="33"/>
  </w:num>
  <w:num w:numId="45" w16cid:durableId="1532454198">
    <w:abstractNumId w:val="6"/>
  </w:num>
  <w:num w:numId="46" w16cid:durableId="528419731">
    <w:abstractNumId w:val="45"/>
  </w:num>
  <w:num w:numId="47" w16cid:durableId="589697576">
    <w:abstractNumId w:val="44"/>
  </w:num>
  <w:num w:numId="48" w16cid:durableId="1226524354">
    <w:abstractNumId w:val="3"/>
  </w:num>
  <w:num w:numId="49" w16cid:durableId="1888763175">
    <w:abstractNumId w:val="43"/>
  </w:num>
  <w:num w:numId="50" w16cid:durableId="229271976">
    <w:abstractNumId w:val="42"/>
  </w:num>
  <w:num w:numId="51" w16cid:durableId="716705600">
    <w:abstractNumId w:val="12"/>
  </w:num>
  <w:num w:numId="52" w16cid:durableId="9734891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A39EB"/>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B124E"/>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2B76"/>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066A0"/>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42E6"/>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2199"/>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0F08"/>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5B45"/>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after="160" w:line="259" w:lineRule="auto"/>
      <w:outlineLvl w:val="0"/>
    </w:pPr>
    <w:rPr>
      <w:rFonts w:ascii="Calibri" w:eastAsia="Calibri" w:hAnsi="Calibri" w:cs="Calibri"/>
      <w:b/>
      <w:color w:val="000000"/>
      <w:sz w:val="22"/>
      <w:szCs w:val="2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line="240" w:lineRule="auto"/>
    </w:pPr>
    <w:tblPr>
      <w:tblStyleRowBandSize w:val="1"/>
      <w:tblStyleColBandSize w:val="1"/>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rsid w:val="00BF3C2F"/>
    <w:rPr>
      <w:color w:val="CC0000"/>
      <w:u w:val="single"/>
    </w:rPr>
  </w:style>
  <w:style w:type="paragraph" w:styleId="Asuntodelcomentario">
    <w:name w:val="annotation subject"/>
    <w:basedOn w:val="Textocomentario"/>
    <w:next w:val="Textocomentario"/>
    <w:link w:val="AsuntodelcomentarioCar"/>
    <w:uiPriority w:val="99"/>
    <w:semiHidden/>
    <w:unhideWhenUsed/>
    <w:rsid w:val="00E279B6"/>
    <w:rPr>
      <w:b/>
      <w:bCs/>
    </w:rPr>
  </w:style>
  <w:style w:type="character" w:customStyle="1" w:styleId="AsuntodelcomentarioCar">
    <w:name w:val="Asunto del comentario Car"/>
    <w:basedOn w:val="TextocomentarioCar"/>
    <w:link w:val="Asuntodelcomentario"/>
    <w:uiPriority w:val="99"/>
    <w:semiHidden/>
    <w:rsid w:val="00E279B6"/>
    <w:rPr>
      <w:b/>
      <w:bCs/>
      <w:sz w:val="20"/>
      <w:szCs w:val="20"/>
    </w:rPr>
  </w:style>
  <w:style w:type="paragraph" w:customStyle="1" w:styleId="EndNoteBibliographyTitle">
    <w:name w:val="EndNote Bibliography Title"/>
    <w:basedOn w:val="Normal"/>
    <w:link w:val="EndNoteBibliographyTitleChar"/>
    <w:rsid w:val="00657676"/>
    <w:pPr>
      <w:jc w:val="center"/>
    </w:pPr>
    <w:rPr>
      <w:noProof/>
      <w:lang w:val="en-GB"/>
    </w:rPr>
  </w:style>
  <w:style w:type="character" w:customStyle="1" w:styleId="EndNoteBibliographyTitleChar">
    <w:name w:val="EndNote Bibliography Title Char"/>
    <w:basedOn w:val="Fuentedeprrafopredeter"/>
    <w:link w:val="EndNoteBibliographyTitle"/>
    <w:rsid w:val="00657676"/>
    <w:rPr>
      <w:noProof/>
      <w:lang w:val="en-GB"/>
    </w:rPr>
  </w:style>
  <w:style w:type="paragraph" w:customStyle="1" w:styleId="EndNoteBibliography">
    <w:name w:val="EndNote Bibliography"/>
    <w:basedOn w:val="Normal"/>
    <w:link w:val="EndNoteBibliographyChar"/>
    <w:rsid w:val="00657676"/>
    <w:pPr>
      <w:spacing w:line="240" w:lineRule="auto"/>
    </w:pPr>
    <w:rPr>
      <w:noProof/>
      <w:lang w:val="en-GB"/>
    </w:rPr>
  </w:style>
  <w:style w:type="character" w:customStyle="1" w:styleId="EndNoteBibliographyChar">
    <w:name w:val="EndNote Bibliography Char"/>
    <w:basedOn w:val="Fuentedeprrafopredeter"/>
    <w:link w:val="EndNoteBibliography"/>
    <w:rsid w:val="00657676"/>
    <w:rPr>
      <w:noProof/>
      <w:lang w:val="en-GB"/>
    </w:rPr>
  </w:style>
  <w:style w:type="character" w:styleId="Mencinsinresolver">
    <w:name w:val="Unresolved Mention"/>
    <w:basedOn w:val="Fuentedeprrafopredeter"/>
    <w:uiPriority w:val="99"/>
    <w:semiHidden/>
    <w:unhideWhenUsed/>
    <w:rsid w:val="00657676"/>
    <w:rPr>
      <w:color w:val="605E5C"/>
      <w:shd w:val="clear" w:color="auto" w:fill="E1DFDD"/>
    </w:rPr>
  </w:style>
  <w:style w:type="character" w:customStyle="1" w:styleId="cf01">
    <w:name w:val="cf01"/>
    <w:basedOn w:val="Fuentedeprrafopredeter"/>
    <w:rsid w:val="00C645F1"/>
    <w:rPr>
      <w:rFonts w:ascii="Segoe UI" w:hAnsi="Segoe UI" w:cs="Segoe UI" w:hint="default"/>
      <w:sz w:val="18"/>
      <w:szCs w:val="18"/>
    </w:rPr>
  </w:style>
  <w:style w:type="paragraph" w:styleId="Textodeglobo">
    <w:name w:val="Balloon Text"/>
    <w:basedOn w:val="Normal"/>
    <w:link w:val="TextodegloboCar"/>
    <w:uiPriority w:val="99"/>
    <w:semiHidden/>
    <w:unhideWhenUsed/>
    <w:rsid w:val="00F8204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04E"/>
    <w:rPr>
      <w:rFonts w:ascii="Segoe UI" w:hAnsi="Segoe UI" w:cs="Segoe UI"/>
      <w:sz w:val="18"/>
      <w:szCs w:val="18"/>
    </w:rPr>
  </w:style>
  <w:style w:type="paragraph" w:styleId="Prrafodelista">
    <w:name w:val="List Paragraph"/>
    <w:basedOn w:val="Normal"/>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Encabezado">
    <w:name w:val="header"/>
    <w:basedOn w:val="Normal"/>
    <w:link w:val="EncabezadoCar"/>
    <w:uiPriority w:val="99"/>
    <w:unhideWhenUsed/>
    <w:rsid w:val="00B70CED"/>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B70CED"/>
  </w:style>
  <w:style w:type="paragraph" w:styleId="Piedepgina">
    <w:name w:val="footer"/>
    <w:basedOn w:val="Normal"/>
    <w:link w:val="PiedepginaCar"/>
    <w:uiPriority w:val="99"/>
    <w:unhideWhenUsed/>
    <w:rsid w:val="00B70CED"/>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B70CED"/>
  </w:style>
  <w:style w:type="paragraph" w:styleId="Revisin">
    <w:name w:val="Revision"/>
    <w:hidden/>
    <w:uiPriority w:val="99"/>
    <w:semiHidden/>
    <w:rsid w:val="0050444B"/>
    <w:pPr>
      <w:spacing w:line="240" w:lineRule="auto"/>
    </w:pPr>
  </w:style>
  <w:style w:type="character" w:customStyle="1" w:styleId="apple-converted-space">
    <w:name w:val="apple-converted-space"/>
    <w:basedOn w:val="Fuentedeprrafopredeter"/>
    <w:rsid w:val="00893C4F"/>
  </w:style>
  <w:style w:type="character" w:styleId="Hipervnculovisitado">
    <w:name w:val="FollowedHyperlink"/>
    <w:basedOn w:val="Fuentedeprrafopredeter"/>
    <w:uiPriority w:val="99"/>
    <w:semiHidden/>
    <w:unhideWhenUsed/>
    <w:rsid w:val="00E120C7"/>
    <w:rPr>
      <w:color w:val="800080" w:themeColor="followedHyperlink"/>
      <w:u w:val="single"/>
    </w:rPr>
  </w:style>
  <w:style w:type="paragraph" w:styleId="NormalWeb">
    <w:name w:val="Normal (Web)"/>
    <w:basedOn w:val="Normal"/>
    <w:uiPriority w:val="99"/>
    <w:unhideWhenUsed/>
    <w:rsid w:val="00435A53"/>
    <w:pPr>
      <w:spacing w:before="100" w:beforeAutospacing="1" w:after="100" w:afterAutospacing="1" w:line="240" w:lineRule="auto"/>
    </w:pPr>
    <w:rPr>
      <w:color w:val="auto"/>
      <w:lang w:val="en-CA" w:eastAsia="en-US"/>
    </w:rPr>
  </w:style>
  <w:style w:type="table" w:styleId="Tablaconcuadrcula">
    <w:name w:val="Table Grid"/>
    <w:basedOn w:val="Tablanormal"/>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991</Words>
  <Characters>6037</Characters>
  <Application>Microsoft Office Word</Application>
  <DocSecurity>0</DocSecurity>
  <Lines>251</Lines>
  <Paragraphs>206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Francisco Villalon</cp:lastModifiedBy>
  <cp:revision>72</cp:revision>
  <cp:lastPrinted>2024-03-26T08:52:00Z</cp:lastPrinted>
  <dcterms:created xsi:type="dcterms:W3CDTF">2024-10-08T14:14:00Z</dcterms:created>
  <dcterms:modified xsi:type="dcterms:W3CDTF">2026-05-25T16:12:00Z</dcterms:modified>
</cp:coreProperties>
</file>