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5AFAC" w14:textId="77777777" w:rsidR="00BA0FD5" w:rsidRDefault="00000000">
      <w:pPr>
        <w:rPr>
          <w:b/>
          <w:bCs/>
          <w:sz w:val="20"/>
          <w:szCs w:val="20"/>
        </w:rPr>
      </w:pPr>
      <w:r>
        <w:rPr>
          <w:b/>
          <w:bCs/>
          <w:sz w:val="20"/>
          <w:szCs w:val="20"/>
        </w:rPr>
        <w:t>Supplementary material</w:t>
      </w:r>
    </w:p>
    <w:p w14:paraId="4111574A" w14:textId="77777777" w:rsidR="00BA0FD5" w:rsidRDefault="00000000">
      <w:pPr>
        <w:rPr>
          <w:sz w:val="20"/>
          <w:szCs w:val="20"/>
        </w:rPr>
      </w:pPr>
      <w:r>
        <w:rPr>
          <w:sz w:val="20"/>
          <w:szCs w:val="20"/>
        </w:rPr>
        <w:br/>
        <w:t>Spatial indicators used for CoolCity Index (CCI) calculation, their source of information (raster map), definitions, weight in integrated indicator and inclusion in the integrated indicators.</w:t>
      </w:r>
    </w:p>
    <w:tbl>
      <w:tblPr>
        <w:tblStyle w:val="a"/>
        <w:tblW w:w="97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1650"/>
        <w:gridCol w:w="3870"/>
        <w:gridCol w:w="1260"/>
        <w:gridCol w:w="1305"/>
      </w:tblGrid>
      <w:tr w:rsidR="00BA0FD5" w14:paraId="5DA20878" w14:textId="77777777">
        <w:tc>
          <w:tcPr>
            <w:tcW w:w="1650" w:type="dxa"/>
            <w:tcMar>
              <w:top w:w="100" w:type="dxa"/>
              <w:left w:w="100" w:type="dxa"/>
              <w:bottom w:w="100" w:type="dxa"/>
              <w:right w:w="100" w:type="dxa"/>
            </w:tcMar>
          </w:tcPr>
          <w:p w14:paraId="514E8AD2" w14:textId="77777777" w:rsidR="00BA0FD5" w:rsidRDefault="00000000">
            <w:pPr>
              <w:widowControl w:val="0"/>
              <w:spacing w:line="240" w:lineRule="auto"/>
              <w:jc w:val="center"/>
              <w:rPr>
                <w:b/>
                <w:bCs/>
                <w:sz w:val="20"/>
                <w:szCs w:val="20"/>
              </w:rPr>
            </w:pPr>
            <w:r>
              <w:rPr>
                <w:b/>
                <w:bCs/>
                <w:sz w:val="20"/>
                <w:szCs w:val="20"/>
              </w:rPr>
              <w:t>Spatial indicators</w:t>
            </w:r>
          </w:p>
        </w:tc>
        <w:tc>
          <w:tcPr>
            <w:tcW w:w="1650" w:type="dxa"/>
            <w:tcMar>
              <w:top w:w="100" w:type="dxa"/>
              <w:left w:w="100" w:type="dxa"/>
              <w:bottom w:w="100" w:type="dxa"/>
              <w:right w:w="100" w:type="dxa"/>
            </w:tcMar>
          </w:tcPr>
          <w:p w14:paraId="4D308B6E" w14:textId="77777777" w:rsidR="00BA0FD5" w:rsidRDefault="00000000">
            <w:pPr>
              <w:widowControl w:val="0"/>
              <w:spacing w:line="240" w:lineRule="auto"/>
              <w:jc w:val="center"/>
              <w:rPr>
                <w:b/>
                <w:bCs/>
                <w:sz w:val="20"/>
                <w:szCs w:val="20"/>
              </w:rPr>
            </w:pPr>
            <w:r>
              <w:rPr>
                <w:b/>
                <w:bCs/>
                <w:sz w:val="20"/>
                <w:szCs w:val="20"/>
              </w:rPr>
              <w:t xml:space="preserve">Raster maps (Source of information) </w:t>
            </w:r>
          </w:p>
        </w:tc>
        <w:tc>
          <w:tcPr>
            <w:tcW w:w="3870" w:type="dxa"/>
            <w:tcMar>
              <w:top w:w="100" w:type="dxa"/>
              <w:left w:w="100" w:type="dxa"/>
              <w:bottom w:w="100" w:type="dxa"/>
              <w:right w:w="100" w:type="dxa"/>
            </w:tcMar>
          </w:tcPr>
          <w:p w14:paraId="5A61DF70" w14:textId="77777777" w:rsidR="00BA0FD5" w:rsidRDefault="00000000">
            <w:pPr>
              <w:widowControl w:val="0"/>
              <w:spacing w:line="240" w:lineRule="auto"/>
              <w:jc w:val="center"/>
              <w:rPr>
                <w:b/>
                <w:bCs/>
                <w:sz w:val="20"/>
                <w:szCs w:val="20"/>
              </w:rPr>
            </w:pPr>
            <w:r>
              <w:rPr>
                <w:b/>
                <w:bCs/>
                <w:sz w:val="20"/>
                <w:szCs w:val="20"/>
              </w:rPr>
              <w:t>Description</w:t>
            </w:r>
          </w:p>
        </w:tc>
        <w:tc>
          <w:tcPr>
            <w:tcW w:w="1260" w:type="dxa"/>
            <w:tcMar>
              <w:top w:w="100" w:type="dxa"/>
              <w:left w:w="100" w:type="dxa"/>
              <w:bottom w:w="100" w:type="dxa"/>
              <w:right w:w="100" w:type="dxa"/>
            </w:tcMar>
          </w:tcPr>
          <w:p w14:paraId="77C5BBC7" w14:textId="77777777" w:rsidR="00BA0FD5" w:rsidRDefault="00000000">
            <w:pPr>
              <w:widowControl w:val="0"/>
              <w:spacing w:line="240" w:lineRule="auto"/>
              <w:jc w:val="center"/>
              <w:rPr>
                <w:b/>
                <w:bCs/>
                <w:sz w:val="20"/>
                <w:szCs w:val="20"/>
              </w:rPr>
            </w:pPr>
            <w:r>
              <w:rPr>
                <w:b/>
                <w:bCs/>
                <w:sz w:val="20"/>
                <w:szCs w:val="20"/>
              </w:rPr>
              <w:t>The weight in integrated indicators</w:t>
            </w:r>
          </w:p>
        </w:tc>
        <w:tc>
          <w:tcPr>
            <w:tcW w:w="1305" w:type="dxa"/>
            <w:tcMar>
              <w:top w:w="100" w:type="dxa"/>
              <w:left w:w="100" w:type="dxa"/>
              <w:bottom w:w="100" w:type="dxa"/>
              <w:right w:w="100" w:type="dxa"/>
            </w:tcMar>
          </w:tcPr>
          <w:p w14:paraId="77C1B74D" w14:textId="77777777" w:rsidR="00BA0FD5" w:rsidRDefault="00000000">
            <w:pPr>
              <w:widowControl w:val="0"/>
              <w:spacing w:line="240" w:lineRule="auto"/>
              <w:jc w:val="center"/>
              <w:rPr>
                <w:b/>
                <w:bCs/>
                <w:sz w:val="20"/>
                <w:szCs w:val="20"/>
              </w:rPr>
            </w:pPr>
            <w:r>
              <w:rPr>
                <w:b/>
                <w:bCs/>
                <w:sz w:val="20"/>
                <w:szCs w:val="20"/>
              </w:rPr>
              <w:t>Inclusion in the integrated indicator</w:t>
            </w:r>
          </w:p>
        </w:tc>
      </w:tr>
      <w:tr w:rsidR="00BA0FD5" w14:paraId="71326357" w14:textId="77777777">
        <w:trPr>
          <w:trHeight w:val="400"/>
        </w:trPr>
        <w:tc>
          <w:tcPr>
            <w:tcW w:w="1650" w:type="dxa"/>
            <w:tcMar>
              <w:top w:w="100" w:type="dxa"/>
              <w:left w:w="100" w:type="dxa"/>
              <w:bottom w:w="100" w:type="dxa"/>
              <w:right w:w="100" w:type="dxa"/>
            </w:tcMar>
          </w:tcPr>
          <w:p w14:paraId="2C2BDB68" w14:textId="77777777" w:rsidR="00BA0FD5" w:rsidRDefault="00000000">
            <w:pPr>
              <w:widowControl w:val="0"/>
              <w:spacing w:line="240" w:lineRule="auto"/>
              <w:rPr>
                <w:sz w:val="20"/>
                <w:szCs w:val="20"/>
              </w:rPr>
            </w:pPr>
            <w:r>
              <w:rPr>
                <w:sz w:val="20"/>
                <w:szCs w:val="20"/>
              </w:rPr>
              <w:t>Vegetation cover</w:t>
            </w:r>
          </w:p>
        </w:tc>
        <w:tc>
          <w:tcPr>
            <w:tcW w:w="1650" w:type="dxa"/>
            <w:tcMar>
              <w:top w:w="100" w:type="dxa"/>
              <w:left w:w="100" w:type="dxa"/>
              <w:bottom w:w="100" w:type="dxa"/>
              <w:right w:w="100" w:type="dxa"/>
            </w:tcMar>
          </w:tcPr>
          <w:p w14:paraId="298CE944" w14:textId="77777777" w:rsidR="00BA0FD5" w:rsidRDefault="00000000">
            <w:pPr>
              <w:widowControl w:val="0"/>
              <w:spacing w:line="240" w:lineRule="auto"/>
              <w:rPr>
                <w:sz w:val="20"/>
                <w:szCs w:val="20"/>
              </w:rPr>
            </w:pPr>
            <w:r>
              <w:rPr>
                <w:sz w:val="20"/>
                <w:szCs w:val="20"/>
              </w:rPr>
              <w:t>Land cover map</w:t>
            </w:r>
          </w:p>
        </w:tc>
        <w:tc>
          <w:tcPr>
            <w:tcW w:w="3870" w:type="dxa"/>
            <w:tcMar>
              <w:top w:w="100" w:type="dxa"/>
              <w:left w:w="100" w:type="dxa"/>
              <w:bottom w:w="100" w:type="dxa"/>
              <w:right w:w="100" w:type="dxa"/>
            </w:tcMar>
          </w:tcPr>
          <w:p w14:paraId="1DDDB04B" w14:textId="77777777" w:rsidR="00BA0FD5" w:rsidRDefault="00000000">
            <w:pPr>
              <w:widowControl w:val="0"/>
              <w:spacing w:line="240" w:lineRule="auto"/>
              <w:rPr>
                <w:sz w:val="20"/>
                <w:szCs w:val="20"/>
              </w:rPr>
            </w:pPr>
            <w:r>
              <w:rPr>
                <w:sz w:val="20"/>
                <w:szCs w:val="20"/>
              </w:rPr>
              <w:t xml:space="preserve">Percentage of vegetation in the city </w:t>
            </w:r>
          </w:p>
        </w:tc>
        <w:tc>
          <w:tcPr>
            <w:tcW w:w="1260" w:type="dxa"/>
            <w:tcMar>
              <w:top w:w="100" w:type="dxa"/>
              <w:left w:w="100" w:type="dxa"/>
              <w:bottom w:w="100" w:type="dxa"/>
              <w:right w:w="100" w:type="dxa"/>
            </w:tcMar>
          </w:tcPr>
          <w:p w14:paraId="5CC0F7E0" w14:textId="77777777" w:rsidR="00BA0FD5" w:rsidRDefault="00000000">
            <w:pPr>
              <w:widowControl w:val="0"/>
              <w:spacing w:line="240" w:lineRule="auto"/>
              <w:rPr>
                <w:sz w:val="20"/>
                <w:szCs w:val="20"/>
              </w:rPr>
            </w:pPr>
            <w:r>
              <w:rPr>
                <w:sz w:val="20"/>
                <w:szCs w:val="20"/>
              </w:rPr>
              <w:t>0.4</w:t>
            </w:r>
          </w:p>
        </w:tc>
        <w:tc>
          <w:tcPr>
            <w:tcW w:w="1305" w:type="dxa"/>
            <w:vMerge w:val="restart"/>
            <w:tcMar>
              <w:top w:w="100" w:type="dxa"/>
              <w:left w:w="100" w:type="dxa"/>
              <w:bottom w:w="100" w:type="dxa"/>
              <w:right w:w="100" w:type="dxa"/>
            </w:tcMar>
          </w:tcPr>
          <w:p w14:paraId="71F222EA" w14:textId="77777777" w:rsidR="00BA0FD5" w:rsidRDefault="00000000">
            <w:pPr>
              <w:widowControl w:val="0"/>
              <w:spacing w:line="240" w:lineRule="auto"/>
              <w:rPr>
                <w:sz w:val="20"/>
                <w:szCs w:val="20"/>
              </w:rPr>
            </w:pPr>
            <w:r>
              <w:rPr>
                <w:sz w:val="20"/>
                <w:szCs w:val="20"/>
              </w:rPr>
              <w:t>Vegetation state</w:t>
            </w:r>
          </w:p>
        </w:tc>
      </w:tr>
      <w:tr w:rsidR="00BA0FD5" w14:paraId="770A478A" w14:textId="77777777">
        <w:trPr>
          <w:trHeight w:val="400"/>
        </w:trPr>
        <w:tc>
          <w:tcPr>
            <w:tcW w:w="1650" w:type="dxa"/>
            <w:tcMar>
              <w:top w:w="100" w:type="dxa"/>
              <w:left w:w="100" w:type="dxa"/>
              <w:bottom w:w="100" w:type="dxa"/>
              <w:right w:w="100" w:type="dxa"/>
            </w:tcMar>
          </w:tcPr>
          <w:p w14:paraId="3519F5DF" w14:textId="77777777" w:rsidR="00BA0FD5" w:rsidRDefault="00000000">
            <w:pPr>
              <w:widowControl w:val="0"/>
              <w:spacing w:line="240" w:lineRule="auto"/>
              <w:rPr>
                <w:sz w:val="20"/>
                <w:szCs w:val="20"/>
              </w:rPr>
            </w:pPr>
            <w:r>
              <w:rPr>
                <w:sz w:val="20"/>
                <w:szCs w:val="20"/>
              </w:rPr>
              <w:t>High vegetation cover</w:t>
            </w:r>
          </w:p>
        </w:tc>
        <w:tc>
          <w:tcPr>
            <w:tcW w:w="1650" w:type="dxa"/>
            <w:tcMar>
              <w:top w:w="100" w:type="dxa"/>
              <w:left w:w="100" w:type="dxa"/>
              <w:bottom w:w="100" w:type="dxa"/>
              <w:right w:w="100" w:type="dxa"/>
            </w:tcMar>
          </w:tcPr>
          <w:p w14:paraId="3FFA29D4" w14:textId="77777777" w:rsidR="00BA0FD5" w:rsidRDefault="00000000">
            <w:pPr>
              <w:widowControl w:val="0"/>
              <w:spacing w:line="240" w:lineRule="auto"/>
              <w:rPr>
                <w:sz w:val="20"/>
                <w:szCs w:val="20"/>
              </w:rPr>
            </w:pPr>
            <w:r>
              <w:rPr>
                <w:sz w:val="20"/>
                <w:szCs w:val="20"/>
              </w:rPr>
              <w:t>Land cover map</w:t>
            </w:r>
          </w:p>
        </w:tc>
        <w:tc>
          <w:tcPr>
            <w:tcW w:w="3870" w:type="dxa"/>
            <w:tcMar>
              <w:top w:w="100" w:type="dxa"/>
              <w:left w:w="100" w:type="dxa"/>
              <w:bottom w:w="100" w:type="dxa"/>
              <w:right w:w="100" w:type="dxa"/>
            </w:tcMar>
          </w:tcPr>
          <w:p w14:paraId="7B237E3B" w14:textId="77777777" w:rsidR="00BA0FD5" w:rsidRDefault="00000000">
            <w:pPr>
              <w:widowControl w:val="0"/>
              <w:spacing w:line="240" w:lineRule="auto"/>
              <w:rPr>
                <w:sz w:val="20"/>
                <w:szCs w:val="20"/>
              </w:rPr>
            </w:pPr>
            <w:r>
              <w:rPr>
                <w:sz w:val="20"/>
                <w:szCs w:val="20"/>
              </w:rPr>
              <w:t>Percentage of high vegetation (forests and dense tree cover) in the city</w:t>
            </w:r>
          </w:p>
        </w:tc>
        <w:tc>
          <w:tcPr>
            <w:tcW w:w="1260" w:type="dxa"/>
            <w:tcMar>
              <w:top w:w="100" w:type="dxa"/>
              <w:left w:w="100" w:type="dxa"/>
              <w:bottom w:w="100" w:type="dxa"/>
              <w:right w:w="100" w:type="dxa"/>
            </w:tcMar>
          </w:tcPr>
          <w:p w14:paraId="1BAEA3EF" w14:textId="77777777" w:rsidR="00BA0FD5" w:rsidRDefault="00000000">
            <w:pPr>
              <w:widowControl w:val="0"/>
              <w:spacing w:line="240" w:lineRule="auto"/>
              <w:rPr>
                <w:sz w:val="20"/>
                <w:szCs w:val="20"/>
              </w:rPr>
            </w:pPr>
            <w:r>
              <w:rPr>
                <w:sz w:val="20"/>
                <w:szCs w:val="20"/>
              </w:rPr>
              <w:t>0.5</w:t>
            </w:r>
          </w:p>
        </w:tc>
        <w:tc>
          <w:tcPr>
            <w:tcW w:w="1305" w:type="dxa"/>
            <w:vMerge/>
            <w:tcMar>
              <w:top w:w="100" w:type="dxa"/>
              <w:left w:w="100" w:type="dxa"/>
              <w:bottom w:w="100" w:type="dxa"/>
              <w:right w:w="100" w:type="dxa"/>
            </w:tcMar>
          </w:tcPr>
          <w:p w14:paraId="15D3BD1A" w14:textId="77777777" w:rsidR="00BA0FD5" w:rsidRDefault="00BA0FD5">
            <w:pPr>
              <w:widowControl w:val="0"/>
              <w:spacing w:line="240" w:lineRule="auto"/>
              <w:rPr>
                <w:sz w:val="20"/>
                <w:szCs w:val="20"/>
              </w:rPr>
            </w:pPr>
          </w:p>
        </w:tc>
      </w:tr>
      <w:tr w:rsidR="00BA0FD5" w14:paraId="501D55E7" w14:textId="77777777">
        <w:trPr>
          <w:trHeight w:val="400"/>
        </w:trPr>
        <w:tc>
          <w:tcPr>
            <w:tcW w:w="1650" w:type="dxa"/>
            <w:tcMar>
              <w:top w:w="100" w:type="dxa"/>
              <w:left w:w="100" w:type="dxa"/>
              <w:bottom w:w="100" w:type="dxa"/>
              <w:right w:w="100" w:type="dxa"/>
            </w:tcMar>
          </w:tcPr>
          <w:p w14:paraId="606762B5" w14:textId="77777777" w:rsidR="00BA0FD5" w:rsidRDefault="00000000">
            <w:pPr>
              <w:widowControl w:val="0"/>
              <w:spacing w:line="240" w:lineRule="auto"/>
              <w:rPr>
                <w:sz w:val="20"/>
                <w:szCs w:val="20"/>
              </w:rPr>
            </w:pPr>
            <w:r>
              <w:rPr>
                <w:sz w:val="20"/>
                <w:szCs w:val="20"/>
              </w:rPr>
              <w:t>Share of high-vigor vegetation</w:t>
            </w:r>
          </w:p>
        </w:tc>
        <w:tc>
          <w:tcPr>
            <w:tcW w:w="1650" w:type="dxa"/>
            <w:tcMar>
              <w:top w:w="100" w:type="dxa"/>
              <w:left w:w="100" w:type="dxa"/>
              <w:bottom w:w="100" w:type="dxa"/>
              <w:right w:w="100" w:type="dxa"/>
            </w:tcMar>
          </w:tcPr>
          <w:p w14:paraId="7942910B" w14:textId="77777777" w:rsidR="00BA0FD5" w:rsidRDefault="00000000">
            <w:pPr>
              <w:widowControl w:val="0"/>
              <w:spacing w:line="240" w:lineRule="auto"/>
              <w:rPr>
                <w:sz w:val="20"/>
                <w:szCs w:val="20"/>
              </w:rPr>
            </w:pPr>
            <w:r>
              <w:rPr>
                <w:sz w:val="20"/>
                <w:szCs w:val="20"/>
              </w:rPr>
              <w:t xml:space="preserve">Land cover map </w:t>
            </w:r>
          </w:p>
          <w:p w14:paraId="09C3444B" w14:textId="77777777" w:rsidR="00BA0FD5" w:rsidRDefault="00000000">
            <w:pPr>
              <w:widowControl w:val="0"/>
              <w:spacing w:line="240" w:lineRule="auto"/>
              <w:rPr>
                <w:sz w:val="20"/>
                <w:szCs w:val="20"/>
              </w:rPr>
            </w:pPr>
            <w:r>
              <w:rPr>
                <w:sz w:val="20"/>
                <w:szCs w:val="20"/>
              </w:rPr>
              <w:t>vegetation vigor map</w:t>
            </w:r>
          </w:p>
        </w:tc>
        <w:tc>
          <w:tcPr>
            <w:tcW w:w="3870" w:type="dxa"/>
            <w:tcMar>
              <w:top w:w="100" w:type="dxa"/>
              <w:left w:w="100" w:type="dxa"/>
              <w:bottom w:w="100" w:type="dxa"/>
              <w:right w:w="100" w:type="dxa"/>
            </w:tcMar>
          </w:tcPr>
          <w:p w14:paraId="231F96F0" w14:textId="77777777" w:rsidR="00BA0FD5" w:rsidRDefault="00000000">
            <w:pPr>
              <w:widowControl w:val="0"/>
              <w:spacing w:line="240" w:lineRule="auto"/>
              <w:rPr>
                <w:sz w:val="20"/>
                <w:szCs w:val="20"/>
              </w:rPr>
            </w:pPr>
            <w:r>
              <w:rPr>
                <w:sz w:val="20"/>
                <w:szCs w:val="20"/>
              </w:rPr>
              <w:t>Percentage of vegetation (excluding arable land) with high vigor in the city</w:t>
            </w:r>
          </w:p>
        </w:tc>
        <w:tc>
          <w:tcPr>
            <w:tcW w:w="1260" w:type="dxa"/>
            <w:tcMar>
              <w:top w:w="100" w:type="dxa"/>
              <w:left w:w="100" w:type="dxa"/>
              <w:bottom w:w="100" w:type="dxa"/>
              <w:right w:w="100" w:type="dxa"/>
            </w:tcMar>
          </w:tcPr>
          <w:p w14:paraId="0DEE36AE" w14:textId="77777777" w:rsidR="00BA0FD5" w:rsidRDefault="00000000">
            <w:pPr>
              <w:widowControl w:val="0"/>
              <w:spacing w:line="240" w:lineRule="auto"/>
              <w:rPr>
                <w:sz w:val="20"/>
                <w:szCs w:val="20"/>
              </w:rPr>
            </w:pPr>
            <w:r>
              <w:rPr>
                <w:sz w:val="20"/>
                <w:szCs w:val="20"/>
              </w:rPr>
              <w:t>0.1</w:t>
            </w:r>
          </w:p>
        </w:tc>
        <w:tc>
          <w:tcPr>
            <w:tcW w:w="1305" w:type="dxa"/>
            <w:vMerge/>
            <w:tcMar>
              <w:top w:w="100" w:type="dxa"/>
              <w:left w:w="100" w:type="dxa"/>
              <w:bottom w:w="100" w:type="dxa"/>
              <w:right w:w="100" w:type="dxa"/>
            </w:tcMar>
          </w:tcPr>
          <w:p w14:paraId="06B45B40" w14:textId="77777777" w:rsidR="00BA0FD5" w:rsidRDefault="00BA0FD5">
            <w:pPr>
              <w:widowControl w:val="0"/>
              <w:spacing w:line="240" w:lineRule="auto"/>
              <w:rPr>
                <w:sz w:val="20"/>
                <w:szCs w:val="20"/>
              </w:rPr>
            </w:pPr>
          </w:p>
        </w:tc>
      </w:tr>
      <w:tr w:rsidR="00BA0FD5" w14:paraId="2817A389" w14:textId="77777777">
        <w:trPr>
          <w:trHeight w:val="400"/>
        </w:trPr>
        <w:tc>
          <w:tcPr>
            <w:tcW w:w="1650" w:type="dxa"/>
            <w:tcMar>
              <w:top w:w="100" w:type="dxa"/>
              <w:left w:w="100" w:type="dxa"/>
              <w:bottom w:w="100" w:type="dxa"/>
              <w:right w:w="100" w:type="dxa"/>
            </w:tcMar>
          </w:tcPr>
          <w:p w14:paraId="10756CD7" w14:textId="77777777" w:rsidR="00BA0FD5" w:rsidRDefault="00000000">
            <w:pPr>
              <w:widowControl w:val="0"/>
              <w:spacing w:line="240" w:lineRule="auto"/>
              <w:rPr>
                <w:sz w:val="20"/>
                <w:szCs w:val="20"/>
              </w:rPr>
            </w:pPr>
            <w:r>
              <w:rPr>
                <w:sz w:val="20"/>
                <w:szCs w:val="20"/>
              </w:rPr>
              <w:t>Surface radiation properties</w:t>
            </w:r>
          </w:p>
        </w:tc>
        <w:tc>
          <w:tcPr>
            <w:tcW w:w="1650" w:type="dxa"/>
            <w:tcMar>
              <w:top w:w="100" w:type="dxa"/>
              <w:left w:w="100" w:type="dxa"/>
              <w:bottom w:w="100" w:type="dxa"/>
              <w:right w:w="100" w:type="dxa"/>
            </w:tcMar>
          </w:tcPr>
          <w:p w14:paraId="03DD397E" w14:textId="77777777" w:rsidR="00BA0FD5" w:rsidRDefault="00000000">
            <w:pPr>
              <w:widowControl w:val="0"/>
              <w:spacing w:line="240" w:lineRule="auto"/>
              <w:rPr>
                <w:sz w:val="20"/>
                <w:szCs w:val="20"/>
              </w:rPr>
            </w:pPr>
            <w:r>
              <w:rPr>
                <w:sz w:val="20"/>
                <w:szCs w:val="20"/>
              </w:rPr>
              <w:t>Surface radiation properties map</w:t>
            </w:r>
          </w:p>
        </w:tc>
        <w:tc>
          <w:tcPr>
            <w:tcW w:w="3870" w:type="dxa"/>
            <w:tcMar>
              <w:top w:w="100" w:type="dxa"/>
              <w:left w:w="100" w:type="dxa"/>
              <w:bottom w:w="100" w:type="dxa"/>
              <w:right w:w="100" w:type="dxa"/>
            </w:tcMar>
          </w:tcPr>
          <w:p w14:paraId="58F351E4" w14:textId="77777777" w:rsidR="00BA0FD5" w:rsidRDefault="00000000">
            <w:pPr>
              <w:widowControl w:val="0"/>
              <w:spacing w:line="240" w:lineRule="auto"/>
              <w:rPr>
                <w:sz w:val="20"/>
                <w:szCs w:val="20"/>
              </w:rPr>
            </w:pPr>
            <w:r>
              <w:rPr>
                <w:sz w:val="20"/>
                <w:szCs w:val="20"/>
              </w:rPr>
              <w:t>95th percentile of surface radiation property values within the city</w:t>
            </w:r>
          </w:p>
        </w:tc>
        <w:tc>
          <w:tcPr>
            <w:tcW w:w="1260" w:type="dxa"/>
            <w:tcMar>
              <w:top w:w="100" w:type="dxa"/>
              <w:left w:w="100" w:type="dxa"/>
              <w:bottom w:w="100" w:type="dxa"/>
              <w:right w:w="100" w:type="dxa"/>
            </w:tcMar>
          </w:tcPr>
          <w:p w14:paraId="09997DBC" w14:textId="77777777" w:rsidR="00BA0FD5" w:rsidRDefault="00000000">
            <w:pPr>
              <w:widowControl w:val="0"/>
              <w:spacing w:line="240" w:lineRule="auto"/>
              <w:rPr>
                <w:sz w:val="20"/>
                <w:szCs w:val="20"/>
              </w:rPr>
            </w:pPr>
            <w:r>
              <w:rPr>
                <w:sz w:val="20"/>
                <w:szCs w:val="20"/>
              </w:rPr>
              <w:t>0.2</w:t>
            </w:r>
          </w:p>
        </w:tc>
        <w:tc>
          <w:tcPr>
            <w:tcW w:w="1305" w:type="dxa"/>
            <w:vMerge w:val="restart"/>
            <w:tcMar>
              <w:top w:w="100" w:type="dxa"/>
              <w:left w:w="100" w:type="dxa"/>
              <w:bottom w:w="100" w:type="dxa"/>
              <w:right w:w="100" w:type="dxa"/>
            </w:tcMar>
          </w:tcPr>
          <w:p w14:paraId="607949F8" w14:textId="77777777" w:rsidR="00BA0FD5" w:rsidRDefault="00000000">
            <w:pPr>
              <w:widowControl w:val="0"/>
              <w:spacing w:line="240" w:lineRule="auto"/>
              <w:rPr>
                <w:sz w:val="20"/>
                <w:szCs w:val="20"/>
              </w:rPr>
            </w:pPr>
            <w:r>
              <w:rPr>
                <w:sz w:val="20"/>
                <w:szCs w:val="20"/>
              </w:rPr>
              <w:t>Thermal conditions</w:t>
            </w:r>
          </w:p>
        </w:tc>
      </w:tr>
      <w:tr w:rsidR="00BA0FD5" w14:paraId="6999784F" w14:textId="77777777">
        <w:trPr>
          <w:trHeight w:val="400"/>
        </w:trPr>
        <w:tc>
          <w:tcPr>
            <w:tcW w:w="1650" w:type="dxa"/>
            <w:tcMar>
              <w:top w:w="100" w:type="dxa"/>
              <w:left w:w="100" w:type="dxa"/>
              <w:bottom w:w="100" w:type="dxa"/>
              <w:right w:w="100" w:type="dxa"/>
            </w:tcMar>
          </w:tcPr>
          <w:p w14:paraId="2DE97C96" w14:textId="77777777" w:rsidR="00BA0FD5" w:rsidRDefault="00000000">
            <w:pPr>
              <w:widowControl w:val="0"/>
              <w:spacing w:line="240" w:lineRule="auto"/>
              <w:rPr>
                <w:sz w:val="20"/>
                <w:szCs w:val="20"/>
              </w:rPr>
            </w:pPr>
            <w:r>
              <w:rPr>
                <w:sz w:val="20"/>
                <w:szCs w:val="20"/>
              </w:rPr>
              <w:t>Surface temperature</w:t>
            </w:r>
          </w:p>
        </w:tc>
        <w:tc>
          <w:tcPr>
            <w:tcW w:w="1650" w:type="dxa"/>
            <w:tcMar>
              <w:top w:w="100" w:type="dxa"/>
              <w:left w:w="100" w:type="dxa"/>
              <w:bottom w:w="100" w:type="dxa"/>
              <w:right w:w="100" w:type="dxa"/>
            </w:tcMar>
          </w:tcPr>
          <w:p w14:paraId="715D5AB5" w14:textId="77777777" w:rsidR="00BA0FD5" w:rsidRDefault="00000000">
            <w:pPr>
              <w:widowControl w:val="0"/>
              <w:spacing w:line="240" w:lineRule="auto"/>
              <w:rPr>
                <w:sz w:val="20"/>
                <w:szCs w:val="20"/>
              </w:rPr>
            </w:pPr>
            <w:r>
              <w:rPr>
                <w:sz w:val="20"/>
                <w:szCs w:val="20"/>
              </w:rPr>
              <w:t>Land surface temperature map</w:t>
            </w:r>
          </w:p>
        </w:tc>
        <w:tc>
          <w:tcPr>
            <w:tcW w:w="3870" w:type="dxa"/>
            <w:tcMar>
              <w:top w:w="100" w:type="dxa"/>
              <w:left w:w="100" w:type="dxa"/>
              <w:bottom w:w="100" w:type="dxa"/>
              <w:right w:w="100" w:type="dxa"/>
            </w:tcMar>
          </w:tcPr>
          <w:p w14:paraId="256DD841" w14:textId="77777777" w:rsidR="00BA0FD5" w:rsidRDefault="00000000">
            <w:pPr>
              <w:widowControl w:val="0"/>
              <w:spacing w:line="240" w:lineRule="auto"/>
              <w:rPr>
                <w:sz w:val="20"/>
                <w:szCs w:val="20"/>
              </w:rPr>
            </w:pPr>
            <w:r>
              <w:rPr>
                <w:sz w:val="20"/>
                <w:szCs w:val="20"/>
              </w:rPr>
              <w:t xml:space="preserve">City surface temperature expressed in °C </w:t>
            </w:r>
          </w:p>
        </w:tc>
        <w:tc>
          <w:tcPr>
            <w:tcW w:w="1260" w:type="dxa"/>
            <w:tcMar>
              <w:top w:w="100" w:type="dxa"/>
              <w:left w:w="100" w:type="dxa"/>
              <w:bottom w:w="100" w:type="dxa"/>
              <w:right w:w="100" w:type="dxa"/>
            </w:tcMar>
          </w:tcPr>
          <w:p w14:paraId="020DEAE4" w14:textId="77777777" w:rsidR="00BA0FD5" w:rsidRDefault="00000000">
            <w:pPr>
              <w:widowControl w:val="0"/>
              <w:spacing w:line="240" w:lineRule="auto"/>
              <w:rPr>
                <w:sz w:val="20"/>
                <w:szCs w:val="20"/>
              </w:rPr>
            </w:pPr>
            <w:r>
              <w:rPr>
                <w:sz w:val="20"/>
                <w:szCs w:val="20"/>
              </w:rPr>
              <w:t>0.6</w:t>
            </w:r>
          </w:p>
        </w:tc>
        <w:tc>
          <w:tcPr>
            <w:tcW w:w="1305" w:type="dxa"/>
            <w:vMerge/>
            <w:tcMar>
              <w:top w:w="100" w:type="dxa"/>
              <w:left w:w="100" w:type="dxa"/>
              <w:bottom w:w="100" w:type="dxa"/>
              <w:right w:w="100" w:type="dxa"/>
            </w:tcMar>
          </w:tcPr>
          <w:p w14:paraId="6AF8E5EC" w14:textId="77777777" w:rsidR="00BA0FD5" w:rsidRDefault="00BA0FD5">
            <w:pPr>
              <w:widowControl w:val="0"/>
              <w:spacing w:line="240" w:lineRule="auto"/>
              <w:rPr>
                <w:sz w:val="20"/>
                <w:szCs w:val="20"/>
              </w:rPr>
            </w:pPr>
          </w:p>
        </w:tc>
      </w:tr>
      <w:tr w:rsidR="00BA0FD5" w14:paraId="62CC8B50" w14:textId="77777777">
        <w:trPr>
          <w:trHeight w:val="400"/>
        </w:trPr>
        <w:tc>
          <w:tcPr>
            <w:tcW w:w="1650" w:type="dxa"/>
            <w:tcMar>
              <w:top w:w="100" w:type="dxa"/>
              <w:left w:w="100" w:type="dxa"/>
              <w:bottom w:w="100" w:type="dxa"/>
              <w:right w:w="100" w:type="dxa"/>
            </w:tcMar>
          </w:tcPr>
          <w:p w14:paraId="3FA95CEB" w14:textId="77777777" w:rsidR="00BA0FD5" w:rsidRDefault="00000000">
            <w:pPr>
              <w:widowControl w:val="0"/>
              <w:spacing w:line="240" w:lineRule="auto"/>
              <w:rPr>
                <w:sz w:val="20"/>
                <w:szCs w:val="20"/>
              </w:rPr>
            </w:pPr>
            <w:r>
              <w:rPr>
                <w:sz w:val="20"/>
                <w:szCs w:val="20"/>
              </w:rPr>
              <w:t>Share of high-temperature areas</w:t>
            </w:r>
          </w:p>
        </w:tc>
        <w:tc>
          <w:tcPr>
            <w:tcW w:w="1650" w:type="dxa"/>
            <w:tcMar>
              <w:top w:w="100" w:type="dxa"/>
              <w:left w:w="100" w:type="dxa"/>
              <w:bottom w:w="100" w:type="dxa"/>
              <w:right w:w="100" w:type="dxa"/>
            </w:tcMar>
          </w:tcPr>
          <w:p w14:paraId="5F5E84A0" w14:textId="77777777" w:rsidR="00BA0FD5" w:rsidRDefault="00000000">
            <w:pPr>
              <w:widowControl w:val="0"/>
              <w:spacing w:line="240" w:lineRule="auto"/>
              <w:rPr>
                <w:sz w:val="20"/>
                <w:szCs w:val="20"/>
              </w:rPr>
            </w:pPr>
            <w:r>
              <w:rPr>
                <w:sz w:val="20"/>
                <w:szCs w:val="20"/>
              </w:rPr>
              <w:t>Land surface temperature map</w:t>
            </w:r>
          </w:p>
        </w:tc>
        <w:tc>
          <w:tcPr>
            <w:tcW w:w="3870" w:type="dxa"/>
            <w:tcMar>
              <w:top w:w="100" w:type="dxa"/>
              <w:left w:w="100" w:type="dxa"/>
              <w:bottom w:w="100" w:type="dxa"/>
              <w:right w:w="100" w:type="dxa"/>
            </w:tcMar>
          </w:tcPr>
          <w:p w14:paraId="4812E57C" w14:textId="77777777" w:rsidR="00BA0FD5" w:rsidRDefault="00000000">
            <w:pPr>
              <w:widowControl w:val="0"/>
              <w:spacing w:line="240" w:lineRule="auto"/>
              <w:rPr>
                <w:sz w:val="20"/>
                <w:szCs w:val="20"/>
              </w:rPr>
            </w:pPr>
            <w:r>
              <w:rPr>
                <w:sz w:val="20"/>
                <w:szCs w:val="20"/>
              </w:rPr>
              <w:t>Percentage of high-temperature areas in the city. For each city, the mean LST is first calculated. Next, the 10 nearest neighboring cities are identified, and the mean LST of these neighboring cities is computed. The temperature threshold is then defined as: T</w:t>
            </w:r>
            <w:r>
              <w:rPr>
                <w:sz w:val="20"/>
                <w:szCs w:val="20"/>
                <w:vertAlign w:val="subscript"/>
              </w:rPr>
              <w:t>thr</w:t>
            </w:r>
            <w:r>
              <w:rPr>
                <w:sz w:val="20"/>
                <w:szCs w:val="20"/>
              </w:rPr>
              <w:t>=</w:t>
            </w:r>
            <m:oMath>
              <m:bar>
                <m:barPr>
                  <m:ctrlPr>
                    <w:rPr>
                      <w:rFonts w:ascii="Cambria Math" w:hAnsi="Cambria Math"/>
                      <w:sz w:val="20"/>
                      <w:szCs w:val="20"/>
                    </w:rPr>
                  </m:ctrlPr>
                </m:barPr>
                <m:e>
                  <m:r>
                    <w:rPr>
                      <w:rFonts w:ascii="Cambria Math" w:hAnsi="Cambria Math"/>
                      <w:sz w:val="20"/>
                      <w:szCs w:val="20"/>
                    </w:rPr>
                    <m:t>T</m:t>
                  </m:r>
                </m:e>
              </m:bar>
            </m:oMath>
            <w:r>
              <w:rPr>
                <w:sz w:val="20"/>
                <w:szCs w:val="20"/>
                <w:vertAlign w:val="subscript"/>
              </w:rPr>
              <w:t xml:space="preserve">10 nearest neighbors </w:t>
            </w:r>
            <w:r>
              <w:rPr>
                <w:sz w:val="20"/>
                <w:szCs w:val="20"/>
              </w:rPr>
              <w:t>+ 2σ</w:t>
            </w:r>
            <w:r>
              <w:rPr>
                <w:sz w:val="20"/>
                <w:szCs w:val="20"/>
                <w:vertAlign w:val="subscript"/>
              </w:rPr>
              <w:t xml:space="preserve">city, </w:t>
            </w:r>
            <w:r>
              <w:rPr>
                <w:sz w:val="20"/>
                <w:szCs w:val="20"/>
              </w:rPr>
              <w:t xml:space="preserve">where </w:t>
            </w:r>
            <m:oMath>
              <m:bar>
                <m:barPr>
                  <m:ctrlPr>
                    <w:rPr>
                      <w:rFonts w:ascii="Cambria Math" w:hAnsi="Cambria Math"/>
                      <w:sz w:val="20"/>
                      <w:szCs w:val="20"/>
                    </w:rPr>
                  </m:ctrlPr>
                </m:barPr>
                <m:e>
                  <m:r>
                    <w:rPr>
                      <w:rFonts w:ascii="Cambria Math" w:hAnsi="Cambria Math"/>
                      <w:sz w:val="20"/>
                      <w:szCs w:val="20"/>
                    </w:rPr>
                    <m:t>T</m:t>
                  </m:r>
                </m:e>
              </m:bar>
            </m:oMath>
            <w:r>
              <w:rPr>
                <w:sz w:val="20"/>
                <w:szCs w:val="20"/>
                <w:vertAlign w:val="subscript"/>
              </w:rPr>
              <w:t>10 nearest neighbors</w:t>
            </w:r>
            <w:r>
              <w:rPr>
                <w:sz w:val="20"/>
                <w:szCs w:val="20"/>
              </w:rPr>
              <w:t>​ denotes the average LST of the 10 nearest neighboring cities, and σ</w:t>
            </w:r>
            <w:r>
              <w:rPr>
                <w:sz w:val="20"/>
                <w:szCs w:val="20"/>
                <w:vertAlign w:val="subscript"/>
              </w:rPr>
              <w:t>city</w:t>
            </w:r>
            <w:r>
              <w:rPr>
                <w:sz w:val="20"/>
                <w:szCs w:val="20"/>
              </w:rPr>
              <w:t>​ represents the standard deviation of pixel-level temperatures within the analyzed city. Pixels with temperatures exceeding this threshold are classified as high-temperature areas. The final indicator is expressed as the percentage of the city area covered by these pixels relative to the total city area.</w:t>
            </w:r>
          </w:p>
        </w:tc>
        <w:tc>
          <w:tcPr>
            <w:tcW w:w="1260" w:type="dxa"/>
            <w:tcMar>
              <w:top w:w="100" w:type="dxa"/>
              <w:left w:w="100" w:type="dxa"/>
              <w:bottom w:w="100" w:type="dxa"/>
              <w:right w:w="100" w:type="dxa"/>
            </w:tcMar>
          </w:tcPr>
          <w:p w14:paraId="17FAAD73" w14:textId="77777777" w:rsidR="00BA0FD5" w:rsidRDefault="00000000">
            <w:pPr>
              <w:widowControl w:val="0"/>
              <w:spacing w:line="240" w:lineRule="auto"/>
              <w:rPr>
                <w:sz w:val="20"/>
                <w:szCs w:val="20"/>
              </w:rPr>
            </w:pPr>
            <w:r>
              <w:rPr>
                <w:sz w:val="20"/>
                <w:szCs w:val="20"/>
              </w:rPr>
              <w:t>0.1</w:t>
            </w:r>
          </w:p>
        </w:tc>
        <w:tc>
          <w:tcPr>
            <w:tcW w:w="1305" w:type="dxa"/>
            <w:vMerge/>
            <w:tcMar>
              <w:top w:w="100" w:type="dxa"/>
              <w:left w:w="100" w:type="dxa"/>
              <w:bottom w:w="100" w:type="dxa"/>
              <w:right w:w="100" w:type="dxa"/>
            </w:tcMar>
          </w:tcPr>
          <w:p w14:paraId="06DCE1BC" w14:textId="77777777" w:rsidR="00BA0FD5" w:rsidRDefault="00BA0FD5">
            <w:pPr>
              <w:widowControl w:val="0"/>
              <w:spacing w:line="240" w:lineRule="auto"/>
              <w:rPr>
                <w:sz w:val="20"/>
                <w:szCs w:val="20"/>
              </w:rPr>
            </w:pPr>
          </w:p>
        </w:tc>
      </w:tr>
      <w:tr w:rsidR="00BA0FD5" w14:paraId="3470BD7C" w14:textId="77777777">
        <w:trPr>
          <w:trHeight w:val="400"/>
        </w:trPr>
        <w:tc>
          <w:tcPr>
            <w:tcW w:w="1650" w:type="dxa"/>
            <w:tcMar>
              <w:top w:w="100" w:type="dxa"/>
              <w:left w:w="100" w:type="dxa"/>
              <w:bottom w:w="100" w:type="dxa"/>
              <w:right w:w="100" w:type="dxa"/>
            </w:tcMar>
          </w:tcPr>
          <w:p w14:paraId="5C0967BC" w14:textId="77777777" w:rsidR="00BA0FD5" w:rsidRDefault="00000000">
            <w:pPr>
              <w:widowControl w:val="0"/>
              <w:spacing w:line="240" w:lineRule="auto"/>
              <w:rPr>
                <w:sz w:val="20"/>
                <w:szCs w:val="20"/>
              </w:rPr>
            </w:pPr>
            <w:r>
              <w:rPr>
                <w:sz w:val="20"/>
                <w:szCs w:val="20"/>
              </w:rPr>
              <w:t>Share of low-temperature areas</w:t>
            </w:r>
          </w:p>
        </w:tc>
        <w:tc>
          <w:tcPr>
            <w:tcW w:w="1650" w:type="dxa"/>
            <w:tcMar>
              <w:top w:w="100" w:type="dxa"/>
              <w:left w:w="100" w:type="dxa"/>
              <w:bottom w:w="100" w:type="dxa"/>
              <w:right w:w="100" w:type="dxa"/>
            </w:tcMar>
          </w:tcPr>
          <w:p w14:paraId="6FDD71CF" w14:textId="77777777" w:rsidR="00BA0FD5" w:rsidRDefault="00000000">
            <w:pPr>
              <w:widowControl w:val="0"/>
              <w:spacing w:line="240" w:lineRule="auto"/>
              <w:rPr>
                <w:sz w:val="20"/>
                <w:szCs w:val="20"/>
              </w:rPr>
            </w:pPr>
            <w:r>
              <w:rPr>
                <w:sz w:val="20"/>
                <w:szCs w:val="20"/>
              </w:rPr>
              <w:t>Land surface temperature map</w:t>
            </w:r>
          </w:p>
        </w:tc>
        <w:tc>
          <w:tcPr>
            <w:tcW w:w="3870" w:type="dxa"/>
            <w:tcMar>
              <w:top w:w="100" w:type="dxa"/>
              <w:left w:w="100" w:type="dxa"/>
              <w:bottom w:w="100" w:type="dxa"/>
              <w:right w:w="100" w:type="dxa"/>
            </w:tcMar>
          </w:tcPr>
          <w:p w14:paraId="1D63FC3A" w14:textId="77777777" w:rsidR="00BA0FD5" w:rsidRDefault="00000000">
            <w:pPr>
              <w:widowControl w:val="0"/>
              <w:spacing w:line="240" w:lineRule="auto"/>
              <w:rPr>
                <w:sz w:val="20"/>
                <w:szCs w:val="20"/>
              </w:rPr>
            </w:pPr>
            <w:r>
              <w:rPr>
                <w:sz w:val="20"/>
                <w:szCs w:val="20"/>
              </w:rPr>
              <w:t>Percentage of low-temperature areas in the city. For each city, the mean LST is first calculated. Next, the 10 nearest neighboring cities are identified, and the mean LST of these neighboring cities is computed. The temperature threshold is then defined as: T</w:t>
            </w:r>
            <w:r>
              <w:rPr>
                <w:sz w:val="20"/>
                <w:szCs w:val="20"/>
                <w:vertAlign w:val="subscript"/>
              </w:rPr>
              <w:t>thr</w:t>
            </w:r>
            <w:r>
              <w:rPr>
                <w:sz w:val="20"/>
                <w:szCs w:val="20"/>
              </w:rPr>
              <w:t>=</w:t>
            </w:r>
            <m:oMath>
              <m:bar>
                <m:barPr>
                  <m:ctrlPr>
                    <w:rPr>
                      <w:rFonts w:ascii="Cambria Math" w:hAnsi="Cambria Math"/>
                      <w:sz w:val="20"/>
                      <w:szCs w:val="20"/>
                    </w:rPr>
                  </m:ctrlPr>
                </m:barPr>
                <m:e>
                  <m:r>
                    <w:rPr>
                      <w:rFonts w:ascii="Cambria Math" w:hAnsi="Cambria Math"/>
                      <w:sz w:val="20"/>
                      <w:szCs w:val="20"/>
                    </w:rPr>
                    <m:t>T</m:t>
                  </m:r>
                </m:e>
              </m:bar>
            </m:oMath>
            <w:r>
              <w:rPr>
                <w:sz w:val="20"/>
                <w:szCs w:val="20"/>
                <w:vertAlign w:val="subscript"/>
              </w:rPr>
              <w:t xml:space="preserve">10 nearest neighbors </w:t>
            </w:r>
            <w:r>
              <w:rPr>
                <w:sz w:val="20"/>
                <w:szCs w:val="20"/>
              </w:rPr>
              <w:t>- 2σ</w:t>
            </w:r>
            <w:r>
              <w:rPr>
                <w:sz w:val="20"/>
                <w:szCs w:val="20"/>
                <w:vertAlign w:val="subscript"/>
              </w:rPr>
              <w:t xml:space="preserve">city, </w:t>
            </w:r>
            <w:r>
              <w:rPr>
                <w:sz w:val="20"/>
                <w:szCs w:val="20"/>
              </w:rPr>
              <w:t xml:space="preserve">where </w:t>
            </w:r>
            <m:oMath>
              <m:bar>
                <m:barPr>
                  <m:ctrlPr>
                    <w:rPr>
                      <w:rFonts w:ascii="Cambria Math" w:hAnsi="Cambria Math"/>
                      <w:sz w:val="20"/>
                      <w:szCs w:val="20"/>
                    </w:rPr>
                  </m:ctrlPr>
                </m:barPr>
                <m:e>
                  <m:r>
                    <w:rPr>
                      <w:rFonts w:ascii="Cambria Math" w:hAnsi="Cambria Math"/>
                      <w:sz w:val="20"/>
                      <w:szCs w:val="20"/>
                    </w:rPr>
                    <m:t>T</m:t>
                  </m:r>
                </m:e>
              </m:bar>
            </m:oMath>
            <w:r>
              <w:rPr>
                <w:sz w:val="20"/>
                <w:szCs w:val="20"/>
                <w:vertAlign w:val="subscript"/>
              </w:rPr>
              <w:t>10 nearest neighbors</w:t>
            </w:r>
            <w:r>
              <w:rPr>
                <w:sz w:val="20"/>
                <w:szCs w:val="20"/>
              </w:rPr>
              <w:t>​ denotes the average LST of the 10 nearest neighboring cities, and σ</w:t>
            </w:r>
            <w:r>
              <w:rPr>
                <w:sz w:val="20"/>
                <w:szCs w:val="20"/>
                <w:vertAlign w:val="subscript"/>
              </w:rPr>
              <w:t>city</w:t>
            </w:r>
            <w:r>
              <w:rPr>
                <w:sz w:val="20"/>
                <w:szCs w:val="20"/>
              </w:rPr>
              <w:t xml:space="preserve">​ represents the standard deviation of pixel-level temperatures within the analyzed city. </w:t>
            </w:r>
            <w:r>
              <w:rPr>
                <w:sz w:val="20"/>
                <w:szCs w:val="20"/>
              </w:rPr>
              <w:lastRenderedPageBreak/>
              <w:t>Pixels with temperatures exceeding this threshold are classified as high-temperature areas. The final indicator is expressed as the percentage of the city area covered by these pixels relative to the total city area.</w:t>
            </w:r>
          </w:p>
        </w:tc>
        <w:tc>
          <w:tcPr>
            <w:tcW w:w="1260" w:type="dxa"/>
            <w:tcMar>
              <w:top w:w="100" w:type="dxa"/>
              <w:left w:w="100" w:type="dxa"/>
              <w:bottom w:w="100" w:type="dxa"/>
              <w:right w:w="100" w:type="dxa"/>
            </w:tcMar>
          </w:tcPr>
          <w:p w14:paraId="1FCFF173" w14:textId="77777777" w:rsidR="00BA0FD5" w:rsidRDefault="00000000">
            <w:pPr>
              <w:widowControl w:val="0"/>
              <w:spacing w:line="240" w:lineRule="auto"/>
              <w:rPr>
                <w:sz w:val="20"/>
                <w:szCs w:val="20"/>
              </w:rPr>
            </w:pPr>
            <w:r>
              <w:rPr>
                <w:sz w:val="20"/>
                <w:szCs w:val="20"/>
              </w:rPr>
              <w:lastRenderedPageBreak/>
              <w:t>0.1</w:t>
            </w:r>
          </w:p>
        </w:tc>
        <w:tc>
          <w:tcPr>
            <w:tcW w:w="1305" w:type="dxa"/>
            <w:vMerge/>
            <w:tcMar>
              <w:top w:w="100" w:type="dxa"/>
              <w:left w:w="100" w:type="dxa"/>
              <w:bottom w:w="100" w:type="dxa"/>
              <w:right w:w="100" w:type="dxa"/>
            </w:tcMar>
          </w:tcPr>
          <w:p w14:paraId="076E7AFC" w14:textId="77777777" w:rsidR="00BA0FD5" w:rsidRDefault="00BA0FD5">
            <w:pPr>
              <w:widowControl w:val="0"/>
              <w:spacing w:line="240" w:lineRule="auto"/>
              <w:rPr>
                <w:sz w:val="20"/>
                <w:szCs w:val="20"/>
              </w:rPr>
            </w:pPr>
          </w:p>
        </w:tc>
      </w:tr>
      <w:tr w:rsidR="00BA0FD5" w14:paraId="1BD0D1EB" w14:textId="77777777">
        <w:trPr>
          <w:trHeight w:val="400"/>
        </w:trPr>
        <w:tc>
          <w:tcPr>
            <w:tcW w:w="1650" w:type="dxa"/>
            <w:tcMar>
              <w:top w:w="100" w:type="dxa"/>
              <w:left w:w="100" w:type="dxa"/>
              <w:bottom w:w="100" w:type="dxa"/>
              <w:right w:w="100" w:type="dxa"/>
            </w:tcMar>
          </w:tcPr>
          <w:p w14:paraId="642210C4" w14:textId="77777777" w:rsidR="00BA0FD5" w:rsidRDefault="00000000">
            <w:pPr>
              <w:widowControl w:val="0"/>
              <w:spacing w:line="240" w:lineRule="auto"/>
              <w:rPr>
                <w:sz w:val="20"/>
                <w:szCs w:val="20"/>
              </w:rPr>
            </w:pPr>
            <w:r>
              <w:rPr>
                <w:sz w:val="20"/>
                <w:szCs w:val="20"/>
              </w:rPr>
              <w:t>Water retention potential</w:t>
            </w:r>
          </w:p>
        </w:tc>
        <w:tc>
          <w:tcPr>
            <w:tcW w:w="1650" w:type="dxa"/>
            <w:tcMar>
              <w:top w:w="100" w:type="dxa"/>
              <w:left w:w="100" w:type="dxa"/>
              <w:bottom w:w="100" w:type="dxa"/>
              <w:right w:w="100" w:type="dxa"/>
            </w:tcMar>
          </w:tcPr>
          <w:p w14:paraId="09EA1D6D" w14:textId="77777777" w:rsidR="00BA0FD5" w:rsidRDefault="00000000">
            <w:pPr>
              <w:widowControl w:val="0"/>
              <w:spacing w:line="240" w:lineRule="auto"/>
              <w:rPr>
                <w:sz w:val="20"/>
                <w:szCs w:val="20"/>
              </w:rPr>
            </w:pPr>
            <w:r>
              <w:rPr>
                <w:sz w:val="20"/>
                <w:szCs w:val="20"/>
              </w:rPr>
              <w:t>Land cover map</w:t>
            </w:r>
          </w:p>
        </w:tc>
        <w:tc>
          <w:tcPr>
            <w:tcW w:w="3870" w:type="dxa"/>
            <w:tcMar>
              <w:top w:w="100" w:type="dxa"/>
              <w:left w:w="100" w:type="dxa"/>
              <w:bottom w:w="100" w:type="dxa"/>
              <w:right w:w="100" w:type="dxa"/>
            </w:tcMar>
          </w:tcPr>
          <w:p w14:paraId="7577997D" w14:textId="77777777" w:rsidR="00BA0FD5" w:rsidRDefault="00000000">
            <w:pPr>
              <w:widowControl w:val="0"/>
              <w:spacing w:line="240" w:lineRule="auto"/>
              <w:rPr>
                <w:sz w:val="20"/>
                <w:szCs w:val="20"/>
              </w:rPr>
            </w:pPr>
            <w:r>
              <w:rPr>
                <w:sz w:val="20"/>
                <w:szCs w:val="20"/>
              </w:rPr>
              <w:t>Sum of retention coefficients for the land cover classes present in the city</w:t>
            </w:r>
          </w:p>
        </w:tc>
        <w:tc>
          <w:tcPr>
            <w:tcW w:w="1260" w:type="dxa"/>
            <w:tcMar>
              <w:top w:w="100" w:type="dxa"/>
              <w:left w:w="100" w:type="dxa"/>
              <w:bottom w:w="100" w:type="dxa"/>
              <w:right w:w="100" w:type="dxa"/>
            </w:tcMar>
          </w:tcPr>
          <w:p w14:paraId="084847C6" w14:textId="77777777" w:rsidR="00BA0FD5" w:rsidRDefault="00000000">
            <w:pPr>
              <w:widowControl w:val="0"/>
              <w:spacing w:line="240" w:lineRule="auto"/>
              <w:rPr>
                <w:sz w:val="20"/>
                <w:szCs w:val="20"/>
              </w:rPr>
            </w:pPr>
            <w:r>
              <w:rPr>
                <w:sz w:val="20"/>
                <w:szCs w:val="20"/>
              </w:rPr>
              <w:t>0.6</w:t>
            </w:r>
          </w:p>
        </w:tc>
        <w:tc>
          <w:tcPr>
            <w:tcW w:w="1305" w:type="dxa"/>
            <w:vMerge w:val="restart"/>
            <w:tcMar>
              <w:top w:w="100" w:type="dxa"/>
              <w:left w:w="100" w:type="dxa"/>
              <w:bottom w:w="100" w:type="dxa"/>
              <w:right w:w="100" w:type="dxa"/>
            </w:tcMar>
          </w:tcPr>
          <w:p w14:paraId="57F6380B" w14:textId="77777777" w:rsidR="00BA0FD5" w:rsidRDefault="00000000">
            <w:pPr>
              <w:widowControl w:val="0"/>
              <w:spacing w:line="240" w:lineRule="auto"/>
              <w:rPr>
                <w:sz w:val="20"/>
                <w:szCs w:val="20"/>
              </w:rPr>
            </w:pPr>
            <w:r>
              <w:rPr>
                <w:sz w:val="20"/>
                <w:szCs w:val="20"/>
              </w:rPr>
              <w:t>Water conditions</w:t>
            </w:r>
          </w:p>
        </w:tc>
      </w:tr>
      <w:tr w:rsidR="00BA0FD5" w14:paraId="415CAFF1" w14:textId="77777777">
        <w:trPr>
          <w:trHeight w:val="400"/>
        </w:trPr>
        <w:tc>
          <w:tcPr>
            <w:tcW w:w="1650" w:type="dxa"/>
            <w:tcMar>
              <w:top w:w="100" w:type="dxa"/>
              <w:left w:w="100" w:type="dxa"/>
              <w:bottom w:w="100" w:type="dxa"/>
              <w:right w:w="100" w:type="dxa"/>
            </w:tcMar>
          </w:tcPr>
          <w:p w14:paraId="3511E8A2" w14:textId="77777777" w:rsidR="00BA0FD5" w:rsidRDefault="00000000">
            <w:pPr>
              <w:widowControl w:val="0"/>
              <w:spacing w:line="240" w:lineRule="auto"/>
              <w:rPr>
                <w:sz w:val="20"/>
                <w:szCs w:val="20"/>
              </w:rPr>
            </w:pPr>
            <w:r>
              <w:rPr>
                <w:sz w:val="20"/>
                <w:szCs w:val="20"/>
              </w:rPr>
              <w:t>Share of wetland ecosystems</w:t>
            </w:r>
          </w:p>
        </w:tc>
        <w:tc>
          <w:tcPr>
            <w:tcW w:w="1650" w:type="dxa"/>
            <w:tcMar>
              <w:top w:w="100" w:type="dxa"/>
              <w:left w:w="100" w:type="dxa"/>
              <w:bottom w:w="100" w:type="dxa"/>
              <w:right w:w="100" w:type="dxa"/>
            </w:tcMar>
          </w:tcPr>
          <w:p w14:paraId="0B16548A" w14:textId="77777777" w:rsidR="00BA0FD5" w:rsidRDefault="00000000">
            <w:pPr>
              <w:widowControl w:val="0"/>
              <w:spacing w:line="240" w:lineRule="auto"/>
              <w:rPr>
                <w:sz w:val="20"/>
                <w:szCs w:val="20"/>
              </w:rPr>
            </w:pPr>
            <w:r>
              <w:rPr>
                <w:sz w:val="20"/>
                <w:szCs w:val="20"/>
              </w:rPr>
              <w:t>Land cover map</w:t>
            </w:r>
          </w:p>
        </w:tc>
        <w:tc>
          <w:tcPr>
            <w:tcW w:w="3870" w:type="dxa"/>
            <w:tcMar>
              <w:top w:w="100" w:type="dxa"/>
              <w:left w:w="100" w:type="dxa"/>
              <w:bottom w:w="100" w:type="dxa"/>
              <w:right w:w="100" w:type="dxa"/>
            </w:tcMar>
          </w:tcPr>
          <w:p w14:paraId="72B5E2C2" w14:textId="77777777" w:rsidR="00BA0FD5" w:rsidRDefault="00000000">
            <w:pPr>
              <w:widowControl w:val="0"/>
              <w:spacing w:line="240" w:lineRule="auto"/>
              <w:rPr>
                <w:sz w:val="20"/>
                <w:szCs w:val="20"/>
              </w:rPr>
            </w:pPr>
            <w:r>
              <w:rPr>
                <w:sz w:val="20"/>
                <w:szCs w:val="20"/>
              </w:rPr>
              <w:t>Percentage of the city’s area covered by water bodies and wetlands</w:t>
            </w:r>
          </w:p>
        </w:tc>
        <w:tc>
          <w:tcPr>
            <w:tcW w:w="1260" w:type="dxa"/>
            <w:tcMar>
              <w:top w:w="100" w:type="dxa"/>
              <w:left w:w="100" w:type="dxa"/>
              <w:bottom w:w="100" w:type="dxa"/>
              <w:right w:w="100" w:type="dxa"/>
            </w:tcMar>
          </w:tcPr>
          <w:p w14:paraId="46C92842" w14:textId="77777777" w:rsidR="00BA0FD5" w:rsidRDefault="00000000">
            <w:pPr>
              <w:widowControl w:val="0"/>
              <w:spacing w:line="240" w:lineRule="auto"/>
              <w:rPr>
                <w:sz w:val="20"/>
                <w:szCs w:val="20"/>
              </w:rPr>
            </w:pPr>
            <w:r>
              <w:rPr>
                <w:sz w:val="20"/>
                <w:szCs w:val="20"/>
              </w:rPr>
              <w:t>0.4</w:t>
            </w:r>
          </w:p>
        </w:tc>
        <w:tc>
          <w:tcPr>
            <w:tcW w:w="1305" w:type="dxa"/>
            <w:vMerge/>
            <w:tcMar>
              <w:top w:w="100" w:type="dxa"/>
              <w:left w:w="100" w:type="dxa"/>
              <w:bottom w:w="100" w:type="dxa"/>
              <w:right w:w="100" w:type="dxa"/>
            </w:tcMar>
          </w:tcPr>
          <w:p w14:paraId="2E1A4884" w14:textId="77777777" w:rsidR="00BA0FD5" w:rsidRDefault="00BA0FD5">
            <w:pPr>
              <w:widowControl w:val="0"/>
              <w:spacing w:line="240" w:lineRule="auto"/>
              <w:rPr>
                <w:sz w:val="20"/>
                <w:szCs w:val="20"/>
              </w:rPr>
            </w:pPr>
          </w:p>
        </w:tc>
      </w:tr>
      <w:tr w:rsidR="00BA0FD5" w14:paraId="2D57B7C9" w14:textId="77777777">
        <w:trPr>
          <w:trHeight w:val="684"/>
        </w:trPr>
        <w:tc>
          <w:tcPr>
            <w:tcW w:w="1650" w:type="dxa"/>
            <w:tcMar>
              <w:top w:w="100" w:type="dxa"/>
              <w:left w:w="100" w:type="dxa"/>
              <w:bottom w:w="100" w:type="dxa"/>
              <w:right w:w="100" w:type="dxa"/>
            </w:tcMar>
          </w:tcPr>
          <w:p w14:paraId="1BD68F0A" w14:textId="77777777" w:rsidR="00BA0FD5" w:rsidRDefault="00000000">
            <w:pPr>
              <w:widowControl w:val="0"/>
              <w:spacing w:line="240" w:lineRule="auto"/>
              <w:rPr>
                <w:sz w:val="20"/>
                <w:szCs w:val="20"/>
              </w:rPr>
            </w:pPr>
            <w:r>
              <w:rPr>
                <w:sz w:val="20"/>
                <w:szCs w:val="20"/>
              </w:rPr>
              <w:t>Biologically active area</w:t>
            </w:r>
          </w:p>
        </w:tc>
        <w:tc>
          <w:tcPr>
            <w:tcW w:w="1650" w:type="dxa"/>
            <w:tcMar>
              <w:top w:w="100" w:type="dxa"/>
              <w:left w:w="100" w:type="dxa"/>
              <w:bottom w:w="100" w:type="dxa"/>
              <w:right w:w="100" w:type="dxa"/>
            </w:tcMar>
          </w:tcPr>
          <w:p w14:paraId="113A27FC" w14:textId="77777777" w:rsidR="00BA0FD5" w:rsidRDefault="00000000">
            <w:pPr>
              <w:widowControl w:val="0"/>
              <w:spacing w:line="240" w:lineRule="auto"/>
              <w:rPr>
                <w:sz w:val="20"/>
                <w:szCs w:val="20"/>
              </w:rPr>
            </w:pPr>
            <w:r>
              <w:rPr>
                <w:sz w:val="20"/>
                <w:szCs w:val="20"/>
              </w:rPr>
              <w:t>Land cover map</w:t>
            </w:r>
          </w:p>
        </w:tc>
        <w:tc>
          <w:tcPr>
            <w:tcW w:w="3870" w:type="dxa"/>
            <w:tcMar>
              <w:top w:w="100" w:type="dxa"/>
              <w:left w:w="100" w:type="dxa"/>
              <w:bottom w:w="100" w:type="dxa"/>
              <w:right w:w="100" w:type="dxa"/>
            </w:tcMar>
          </w:tcPr>
          <w:p w14:paraId="7F1CAE9B" w14:textId="77777777" w:rsidR="00BA0FD5" w:rsidRDefault="00000000">
            <w:pPr>
              <w:widowControl w:val="0"/>
              <w:spacing w:line="240" w:lineRule="auto"/>
              <w:rPr>
                <w:sz w:val="20"/>
                <w:szCs w:val="20"/>
              </w:rPr>
            </w:pPr>
            <w:r>
              <w:rPr>
                <w:sz w:val="20"/>
                <w:szCs w:val="20"/>
              </w:rPr>
              <w:t>Percentage of areas covered by biologically active surfaces in the city</w:t>
            </w:r>
          </w:p>
        </w:tc>
        <w:tc>
          <w:tcPr>
            <w:tcW w:w="1260" w:type="dxa"/>
            <w:tcMar>
              <w:top w:w="100" w:type="dxa"/>
              <w:left w:w="100" w:type="dxa"/>
              <w:bottom w:w="100" w:type="dxa"/>
              <w:right w:w="100" w:type="dxa"/>
            </w:tcMar>
          </w:tcPr>
          <w:p w14:paraId="0A637C21" w14:textId="77777777" w:rsidR="00BA0FD5" w:rsidRDefault="00000000">
            <w:pPr>
              <w:widowControl w:val="0"/>
              <w:spacing w:line="240" w:lineRule="auto"/>
              <w:rPr>
                <w:sz w:val="20"/>
                <w:szCs w:val="20"/>
              </w:rPr>
            </w:pPr>
            <w:r>
              <w:rPr>
                <w:sz w:val="20"/>
                <w:szCs w:val="20"/>
              </w:rPr>
              <w:t>1.0</w:t>
            </w:r>
          </w:p>
        </w:tc>
        <w:tc>
          <w:tcPr>
            <w:tcW w:w="1305" w:type="dxa"/>
            <w:tcMar>
              <w:top w:w="100" w:type="dxa"/>
              <w:left w:w="100" w:type="dxa"/>
              <w:bottom w:w="100" w:type="dxa"/>
              <w:right w:w="100" w:type="dxa"/>
            </w:tcMar>
          </w:tcPr>
          <w:p w14:paraId="259DAF38" w14:textId="77777777" w:rsidR="00BA0FD5" w:rsidRDefault="00000000">
            <w:pPr>
              <w:widowControl w:val="0"/>
              <w:spacing w:line="240" w:lineRule="auto"/>
              <w:rPr>
                <w:sz w:val="20"/>
                <w:szCs w:val="20"/>
              </w:rPr>
            </w:pPr>
            <w:r>
              <w:rPr>
                <w:sz w:val="20"/>
                <w:szCs w:val="20"/>
              </w:rPr>
              <w:t>Surface permeability</w:t>
            </w:r>
          </w:p>
        </w:tc>
      </w:tr>
      <w:tr w:rsidR="00BA0FD5" w14:paraId="184D317A" w14:textId="77777777">
        <w:trPr>
          <w:trHeight w:val="400"/>
        </w:trPr>
        <w:tc>
          <w:tcPr>
            <w:tcW w:w="1650" w:type="dxa"/>
            <w:tcMar>
              <w:top w:w="100" w:type="dxa"/>
              <w:left w:w="100" w:type="dxa"/>
              <w:bottom w:w="100" w:type="dxa"/>
              <w:right w:w="100" w:type="dxa"/>
            </w:tcMar>
          </w:tcPr>
          <w:p w14:paraId="19325597" w14:textId="77777777" w:rsidR="00BA0FD5" w:rsidRDefault="00000000">
            <w:pPr>
              <w:widowControl w:val="0"/>
              <w:spacing w:line="240" w:lineRule="auto"/>
              <w:rPr>
                <w:sz w:val="20"/>
                <w:szCs w:val="20"/>
              </w:rPr>
            </w:pPr>
            <w:r>
              <w:rPr>
                <w:sz w:val="20"/>
                <w:szCs w:val="20"/>
              </w:rPr>
              <w:t>Ecological connectivity</w:t>
            </w:r>
          </w:p>
        </w:tc>
        <w:tc>
          <w:tcPr>
            <w:tcW w:w="1650" w:type="dxa"/>
            <w:tcMar>
              <w:top w:w="100" w:type="dxa"/>
              <w:left w:w="100" w:type="dxa"/>
              <w:bottom w:w="100" w:type="dxa"/>
              <w:right w:w="100" w:type="dxa"/>
            </w:tcMar>
          </w:tcPr>
          <w:p w14:paraId="3B0A44D8" w14:textId="77777777" w:rsidR="00BA0FD5" w:rsidRDefault="00000000">
            <w:pPr>
              <w:widowControl w:val="0"/>
              <w:spacing w:line="240" w:lineRule="auto"/>
              <w:rPr>
                <w:sz w:val="20"/>
                <w:szCs w:val="20"/>
              </w:rPr>
            </w:pPr>
            <w:r>
              <w:rPr>
                <w:sz w:val="20"/>
                <w:szCs w:val="20"/>
              </w:rPr>
              <w:t>Land cover map</w:t>
            </w:r>
          </w:p>
        </w:tc>
        <w:tc>
          <w:tcPr>
            <w:tcW w:w="3870" w:type="dxa"/>
            <w:tcMar>
              <w:top w:w="100" w:type="dxa"/>
              <w:left w:w="100" w:type="dxa"/>
              <w:bottom w:w="100" w:type="dxa"/>
              <w:right w:w="100" w:type="dxa"/>
            </w:tcMar>
          </w:tcPr>
          <w:p w14:paraId="13FFD4C9" w14:textId="77777777" w:rsidR="00BA0FD5" w:rsidRDefault="00000000">
            <w:pPr>
              <w:widowControl w:val="0"/>
              <w:spacing w:line="240" w:lineRule="auto"/>
              <w:rPr>
                <w:sz w:val="20"/>
                <w:szCs w:val="20"/>
              </w:rPr>
            </w:pPr>
            <w:r>
              <w:rPr>
                <w:sz w:val="20"/>
                <w:szCs w:val="20"/>
              </w:rPr>
              <w:t xml:space="preserve">Degree of connectivity between vegetation patches in the city. Methodology based on </w:t>
            </w:r>
            <w:r>
              <w:rPr>
                <w:i/>
                <w:iCs/>
                <w:sz w:val="20"/>
                <w:szCs w:val="20"/>
              </w:rPr>
              <w:t xml:space="preserve">Indicator 2: Connectivity Measures or Ecological Networks to Counter Fragmentation from the Singapore Index on Cities’ Biodiversity </w:t>
            </w:r>
            <w:r>
              <w:rPr>
                <w:sz w:val="20"/>
                <w:szCs w:val="20"/>
              </w:rPr>
              <w:t>(Chan et al. 2021)</w:t>
            </w:r>
          </w:p>
        </w:tc>
        <w:tc>
          <w:tcPr>
            <w:tcW w:w="1260" w:type="dxa"/>
            <w:tcMar>
              <w:top w:w="100" w:type="dxa"/>
              <w:left w:w="100" w:type="dxa"/>
              <w:bottom w:w="100" w:type="dxa"/>
              <w:right w:w="100" w:type="dxa"/>
            </w:tcMar>
          </w:tcPr>
          <w:p w14:paraId="5892CCFA" w14:textId="77777777" w:rsidR="00BA0FD5" w:rsidRDefault="00000000">
            <w:pPr>
              <w:widowControl w:val="0"/>
              <w:spacing w:line="240" w:lineRule="auto"/>
              <w:rPr>
                <w:sz w:val="20"/>
                <w:szCs w:val="20"/>
              </w:rPr>
            </w:pPr>
            <w:r>
              <w:rPr>
                <w:sz w:val="20"/>
                <w:szCs w:val="20"/>
              </w:rPr>
              <w:t>0.2</w:t>
            </w:r>
          </w:p>
        </w:tc>
        <w:tc>
          <w:tcPr>
            <w:tcW w:w="1305" w:type="dxa"/>
            <w:vMerge w:val="restart"/>
            <w:tcMar>
              <w:top w:w="100" w:type="dxa"/>
              <w:left w:w="100" w:type="dxa"/>
              <w:bottom w:w="100" w:type="dxa"/>
              <w:right w:w="100" w:type="dxa"/>
            </w:tcMar>
          </w:tcPr>
          <w:p w14:paraId="12CE883C" w14:textId="77777777" w:rsidR="00BA0FD5" w:rsidRDefault="00000000">
            <w:pPr>
              <w:widowControl w:val="0"/>
              <w:spacing w:line="240" w:lineRule="auto"/>
              <w:rPr>
                <w:sz w:val="20"/>
                <w:szCs w:val="20"/>
              </w:rPr>
            </w:pPr>
            <w:r>
              <w:rPr>
                <w:sz w:val="20"/>
                <w:szCs w:val="20"/>
              </w:rPr>
              <w:t>Vegetation diversity</w:t>
            </w:r>
          </w:p>
        </w:tc>
      </w:tr>
      <w:tr w:rsidR="00BA0FD5" w14:paraId="646FD1F8" w14:textId="77777777">
        <w:trPr>
          <w:trHeight w:val="400"/>
        </w:trPr>
        <w:tc>
          <w:tcPr>
            <w:tcW w:w="1650" w:type="dxa"/>
            <w:tcMar>
              <w:top w:w="100" w:type="dxa"/>
              <w:left w:w="100" w:type="dxa"/>
              <w:bottom w:w="100" w:type="dxa"/>
              <w:right w:w="100" w:type="dxa"/>
            </w:tcMar>
          </w:tcPr>
          <w:p w14:paraId="646FDA54" w14:textId="77777777" w:rsidR="00BA0FD5" w:rsidRDefault="00000000">
            <w:pPr>
              <w:widowControl w:val="0"/>
              <w:spacing w:line="240" w:lineRule="auto"/>
              <w:rPr>
                <w:sz w:val="20"/>
                <w:szCs w:val="20"/>
              </w:rPr>
            </w:pPr>
            <w:r>
              <w:rPr>
                <w:sz w:val="20"/>
                <w:szCs w:val="20"/>
              </w:rPr>
              <w:t>Vegetation diversity</w:t>
            </w:r>
          </w:p>
        </w:tc>
        <w:tc>
          <w:tcPr>
            <w:tcW w:w="1650" w:type="dxa"/>
            <w:tcMar>
              <w:top w:w="100" w:type="dxa"/>
              <w:left w:w="100" w:type="dxa"/>
              <w:bottom w:w="100" w:type="dxa"/>
              <w:right w:w="100" w:type="dxa"/>
            </w:tcMar>
          </w:tcPr>
          <w:p w14:paraId="3217AD85" w14:textId="77777777" w:rsidR="00BA0FD5" w:rsidRDefault="00000000">
            <w:pPr>
              <w:widowControl w:val="0"/>
              <w:spacing w:line="240" w:lineRule="auto"/>
              <w:rPr>
                <w:sz w:val="20"/>
                <w:szCs w:val="20"/>
              </w:rPr>
            </w:pPr>
            <w:r>
              <w:rPr>
                <w:sz w:val="20"/>
                <w:szCs w:val="20"/>
              </w:rPr>
              <w:t>Land cover map</w:t>
            </w:r>
          </w:p>
        </w:tc>
        <w:tc>
          <w:tcPr>
            <w:tcW w:w="3870" w:type="dxa"/>
            <w:tcMar>
              <w:top w:w="100" w:type="dxa"/>
              <w:left w:w="100" w:type="dxa"/>
              <w:bottom w:w="100" w:type="dxa"/>
              <w:right w:w="100" w:type="dxa"/>
            </w:tcMar>
          </w:tcPr>
          <w:p w14:paraId="51689B76" w14:textId="77777777" w:rsidR="00BA0FD5" w:rsidRDefault="00000000">
            <w:pPr>
              <w:widowControl w:val="0"/>
              <w:spacing w:line="240" w:lineRule="auto"/>
              <w:rPr>
                <w:sz w:val="20"/>
                <w:szCs w:val="20"/>
              </w:rPr>
            </w:pPr>
            <w:r>
              <w:rPr>
                <w:sz w:val="20"/>
                <w:szCs w:val="20"/>
              </w:rPr>
              <w:t>The Gini–Simpson diversity index (Simpson 1949) represents the diversity of vegetation classes in the city. It is calculated using the area and number of patches of each vegetation class within a hexagonal grid with a side length of approximately 200 m</w:t>
            </w:r>
          </w:p>
        </w:tc>
        <w:tc>
          <w:tcPr>
            <w:tcW w:w="1260" w:type="dxa"/>
            <w:tcMar>
              <w:top w:w="100" w:type="dxa"/>
              <w:left w:w="100" w:type="dxa"/>
              <w:bottom w:w="100" w:type="dxa"/>
              <w:right w:w="100" w:type="dxa"/>
            </w:tcMar>
          </w:tcPr>
          <w:p w14:paraId="3520D708" w14:textId="77777777" w:rsidR="00BA0FD5" w:rsidRDefault="00000000">
            <w:pPr>
              <w:widowControl w:val="0"/>
              <w:spacing w:line="240" w:lineRule="auto"/>
              <w:rPr>
                <w:sz w:val="20"/>
                <w:szCs w:val="20"/>
              </w:rPr>
            </w:pPr>
            <w:r>
              <w:rPr>
                <w:sz w:val="20"/>
                <w:szCs w:val="20"/>
              </w:rPr>
              <w:t>0.1</w:t>
            </w:r>
          </w:p>
        </w:tc>
        <w:tc>
          <w:tcPr>
            <w:tcW w:w="1305" w:type="dxa"/>
            <w:vMerge/>
            <w:tcMar>
              <w:top w:w="100" w:type="dxa"/>
              <w:left w:w="100" w:type="dxa"/>
              <w:bottom w:w="100" w:type="dxa"/>
              <w:right w:w="100" w:type="dxa"/>
            </w:tcMar>
          </w:tcPr>
          <w:p w14:paraId="47E62D97" w14:textId="77777777" w:rsidR="00BA0FD5" w:rsidRDefault="00BA0FD5">
            <w:pPr>
              <w:widowControl w:val="0"/>
              <w:spacing w:line="240" w:lineRule="auto"/>
              <w:rPr>
                <w:sz w:val="20"/>
                <w:szCs w:val="20"/>
              </w:rPr>
            </w:pPr>
          </w:p>
        </w:tc>
      </w:tr>
      <w:tr w:rsidR="00BA0FD5" w14:paraId="1B5C1114" w14:textId="77777777">
        <w:trPr>
          <w:trHeight w:val="400"/>
        </w:trPr>
        <w:tc>
          <w:tcPr>
            <w:tcW w:w="1650" w:type="dxa"/>
            <w:tcMar>
              <w:top w:w="100" w:type="dxa"/>
              <w:left w:w="100" w:type="dxa"/>
              <w:bottom w:w="100" w:type="dxa"/>
              <w:right w:w="100" w:type="dxa"/>
            </w:tcMar>
          </w:tcPr>
          <w:p w14:paraId="30D70850" w14:textId="77777777" w:rsidR="00BA0FD5" w:rsidRDefault="00000000">
            <w:pPr>
              <w:widowControl w:val="0"/>
              <w:spacing w:line="240" w:lineRule="auto"/>
              <w:rPr>
                <w:sz w:val="20"/>
                <w:szCs w:val="20"/>
              </w:rPr>
            </w:pPr>
            <w:r>
              <w:rPr>
                <w:sz w:val="20"/>
                <w:szCs w:val="20"/>
              </w:rPr>
              <w:t>Vegetation richness</w:t>
            </w:r>
          </w:p>
        </w:tc>
        <w:tc>
          <w:tcPr>
            <w:tcW w:w="1650" w:type="dxa"/>
            <w:tcMar>
              <w:top w:w="100" w:type="dxa"/>
              <w:left w:w="100" w:type="dxa"/>
              <w:bottom w:w="100" w:type="dxa"/>
              <w:right w:w="100" w:type="dxa"/>
            </w:tcMar>
          </w:tcPr>
          <w:p w14:paraId="4466AA25" w14:textId="77777777" w:rsidR="00BA0FD5" w:rsidRDefault="00000000">
            <w:pPr>
              <w:widowControl w:val="0"/>
              <w:spacing w:line="240" w:lineRule="auto"/>
              <w:rPr>
                <w:sz w:val="20"/>
                <w:szCs w:val="20"/>
              </w:rPr>
            </w:pPr>
            <w:r>
              <w:rPr>
                <w:sz w:val="20"/>
                <w:szCs w:val="20"/>
              </w:rPr>
              <w:t>Land cover map</w:t>
            </w:r>
          </w:p>
        </w:tc>
        <w:tc>
          <w:tcPr>
            <w:tcW w:w="3870" w:type="dxa"/>
            <w:tcMar>
              <w:top w:w="100" w:type="dxa"/>
              <w:left w:w="100" w:type="dxa"/>
              <w:bottom w:w="100" w:type="dxa"/>
              <w:right w:w="100" w:type="dxa"/>
            </w:tcMar>
          </w:tcPr>
          <w:p w14:paraId="319A396A" w14:textId="77777777" w:rsidR="00BA0FD5" w:rsidRDefault="00000000">
            <w:pPr>
              <w:widowControl w:val="0"/>
              <w:spacing w:line="240" w:lineRule="auto"/>
              <w:rPr>
                <w:sz w:val="20"/>
                <w:szCs w:val="20"/>
              </w:rPr>
            </w:pPr>
            <w:r>
              <w:rPr>
                <w:sz w:val="20"/>
                <w:szCs w:val="20"/>
              </w:rPr>
              <w:t>The average number of vegetation classes within a hexagonal grid with a side length of approximately 200 m</w:t>
            </w:r>
          </w:p>
        </w:tc>
        <w:tc>
          <w:tcPr>
            <w:tcW w:w="1260" w:type="dxa"/>
            <w:tcMar>
              <w:top w:w="100" w:type="dxa"/>
              <w:left w:w="100" w:type="dxa"/>
              <w:bottom w:w="100" w:type="dxa"/>
              <w:right w:w="100" w:type="dxa"/>
            </w:tcMar>
          </w:tcPr>
          <w:p w14:paraId="04996789" w14:textId="77777777" w:rsidR="00BA0FD5" w:rsidRDefault="00000000">
            <w:pPr>
              <w:widowControl w:val="0"/>
              <w:spacing w:line="240" w:lineRule="auto"/>
              <w:rPr>
                <w:sz w:val="20"/>
                <w:szCs w:val="20"/>
              </w:rPr>
            </w:pPr>
            <w:r>
              <w:rPr>
                <w:sz w:val="20"/>
                <w:szCs w:val="20"/>
              </w:rPr>
              <w:t>0.5</w:t>
            </w:r>
          </w:p>
        </w:tc>
        <w:tc>
          <w:tcPr>
            <w:tcW w:w="1305" w:type="dxa"/>
            <w:vMerge/>
            <w:tcMar>
              <w:top w:w="100" w:type="dxa"/>
              <w:left w:w="100" w:type="dxa"/>
              <w:bottom w:w="100" w:type="dxa"/>
              <w:right w:w="100" w:type="dxa"/>
            </w:tcMar>
          </w:tcPr>
          <w:p w14:paraId="0C25A5F3" w14:textId="77777777" w:rsidR="00BA0FD5" w:rsidRDefault="00BA0FD5">
            <w:pPr>
              <w:widowControl w:val="0"/>
              <w:spacing w:line="240" w:lineRule="auto"/>
              <w:rPr>
                <w:sz w:val="20"/>
                <w:szCs w:val="20"/>
              </w:rPr>
            </w:pPr>
          </w:p>
        </w:tc>
      </w:tr>
      <w:tr w:rsidR="00BA0FD5" w14:paraId="01958DE3" w14:textId="77777777">
        <w:trPr>
          <w:trHeight w:val="400"/>
        </w:trPr>
        <w:tc>
          <w:tcPr>
            <w:tcW w:w="1650" w:type="dxa"/>
            <w:tcMar>
              <w:top w:w="100" w:type="dxa"/>
              <w:left w:w="100" w:type="dxa"/>
              <w:bottom w:w="100" w:type="dxa"/>
              <w:right w:w="100" w:type="dxa"/>
            </w:tcMar>
          </w:tcPr>
          <w:p w14:paraId="3607EFC7" w14:textId="77777777" w:rsidR="00BA0FD5" w:rsidRDefault="00000000">
            <w:pPr>
              <w:widowControl w:val="0"/>
              <w:spacing w:line="240" w:lineRule="auto"/>
              <w:rPr>
                <w:sz w:val="20"/>
                <w:szCs w:val="20"/>
              </w:rPr>
            </w:pPr>
            <w:r>
              <w:rPr>
                <w:sz w:val="20"/>
                <w:szCs w:val="20"/>
              </w:rPr>
              <w:t>High biodiversity</w:t>
            </w:r>
          </w:p>
        </w:tc>
        <w:tc>
          <w:tcPr>
            <w:tcW w:w="1650" w:type="dxa"/>
            <w:tcMar>
              <w:top w:w="100" w:type="dxa"/>
              <w:left w:w="100" w:type="dxa"/>
              <w:bottom w:w="100" w:type="dxa"/>
              <w:right w:w="100" w:type="dxa"/>
            </w:tcMar>
          </w:tcPr>
          <w:p w14:paraId="69867204" w14:textId="77777777" w:rsidR="00BA0FD5" w:rsidRDefault="00000000">
            <w:pPr>
              <w:widowControl w:val="0"/>
              <w:spacing w:line="240" w:lineRule="auto"/>
              <w:rPr>
                <w:sz w:val="20"/>
                <w:szCs w:val="20"/>
              </w:rPr>
            </w:pPr>
            <w:r>
              <w:rPr>
                <w:sz w:val="20"/>
                <w:szCs w:val="20"/>
              </w:rPr>
              <w:t>Land cover map</w:t>
            </w:r>
          </w:p>
        </w:tc>
        <w:tc>
          <w:tcPr>
            <w:tcW w:w="3870" w:type="dxa"/>
            <w:tcMar>
              <w:top w:w="100" w:type="dxa"/>
              <w:left w:w="100" w:type="dxa"/>
              <w:bottom w:w="100" w:type="dxa"/>
              <w:right w:w="100" w:type="dxa"/>
            </w:tcMar>
          </w:tcPr>
          <w:p w14:paraId="65D103A7" w14:textId="77777777" w:rsidR="00BA0FD5" w:rsidRDefault="00000000">
            <w:pPr>
              <w:widowControl w:val="0"/>
              <w:spacing w:line="240" w:lineRule="auto"/>
              <w:rPr>
                <w:sz w:val="20"/>
                <w:szCs w:val="20"/>
              </w:rPr>
            </w:pPr>
            <w:r>
              <w:rPr>
                <w:sz w:val="20"/>
                <w:szCs w:val="20"/>
              </w:rPr>
              <w:t>Percentage of land cover classes in the city with potentially high biodiversity</w:t>
            </w:r>
          </w:p>
        </w:tc>
        <w:tc>
          <w:tcPr>
            <w:tcW w:w="1260" w:type="dxa"/>
            <w:tcMar>
              <w:top w:w="100" w:type="dxa"/>
              <w:left w:w="100" w:type="dxa"/>
              <w:bottom w:w="100" w:type="dxa"/>
              <w:right w:w="100" w:type="dxa"/>
            </w:tcMar>
          </w:tcPr>
          <w:p w14:paraId="1E8615B5" w14:textId="77777777" w:rsidR="00BA0FD5" w:rsidRDefault="00000000">
            <w:pPr>
              <w:widowControl w:val="0"/>
              <w:spacing w:line="240" w:lineRule="auto"/>
              <w:rPr>
                <w:sz w:val="20"/>
                <w:szCs w:val="20"/>
              </w:rPr>
            </w:pPr>
            <w:r>
              <w:rPr>
                <w:sz w:val="20"/>
                <w:szCs w:val="20"/>
              </w:rPr>
              <w:t>0.2</w:t>
            </w:r>
          </w:p>
        </w:tc>
        <w:tc>
          <w:tcPr>
            <w:tcW w:w="1305" w:type="dxa"/>
            <w:vMerge/>
            <w:tcMar>
              <w:top w:w="100" w:type="dxa"/>
              <w:left w:w="100" w:type="dxa"/>
              <w:bottom w:w="100" w:type="dxa"/>
              <w:right w:w="100" w:type="dxa"/>
            </w:tcMar>
          </w:tcPr>
          <w:p w14:paraId="18FB73C8" w14:textId="77777777" w:rsidR="00BA0FD5" w:rsidRDefault="00BA0FD5">
            <w:pPr>
              <w:widowControl w:val="0"/>
              <w:spacing w:line="240" w:lineRule="auto"/>
              <w:rPr>
                <w:sz w:val="20"/>
                <w:szCs w:val="20"/>
              </w:rPr>
            </w:pPr>
          </w:p>
        </w:tc>
      </w:tr>
    </w:tbl>
    <w:p w14:paraId="6170E2DA" w14:textId="77777777" w:rsidR="00BA0FD5" w:rsidRDefault="00BA0FD5"/>
    <w:sectPr w:rsidR="00BA0FD5">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2B9EC0AA-0541-EB48-8EAE-71ABA4CF6BEF}"/>
    <w:embedBold r:id="rId2" w:fontKey="{E4A7B7B0-7522-9E4D-8512-D923051D8E81}"/>
    <w:embedItalic r:id="rId3" w:fontKey="{AB6EE4CB-3F5B-8B4F-98FF-01CFEBDA67C2}"/>
  </w:font>
  <w:font w:name="Times New Roman">
    <w:panose1 w:val="02020603050405020304"/>
    <w:charset w:val="00"/>
    <w:family w:val="roman"/>
    <w:pitch w:val="variable"/>
    <w:sig w:usb0="E0002EFF" w:usb1="C000785B" w:usb2="00000009" w:usb3="00000000" w:csb0="000001FF" w:csb1="00000000"/>
    <w:embedRegular r:id="rId4" w:fontKey="{2FB2A5D6-03B5-524C-9985-AC88AB73E592}"/>
  </w:font>
  <w:font w:name="Cambria Math">
    <w:panose1 w:val="02040503050406030204"/>
    <w:charset w:val="00"/>
    <w:family w:val="roman"/>
    <w:pitch w:val="variable"/>
    <w:sig w:usb0="E00002FF" w:usb1="420024FF" w:usb2="00000000" w:usb3="00000000" w:csb0="0000019F" w:csb1="00000000"/>
    <w:embedRegular r:id="rId5" w:fontKey="{1A41D3DB-F211-E246-AE6E-398AC8402EEC}"/>
    <w:embedItalic r:id="rId6" w:fontKey="{70B9FC90-5FEF-5447-86AF-20E83FD9CFD4}"/>
  </w:font>
  <w:font w:name="Calibri">
    <w:panose1 w:val="020F0502020204030204"/>
    <w:charset w:val="00"/>
    <w:family w:val="swiss"/>
    <w:pitch w:val="variable"/>
    <w:sig w:usb0="E0002AFF" w:usb1="C000247B" w:usb2="00000009" w:usb3="00000000" w:csb0="000001FF" w:csb1="00000000"/>
    <w:embedRegular r:id="rId7" w:fontKey="{3C71657C-1371-8444-A7D6-B6D20E9C7290}"/>
  </w:font>
  <w:font w:name="Cambria">
    <w:panose1 w:val="02040503050406030204"/>
    <w:charset w:val="00"/>
    <w:family w:val="roman"/>
    <w:notTrueType/>
    <w:pitch w:val="variable"/>
    <w:sig w:usb0="E00002FF" w:usb1="400004FF" w:usb2="00000000" w:usb3="00000000" w:csb0="0000019F" w:csb1="00000000"/>
    <w:embedRegular r:id="rId8" w:fontKey="{B8362BD0-1B0A-6A44-921B-167745436A9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D5"/>
    <w:rsid w:val="00887FCE"/>
    <w:rsid w:val="00B41B70"/>
    <w:rsid w:val="00BA0F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57111A5A"/>
  <w15:docId w15:val="{91550C67-2754-704C-AA69-B5EA5212C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539</Words>
  <Characters>3238</Characters>
  <Application>Microsoft Office Word</Application>
  <DocSecurity>0</DocSecurity>
  <Lines>26</Lines>
  <Paragraphs>7</Paragraphs>
  <ScaleCrop>false</ScaleCrop>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Dominik Kopeć</cp:lastModifiedBy>
  <cp:revision>2</cp:revision>
  <dcterms:created xsi:type="dcterms:W3CDTF">2026-05-26T16:12:00Z</dcterms:created>
  <dcterms:modified xsi:type="dcterms:W3CDTF">2026-05-26T16:12:00Z</dcterms:modified>
</cp:coreProperties>
</file>