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42318" w14:textId="77777777" w:rsidR="00FD06C9" w:rsidRDefault="00000000">
      <w:pPr>
        <w:spacing w:after="60" w:line="280" w:lineRule="auto"/>
      </w:pPr>
      <w:r>
        <w:rPr>
          <w:b/>
          <w:bCs/>
          <w:sz w:val="30"/>
          <w:szCs w:val="30"/>
        </w:rPr>
        <w:t>SQUIRE 2.0 Reporting Checklist</w:t>
      </w:r>
    </w:p>
    <w:p w14:paraId="5383473A" w14:textId="77777777" w:rsidR="00FD06C9" w:rsidRDefault="00000000">
      <w:pPr>
        <w:spacing w:after="60"/>
      </w:pPr>
      <w:r>
        <w:rPr>
          <w:i/>
          <w:iCs/>
          <w:sz w:val="18"/>
          <w:szCs w:val="18"/>
        </w:rPr>
        <w:t>Manuscript: “Impact of an Unrestricted Clear Liquid Fasting Protocol on Pediatric Perioperative Outcomes” — prepared for Pediatric Surgery International</w:t>
      </w:r>
    </w:p>
    <w:p w14:paraId="6E507168" w14:textId="0C79E185" w:rsidR="00FD06C9" w:rsidRDefault="00000000">
      <w:pPr>
        <w:spacing w:after="120" w:line="276" w:lineRule="auto"/>
      </w:pPr>
      <w:r>
        <w:rPr>
          <w:b/>
          <w:bCs/>
        </w:rPr>
        <w:t xml:space="preserve">Standards for Quality Improvement Reporting Excellence (SQUIRE 2.0). </w:t>
      </w: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3960"/>
        <w:gridCol w:w="3760"/>
      </w:tblGrid>
      <w:tr w:rsidR="00FD06C9" w14:paraId="7AF65B3B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shd w:val="clear" w:color="auto" w:fill="DDDDD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1B8DDB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SQUIRE 2.0 item</w:t>
            </w:r>
          </w:p>
        </w:tc>
        <w:tc>
          <w:tcPr>
            <w:tcW w:w="3960" w:type="dxa"/>
            <w:shd w:val="clear" w:color="auto" w:fill="DDDDD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1DD3C3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Item description (abbreviated)</w:t>
            </w:r>
          </w:p>
        </w:tc>
        <w:tc>
          <w:tcPr>
            <w:tcW w:w="3760" w:type="dxa"/>
            <w:shd w:val="clear" w:color="auto" w:fill="DDDDD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51CB70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Location in manuscript</w:t>
            </w:r>
          </w:p>
        </w:tc>
      </w:tr>
      <w:tr w:rsidR="00FD06C9" w14:paraId="7EE60C33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16D494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Title and Abstract</w:t>
            </w:r>
          </w:p>
        </w:tc>
      </w:tr>
      <w:tr w:rsidR="00FD06C9" w14:paraId="2342B420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6F09F2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1. Title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DD67D8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Indicates the manuscript concerns an initiative to improve healthcare.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E5CEF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Title (page 1 and title page). The study is identified as a four-phase interventional quality-improvement initiative in the Abstract and in Methods – Study design and setting.</w:t>
            </w:r>
          </w:p>
        </w:tc>
      </w:tr>
      <w:tr w:rsidR="00FD06C9" w14:paraId="6E048689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04FEF9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2. Abstract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B67E02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Provides indexing information and summarizes key information in a structured format.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0CED9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Abstract, structured as Purpose, Methods, Results, Conclusion (per the PSI format).</w:t>
            </w:r>
          </w:p>
        </w:tc>
      </w:tr>
      <w:tr w:rsidR="00FD06C9" w14:paraId="1FEE8559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AA2231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Introduction — Why did you start?</w:t>
            </w:r>
          </w:p>
        </w:tc>
      </w:tr>
      <w:tr w:rsidR="00FD06C9" w14:paraId="25FCA098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7E6F1E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3. Problem description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7985D3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Nature and significance of the local problem.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0FC4C6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 xml:space="preserve">Introduction, paragraphs 2–3 (prolonged preoperative fasting suspected at AIC </w:t>
            </w:r>
            <w:proofErr w:type="spellStart"/>
            <w:r>
              <w:rPr>
                <w:sz w:val="18"/>
                <w:szCs w:val="18"/>
              </w:rPr>
              <w:t>Kijabe</w:t>
            </w:r>
            <w:proofErr w:type="spellEnd"/>
            <w:r>
              <w:rPr>
                <w:sz w:val="18"/>
                <w:szCs w:val="18"/>
              </w:rPr>
              <w:t xml:space="preserve"> Hospital, and its consequences).</w:t>
            </w:r>
          </w:p>
        </w:tc>
      </w:tr>
      <w:tr w:rsidR="00FD06C9" w14:paraId="326B8F8C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A9B7B1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4. Available knowledge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F8DE49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What is currently known, including relevant previous studies.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748052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Introduction, paragraphs 1–2 (6-4-2, 1-hour and 0-hour policies; prior outcomes).</w:t>
            </w:r>
          </w:p>
        </w:tc>
      </w:tr>
      <w:tr w:rsidR="00FD06C9" w14:paraId="05493541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6ECBD1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5. Rationale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8E0896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Frameworks/assumptions used to develop the intervention and why it was expected to work.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EC3F67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Introduction, paragraph 1 (gastric-emptying physiology) and final paragraph (explicit hypothesis).</w:t>
            </w:r>
          </w:p>
        </w:tc>
      </w:tr>
      <w:tr w:rsidR="00FD06C9" w14:paraId="5684F2DD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8CA221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6. Specific aims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34A994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Purpose of the project and of this report.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5A4139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Introduction, final paragraph (aim and hypothesis).</w:t>
            </w:r>
          </w:p>
        </w:tc>
      </w:tr>
      <w:tr w:rsidR="00FD06C9" w14:paraId="6F648585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65D9E2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Methods — What did you do?</w:t>
            </w:r>
          </w:p>
        </w:tc>
      </w:tr>
      <w:tr w:rsidR="00FD06C9" w14:paraId="12D656B0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633806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7. Context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692FFF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Contextual elements important at the outset.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63202E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Introduction, paragraph 3; Methods – Study design and setting (tertiary mission hospital, rural Kenya, ~2,000 pediatric surgical cases/year, resource-limited).</w:t>
            </w:r>
          </w:p>
        </w:tc>
      </w:tr>
      <w:tr w:rsidR="00FD06C9" w14:paraId="5989E524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C84679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8. Intervention(s)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44740F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Description in reproducible detail; the team involved.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255710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Methods – Study phases (four-phase protocol; Phase 2 calibrated volumes by age; designated theatre-reception staff member; data collectors).</w:t>
            </w:r>
          </w:p>
        </w:tc>
      </w:tr>
      <w:tr w:rsidR="00FD06C9" w14:paraId="212EC9B3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28783D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9. Study of the intervention(s)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996DB1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Approach to assessing impact and to attributing outcomes to the intervention.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11D540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Methods – Study design and setting; Statistical analysis (baseline observational phase plus three sequential interventional phases; demographic-adjusted GLM).</w:t>
            </w:r>
          </w:p>
        </w:tc>
      </w:tr>
      <w:tr w:rsidR="00FD06C9" w14:paraId="1E16DB26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FC9C84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10. Measures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0D282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Measures, operational definitions, validity/reliability; completeness and accuracy of data.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CB3757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 xml:space="preserve">Methods – Outcomes (operational definitions of each outcome; validated </w:t>
            </w:r>
            <w:proofErr w:type="spellStart"/>
            <w:r>
              <w:rPr>
                <w:sz w:val="18"/>
                <w:szCs w:val="18"/>
              </w:rPr>
              <w:t>mYPAS</w:t>
            </w:r>
            <w:proofErr w:type="spellEnd"/>
            <w:r>
              <w:rPr>
                <w:sz w:val="18"/>
                <w:szCs w:val="18"/>
              </w:rPr>
              <w:t xml:space="preserve"> instrument); Data collection and management (</w:t>
            </w:r>
            <w:proofErr w:type="spellStart"/>
            <w:r>
              <w:rPr>
                <w:sz w:val="18"/>
                <w:szCs w:val="18"/>
              </w:rPr>
              <w:t>REDCap</w:t>
            </w:r>
            <w:proofErr w:type="spellEnd"/>
            <w:r>
              <w:rPr>
                <w:sz w:val="18"/>
                <w:szCs w:val="18"/>
              </w:rPr>
              <w:t xml:space="preserve"> database; missing-data handling).</w:t>
            </w:r>
          </w:p>
        </w:tc>
      </w:tr>
      <w:tr w:rsidR="00FD06C9" w14:paraId="781DA366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E212C6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11. Analysis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F72B32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Methods used to draw inferences; understanding variation, including the effect of time.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40DAFA" w14:textId="3D53A884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Methods – Statistical analysis (Kruskal–Wallis, chi-square/Fisher, GLM; study phase analyzed as the sequential/time variable).</w:t>
            </w:r>
          </w:p>
        </w:tc>
      </w:tr>
      <w:tr w:rsidR="00FD06C9" w14:paraId="507407F6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12868E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12. Ethical considerations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C0AADB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Ethical aspects, formal ethics review, and conflicts of interest.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679961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 xml:space="preserve">Methods – Ethical considerations (institutional ethics-committee approval; informed consent; </w:t>
            </w:r>
            <w:r>
              <w:rPr>
                <w:sz w:val="18"/>
                <w:szCs w:val="18"/>
              </w:rPr>
              <w:lastRenderedPageBreak/>
              <w:t>predefined safety-review plan); Declarations – Competing interests.</w:t>
            </w:r>
          </w:p>
        </w:tc>
      </w:tr>
      <w:tr w:rsidR="00FD06C9" w14:paraId="6C47A944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624D99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lastRenderedPageBreak/>
              <w:t>Results — What did you find?</w:t>
            </w:r>
          </w:p>
        </w:tc>
      </w:tr>
      <w:tr w:rsidR="00FD06C9" w14:paraId="36F64FBE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3588DF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13. Results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D08D87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Evolution of the intervention; process and outcome measures; contextual elements; associations; unintended consequences; missing data.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D26EE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Results, all subsections; Tables 1–4; Fig. 1. Includes the across-phase case-mix shift (contextual element), the Phase 3 thirst rebound (unintended consequence), and patient flow / missing-data accounting.</w:t>
            </w:r>
          </w:p>
        </w:tc>
      </w:tr>
      <w:tr w:rsidR="00FD06C9" w14:paraId="09DD7A70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5DF71B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Discussion — What does it mean?</w:t>
            </w:r>
          </w:p>
        </w:tc>
      </w:tr>
      <w:tr w:rsidR="00FD06C9" w14:paraId="1D3A3209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AED3F0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14. Summary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0548F9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Key findings relative to the aims; strengths of the project.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CD476E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Discussion, paragraph 1; Conclusion (feasibility and a simple, low-cost workflow change as strengths).</w:t>
            </w:r>
          </w:p>
        </w:tc>
      </w:tr>
      <w:tr w:rsidR="00FD06C9" w14:paraId="0C9D0FEF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9E4C66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15. Interpretation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E5C9AF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Nature of the association; comparison with other work; impact; reasons for unexpected results; trade-offs.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77163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Discussion, paragraphs 1–4 (literature comparison, patient-experience and workflow impact, explanation of the thirst rebound); Conclusion (staff-time trade-off).</w:t>
            </w:r>
          </w:p>
        </w:tc>
      </w:tr>
      <w:tr w:rsidR="00FD06C9" w14:paraId="7C4E2E84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78FB5A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16. Limitations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4F4FA9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Limits to generalizability; threats to internal validity; efforts to address them.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AFE76D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Discussion – Limitations (underpowered for aspiration; non-randomized sequential design; case-mix confounding; single-center generalizability; missing data).</w:t>
            </w:r>
          </w:p>
        </w:tc>
      </w:tr>
      <w:tr w:rsidR="00FD06C9" w14:paraId="5BA93EF5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5B69B3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17. Conclusions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F2D9A8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Usefulness; sustainability; potential for spread; implications for practice and study; next steps.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94F5DF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Conclusion (sustainability and transferability of the low-cost workflow change; need for adequately powered multicenter studies; day-before caregiver communication as a next step).</w:t>
            </w:r>
          </w:p>
        </w:tc>
      </w:tr>
      <w:tr w:rsidR="00FD06C9" w14:paraId="04A6491A" w14:textId="77777777" w:rsidTr="007912E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E119C5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Other information</w:t>
            </w:r>
          </w:p>
        </w:tc>
      </w:tr>
      <w:tr w:rsidR="00FD06C9" w14:paraId="6EEBCC31" w14:textId="77777777">
        <w:tblPrEx>
          <w:tblCellMar>
            <w:top w:w="0" w:type="dxa"/>
            <w:bottom w:w="0" w:type="dxa"/>
          </w:tblCellMar>
        </w:tblPrEx>
        <w:tc>
          <w:tcPr>
            <w:tcW w:w="164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4F1633" w14:textId="77777777" w:rsidR="00FD06C9" w:rsidRDefault="00000000">
            <w:pPr>
              <w:spacing w:line="256" w:lineRule="auto"/>
            </w:pPr>
            <w:r>
              <w:rPr>
                <w:b/>
                <w:bCs/>
                <w:sz w:val="18"/>
                <w:szCs w:val="18"/>
              </w:rPr>
              <w:t>18. Funding</w:t>
            </w:r>
          </w:p>
        </w:tc>
        <w:tc>
          <w:tcPr>
            <w:tcW w:w="39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13A5BA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Sources of funding and the role of any funder.</w:t>
            </w:r>
          </w:p>
        </w:tc>
        <w:tc>
          <w:tcPr>
            <w:tcW w:w="3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C9AC82" w14:textId="77777777" w:rsidR="00FD06C9" w:rsidRDefault="00000000">
            <w:pPr>
              <w:spacing w:line="256" w:lineRule="auto"/>
            </w:pPr>
            <w:r>
              <w:rPr>
                <w:sz w:val="18"/>
                <w:szCs w:val="18"/>
              </w:rPr>
              <w:t>Declarations – Funding; Title page (no funding received; no funder role).</w:t>
            </w:r>
          </w:p>
        </w:tc>
      </w:tr>
    </w:tbl>
    <w:p w14:paraId="57235D67" w14:textId="77777777" w:rsidR="00FD06C9" w:rsidRDefault="00000000">
      <w:pPr>
        <w:spacing w:after="120" w:line="276" w:lineRule="auto"/>
      </w:pPr>
      <w:r>
        <w:rPr>
          <w:b/>
          <w:bCs/>
        </w:rPr>
        <w:t xml:space="preserve">Reference. </w:t>
      </w:r>
      <w:r>
        <w:rPr>
          <w:sz w:val="18"/>
          <w:szCs w:val="18"/>
        </w:rPr>
        <w:t xml:space="preserve">Ogrinc G, Davies L, Goodman D, </w:t>
      </w:r>
      <w:proofErr w:type="spellStart"/>
      <w:r>
        <w:rPr>
          <w:sz w:val="18"/>
          <w:szCs w:val="18"/>
        </w:rPr>
        <w:t>Batalden</w:t>
      </w:r>
      <w:proofErr w:type="spellEnd"/>
      <w:r>
        <w:rPr>
          <w:sz w:val="18"/>
          <w:szCs w:val="18"/>
        </w:rPr>
        <w:t xml:space="preserve"> P, Davidoff F, Stevens D (2016) SQUIRE 2.0 (Standards for </w:t>
      </w:r>
      <w:proofErr w:type="spellStart"/>
      <w:r>
        <w:rPr>
          <w:sz w:val="18"/>
          <w:szCs w:val="18"/>
        </w:rPr>
        <w:t>QUality</w:t>
      </w:r>
      <w:proofErr w:type="spellEnd"/>
      <w:r>
        <w:rPr>
          <w:sz w:val="18"/>
          <w:szCs w:val="18"/>
        </w:rPr>
        <w:t xml:space="preserve"> Improvement Reporting Excellence): revised publication guidelines from a detailed consensus process. BMJ Qual Saf 25:986–992.</w:t>
      </w:r>
    </w:p>
    <w:sectPr w:rsidR="00FD06C9">
      <w:pgSz w:w="12240" w:h="15840"/>
      <w:pgMar w:top="1296" w:right="1296" w:bottom="1296" w:left="129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78D2"/>
    <w:multiLevelType w:val="hybridMultilevel"/>
    <w:tmpl w:val="E0441846"/>
    <w:lvl w:ilvl="0" w:tplc="93F4692A">
      <w:start w:val="1"/>
      <w:numFmt w:val="bullet"/>
      <w:lvlText w:val="●"/>
      <w:lvlJc w:val="left"/>
      <w:pPr>
        <w:ind w:left="720" w:hanging="360"/>
      </w:pPr>
    </w:lvl>
    <w:lvl w:ilvl="1" w:tplc="04709564">
      <w:start w:val="1"/>
      <w:numFmt w:val="bullet"/>
      <w:lvlText w:val="○"/>
      <w:lvlJc w:val="left"/>
      <w:pPr>
        <w:ind w:left="1440" w:hanging="360"/>
      </w:pPr>
    </w:lvl>
    <w:lvl w:ilvl="2" w:tplc="BEBCD314">
      <w:start w:val="1"/>
      <w:numFmt w:val="bullet"/>
      <w:lvlText w:val="■"/>
      <w:lvlJc w:val="left"/>
      <w:pPr>
        <w:ind w:left="2160" w:hanging="360"/>
      </w:pPr>
    </w:lvl>
    <w:lvl w:ilvl="3" w:tplc="4FFE233E">
      <w:start w:val="1"/>
      <w:numFmt w:val="bullet"/>
      <w:lvlText w:val="●"/>
      <w:lvlJc w:val="left"/>
      <w:pPr>
        <w:ind w:left="2880" w:hanging="360"/>
      </w:pPr>
    </w:lvl>
    <w:lvl w:ilvl="4" w:tplc="62FE1C16">
      <w:start w:val="1"/>
      <w:numFmt w:val="bullet"/>
      <w:lvlText w:val="○"/>
      <w:lvlJc w:val="left"/>
      <w:pPr>
        <w:ind w:left="3600" w:hanging="360"/>
      </w:pPr>
    </w:lvl>
    <w:lvl w:ilvl="5" w:tplc="DF8A44B2">
      <w:start w:val="1"/>
      <w:numFmt w:val="bullet"/>
      <w:lvlText w:val="■"/>
      <w:lvlJc w:val="left"/>
      <w:pPr>
        <w:ind w:left="4320" w:hanging="360"/>
      </w:pPr>
    </w:lvl>
    <w:lvl w:ilvl="6" w:tplc="D4FA1AEA">
      <w:start w:val="1"/>
      <w:numFmt w:val="bullet"/>
      <w:lvlText w:val="●"/>
      <w:lvlJc w:val="left"/>
      <w:pPr>
        <w:ind w:left="5040" w:hanging="360"/>
      </w:pPr>
    </w:lvl>
    <w:lvl w:ilvl="7" w:tplc="FC701C26">
      <w:start w:val="1"/>
      <w:numFmt w:val="bullet"/>
      <w:lvlText w:val="●"/>
      <w:lvlJc w:val="left"/>
      <w:pPr>
        <w:ind w:left="5760" w:hanging="360"/>
      </w:pPr>
    </w:lvl>
    <w:lvl w:ilvl="8" w:tplc="246C9F8A">
      <w:start w:val="1"/>
      <w:numFmt w:val="bullet"/>
      <w:lvlText w:val="●"/>
      <w:lvlJc w:val="left"/>
      <w:pPr>
        <w:ind w:left="6480" w:hanging="360"/>
      </w:pPr>
    </w:lvl>
  </w:abstractNum>
  <w:num w:numId="1" w16cid:durableId="1243995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6C9"/>
    <w:rsid w:val="00075A6D"/>
    <w:rsid w:val="007912E5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673E"/>
  <w15:docId w15:val="{1EF7BCA8-66F2-4A1C-870C-10679D84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Mina, Alexander Sherif</cp:lastModifiedBy>
  <cp:revision>2</cp:revision>
  <dcterms:created xsi:type="dcterms:W3CDTF">2026-05-25T14:12:00Z</dcterms:created>
  <dcterms:modified xsi:type="dcterms:W3CDTF">2026-05-25T14:34:00Z</dcterms:modified>
</cp:coreProperties>
</file>