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1CC47" w14:textId="77777777" w:rsidR="002463E2" w:rsidRPr="00E50AAB" w:rsidRDefault="002463E2" w:rsidP="002463E2">
      <w:pPr>
        <w:spacing w:line="240" w:lineRule="auto"/>
        <w:jc w:val="both"/>
        <w:rPr>
          <w:b/>
          <w:bCs/>
          <w:color w:val="000000" w:themeColor="text1"/>
        </w:rPr>
      </w:pPr>
      <w:r w:rsidRPr="00E50AAB">
        <w:rPr>
          <w:b/>
          <w:bCs/>
          <w:color w:val="000000" w:themeColor="text1"/>
        </w:rPr>
        <w:t>Appendix A. Construction of the Digital Financial Development Index (FIN_DEV)</w:t>
      </w:r>
    </w:p>
    <w:p w14:paraId="50069D4E" w14:textId="77777777" w:rsidR="002463E2" w:rsidRPr="00E50AAB" w:rsidRDefault="002463E2" w:rsidP="002463E2">
      <w:pPr>
        <w:spacing w:line="240" w:lineRule="auto"/>
        <w:jc w:val="both"/>
        <w:rPr>
          <w:b/>
          <w:bCs/>
          <w:color w:val="000000" w:themeColor="text1"/>
        </w:rPr>
      </w:pPr>
    </w:p>
    <w:p w14:paraId="28CD8730" w14:textId="77777777" w:rsidR="002463E2" w:rsidRPr="00E50AAB" w:rsidRDefault="002463E2" w:rsidP="002463E2">
      <w:pPr>
        <w:spacing w:line="240" w:lineRule="auto"/>
        <w:jc w:val="both"/>
        <w:rPr>
          <w:b/>
          <w:bCs/>
          <w:color w:val="000000" w:themeColor="text1"/>
        </w:rPr>
      </w:pPr>
      <w:r w:rsidRPr="00E50AAB">
        <w:rPr>
          <w:b/>
          <w:bCs/>
          <w:color w:val="000000" w:themeColor="text1"/>
        </w:rPr>
        <w:t>A1. Conceptual Definition</w:t>
      </w:r>
    </w:p>
    <w:p w14:paraId="6FC80BB6" w14:textId="77777777" w:rsidR="002463E2" w:rsidRPr="00E50AAB" w:rsidRDefault="002463E2" w:rsidP="002463E2">
      <w:pPr>
        <w:spacing w:line="240" w:lineRule="auto"/>
        <w:jc w:val="both"/>
        <w:rPr>
          <w:color w:val="000000" w:themeColor="text1"/>
        </w:rPr>
      </w:pPr>
      <w:r w:rsidRPr="00E50AAB">
        <w:rPr>
          <w:color w:val="000000" w:themeColor="text1"/>
        </w:rPr>
        <w:t>The Digital Financial Development Index (FIN_DEV) is constructed to capture the expansion of digital financial services and financial technology adoption in Indonesia. The index focuses on access-enhancing financial channels, including digital payments and digital banking usage, and is designed to remain conceptually distinct from traditional bank-based financial intermediation, which is captured separately by the CREDIT variable in the main analysis.</w:t>
      </w:r>
    </w:p>
    <w:p w14:paraId="687625B3" w14:textId="77777777" w:rsidR="002463E2" w:rsidRPr="00E50AAB" w:rsidRDefault="002463E2" w:rsidP="002463E2">
      <w:pPr>
        <w:spacing w:line="240" w:lineRule="auto"/>
        <w:jc w:val="both"/>
        <w:rPr>
          <w:color w:val="000000" w:themeColor="text1"/>
        </w:rPr>
      </w:pPr>
      <w:r w:rsidRPr="00E50AAB">
        <w:rPr>
          <w:color w:val="000000" w:themeColor="text1"/>
        </w:rPr>
        <w:t>The index reflects three key dimensions of digital financial development:</w:t>
      </w:r>
    </w:p>
    <w:p w14:paraId="1791231D" w14:textId="77777777" w:rsidR="002463E2" w:rsidRPr="00E50AAB" w:rsidRDefault="002463E2" w:rsidP="002463E2">
      <w:pPr>
        <w:pStyle w:val="ListParagraph"/>
        <w:numPr>
          <w:ilvl w:val="0"/>
          <w:numId w:val="1"/>
        </w:numPr>
        <w:spacing w:line="240" w:lineRule="auto"/>
        <w:jc w:val="both"/>
        <w:rPr>
          <w:b/>
          <w:bCs/>
          <w:color w:val="000000" w:themeColor="text1"/>
        </w:rPr>
      </w:pPr>
      <w:r w:rsidRPr="00E50AAB">
        <w:rPr>
          <w:b/>
          <w:bCs/>
          <w:color w:val="000000" w:themeColor="text1"/>
        </w:rPr>
        <w:t>Digital payment activity</w:t>
      </w:r>
    </w:p>
    <w:p w14:paraId="35FCD645" w14:textId="77777777" w:rsidR="002463E2" w:rsidRPr="00E50AAB" w:rsidRDefault="002463E2" w:rsidP="002463E2">
      <w:pPr>
        <w:pStyle w:val="ListParagraph"/>
        <w:numPr>
          <w:ilvl w:val="0"/>
          <w:numId w:val="1"/>
        </w:numPr>
        <w:spacing w:line="240" w:lineRule="auto"/>
        <w:jc w:val="both"/>
        <w:rPr>
          <w:b/>
          <w:bCs/>
          <w:color w:val="000000" w:themeColor="text1"/>
        </w:rPr>
      </w:pPr>
      <w:r w:rsidRPr="00E50AAB">
        <w:rPr>
          <w:b/>
          <w:bCs/>
          <w:color w:val="000000" w:themeColor="text1"/>
        </w:rPr>
        <w:t>Digital banking usage</w:t>
      </w:r>
    </w:p>
    <w:p w14:paraId="3FB4DA86" w14:textId="77777777" w:rsidR="002463E2" w:rsidRPr="00E50AAB" w:rsidRDefault="002463E2" w:rsidP="002463E2">
      <w:pPr>
        <w:pStyle w:val="ListParagraph"/>
        <w:numPr>
          <w:ilvl w:val="0"/>
          <w:numId w:val="1"/>
        </w:numPr>
        <w:spacing w:line="240" w:lineRule="auto"/>
        <w:jc w:val="both"/>
        <w:rPr>
          <w:b/>
          <w:bCs/>
          <w:color w:val="000000" w:themeColor="text1"/>
        </w:rPr>
      </w:pPr>
      <w:r w:rsidRPr="00E50AAB">
        <w:rPr>
          <w:b/>
          <w:bCs/>
          <w:color w:val="000000" w:themeColor="text1"/>
        </w:rPr>
        <w:t>Fintech ecosystem development (where data availability permits)</w:t>
      </w:r>
    </w:p>
    <w:p w14:paraId="18302F22" w14:textId="77777777" w:rsidR="002463E2" w:rsidRPr="00E50AAB" w:rsidRDefault="002463E2" w:rsidP="002463E2">
      <w:pPr>
        <w:spacing w:line="240" w:lineRule="auto"/>
        <w:jc w:val="both"/>
        <w:rPr>
          <w:b/>
          <w:bCs/>
          <w:color w:val="000000" w:themeColor="text1"/>
        </w:rPr>
      </w:pPr>
    </w:p>
    <w:p w14:paraId="0B8CE6C6" w14:textId="77777777" w:rsidR="002463E2" w:rsidRPr="00E50AAB" w:rsidRDefault="002463E2" w:rsidP="002463E2">
      <w:pPr>
        <w:spacing w:line="240" w:lineRule="auto"/>
        <w:jc w:val="both"/>
        <w:rPr>
          <w:b/>
          <w:bCs/>
          <w:color w:val="000000" w:themeColor="text1"/>
        </w:rPr>
      </w:pPr>
      <w:r w:rsidRPr="00E50AAB">
        <w:rPr>
          <w:b/>
          <w:bCs/>
          <w:color w:val="000000" w:themeColor="text1"/>
        </w:rPr>
        <w:t>A2. Data Sources</w:t>
      </w:r>
    </w:p>
    <w:p w14:paraId="377DEEFB" w14:textId="77777777" w:rsidR="002463E2" w:rsidRPr="00E50AAB" w:rsidRDefault="002463E2" w:rsidP="002463E2">
      <w:pPr>
        <w:spacing w:line="240" w:lineRule="auto"/>
        <w:jc w:val="both"/>
        <w:rPr>
          <w:color w:val="000000" w:themeColor="text1"/>
        </w:rPr>
      </w:pPr>
      <w:r w:rsidRPr="00E50AAB">
        <w:rPr>
          <w:color w:val="000000" w:themeColor="text1"/>
        </w:rPr>
        <w:t>All indicators used in constructing FIN_DEV are obtained from official and publicly available sources:</w:t>
      </w:r>
    </w:p>
    <w:p w14:paraId="7545DDBC" w14:textId="77777777" w:rsidR="002463E2" w:rsidRPr="00E50AAB" w:rsidRDefault="002463E2" w:rsidP="002463E2">
      <w:pPr>
        <w:pStyle w:val="ListParagraph"/>
        <w:numPr>
          <w:ilvl w:val="0"/>
          <w:numId w:val="2"/>
        </w:numPr>
        <w:spacing w:line="240" w:lineRule="auto"/>
        <w:jc w:val="both"/>
        <w:rPr>
          <w:color w:val="000000" w:themeColor="text1"/>
        </w:rPr>
      </w:pPr>
      <w:r w:rsidRPr="00E50AAB">
        <w:rPr>
          <w:b/>
          <w:bCs/>
          <w:color w:val="000000" w:themeColor="text1"/>
        </w:rPr>
        <w:t>Bank Indonesia (BI)</w:t>
      </w:r>
      <w:r w:rsidRPr="00E50AAB">
        <w:rPr>
          <w:color w:val="000000" w:themeColor="text1"/>
        </w:rPr>
        <w:t xml:space="preserve"> – Payment System and Financial Market Infrastructure Statistic (PSFMI), providing data on electronic money transactions and digital payment systems.</w:t>
      </w:r>
    </w:p>
    <w:p w14:paraId="14586B3D" w14:textId="77777777" w:rsidR="002463E2" w:rsidRPr="00E50AAB" w:rsidRDefault="002463E2" w:rsidP="002463E2">
      <w:pPr>
        <w:pStyle w:val="ListParagraph"/>
        <w:numPr>
          <w:ilvl w:val="0"/>
          <w:numId w:val="2"/>
        </w:numPr>
        <w:spacing w:line="240" w:lineRule="auto"/>
        <w:jc w:val="both"/>
        <w:rPr>
          <w:color w:val="000000" w:themeColor="text1"/>
        </w:rPr>
      </w:pPr>
      <w:r w:rsidRPr="00E50AAB">
        <w:rPr>
          <w:b/>
          <w:bCs/>
          <w:color w:val="000000" w:themeColor="text1"/>
        </w:rPr>
        <w:t>Financial Service Authority (OJK)</w:t>
      </w:r>
      <w:r w:rsidRPr="00E50AAB">
        <w:rPr>
          <w:color w:val="000000" w:themeColor="text1"/>
        </w:rPr>
        <w:t xml:space="preserve"> – Indonesia Banking Statistics and Fintech Statistics, providing data on digital banking activity and fintech development.</w:t>
      </w:r>
    </w:p>
    <w:p w14:paraId="1F16B30B" w14:textId="77777777" w:rsidR="002463E2" w:rsidRPr="00E50AAB" w:rsidRDefault="002463E2" w:rsidP="002463E2">
      <w:pPr>
        <w:pStyle w:val="ListParagraph"/>
        <w:numPr>
          <w:ilvl w:val="0"/>
          <w:numId w:val="2"/>
        </w:numPr>
        <w:spacing w:line="240" w:lineRule="auto"/>
        <w:jc w:val="both"/>
        <w:rPr>
          <w:color w:val="000000" w:themeColor="text1"/>
        </w:rPr>
      </w:pPr>
      <w:r w:rsidRPr="00E50AAB">
        <w:rPr>
          <w:b/>
          <w:bCs/>
          <w:color w:val="000000" w:themeColor="text1"/>
        </w:rPr>
        <w:t>Statistics Indonesia (BPS)</w:t>
      </w:r>
      <w:r w:rsidRPr="00E50AAB">
        <w:rPr>
          <w:color w:val="000000" w:themeColor="text1"/>
        </w:rPr>
        <w:t xml:space="preserve"> – Consumer Price Index (CPI) and population data, used for deflation and scaling.</w:t>
      </w:r>
    </w:p>
    <w:p w14:paraId="44DF6318" w14:textId="77777777" w:rsidR="002463E2" w:rsidRPr="00E50AAB" w:rsidRDefault="002463E2" w:rsidP="002463E2">
      <w:pPr>
        <w:spacing w:line="240" w:lineRule="auto"/>
        <w:jc w:val="both"/>
        <w:rPr>
          <w:color w:val="000000" w:themeColor="text1"/>
        </w:rPr>
      </w:pPr>
    </w:p>
    <w:p w14:paraId="48E96F1A" w14:textId="77777777" w:rsidR="002463E2" w:rsidRPr="00E50AAB" w:rsidRDefault="002463E2" w:rsidP="002463E2">
      <w:pPr>
        <w:spacing w:line="240" w:lineRule="auto"/>
        <w:jc w:val="both"/>
        <w:rPr>
          <w:b/>
          <w:bCs/>
          <w:color w:val="000000" w:themeColor="text1"/>
        </w:rPr>
      </w:pPr>
      <w:r w:rsidRPr="00E50AAB">
        <w:rPr>
          <w:b/>
          <w:bCs/>
          <w:color w:val="000000" w:themeColor="text1"/>
        </w:rPr>
        <w:t>A3. Data Processing and Transformation</w:t>
      </w:r>
    </w:p>
    <w:p w14:paraId="3E581B0D" w14:textId="77777777" w:rsidR="002463E2" w:rsidRPr="00E50AAB" w:rsidRDefault="002463E2" w:rsidP="002463E2">
      <w:pPr>
        <w:spacing w:line="240" w:lineRule="auto"/>
        <w:jc w:val="both"/>
        <w:rPr>
          <w:b/>
          <w:bCs/>
          <w:color w:val="000000" w:themeColor="text1"/>
        </w:rPr>
      </w:pPr>
      <w:r w:rsidRPr="00E50AAB">
        <w:rPr>
          <w:b/>
          <w:bCs/>
          <w:color w:val="000000" w:themeColor="text1"/>
        </w:rPr>
        <w:t>A3.1 Frequency Conversion</w:t>
      </w:r>
    </w:p>
    <w:p w14:paraId="55129D0F" w14:textId="77777777" w:rsidR="002463E2" w:rsidRPr="00E50AAB" w:rsidRDefault="002463E2" w:rsidP="002463E2">
      <w:pPr>
        <w:spacing w:line="240" w:lineRule="auto"/>
        <w:jc w:val="both"/>
        <w:rPr>
          <w:color w:val="000000" w:themeColor="text1"/>
        </w:rPr>
      </w:pPr>
      <w:r w:rsidRPr="00E50AAB">
        <w:rPr>
          <w:color w:val="000000" w:themeColor="text1"/>
        </w:rPr>
        <w:t>All indicators are converted to annual frequency as follows:</w:t>
      </w:r>
    </w:p>
    <w:p w14:paraId="46203266" w14:textId="77777777" w:rsidR="002463E2" w:rsidRPr="00E50AAB" w:rsidRDefault="002463E2" w:rsidP="002463E2">
      <w:pPr>
        <w:pStyle w:val="ListParagraph"/>
        <w:numPr>
          <w:ilvl w:val="0"/>
          <w:numId w:val="2"/>
        </w:numPr>
        <w:spacing w:line="240" w:lineRule="auto"/>
        <w:jc w:val="both"/>
        <w:rPr>
          <w:color w:val="000000" w:themeColor="text1"/>
        </w:rPr>
      </w:pPr>
      <w:r w:rsidRPr="00E50AAB">
        <w:rPr>
          <w:b/>
          <w:bCs/>
          <w:color w:val="000000" w:themeColor="text1"/>
        </w:rPr>
        <w:t>Flow variables</w:t>
      </w:r>
      <w:r w:rsidRPr="00E50AAB">
        <w:rPr>
          <w:color w:val="000000" w:themeColor="text1"/>
        </w:rPr>
        <w:t xml:space="preserve"> (e.g., transaction values and volumes): aggregated as the sum of monthly observations within each year</w:t>
      </w:r>
    </w:p>
    <w:p w14:paraId="5C3A46C0" w14:textId="77777777" w:rsidR="002463E2" w:rsidRPr="00E50AAB" w:rsidRDefault="002463E2" w:rsidP="002463E2">
      <w:pPr>
        <w:pStyle w:val="ListParagraph"/>
        <w:numPr>
          <w:ilvl w:val="0"/>
          <w:numId w:val="2"/>
        </w:numPr>
        <w:spacing w:line="240" w:lineRule="auto"/>
        <w:jc w:val="both"/>
        <w:rPr>
          <w:color w:val="000000" w:themeColor="text1"/>
        </w:rPr>
      </w:pPr>
      <w:r w:rsidRPr="00E50AAB">
        <w:rPr>
          <w:b/>
          <w:bCs/>
          <w:color w:val="000000" w:themeColor="text1"/>
        </w:rPr>
        <w:t>Stock variables</w:t>
      </w:r>
      <w:r w:rsidRPr="00E50AAB">
        <w:rPr>
          <w:color w:val="000000" w:themeColor="text1"/>
        </w:rPr>
        <w:t xml:space="preserve"> (e.g., number of accounts or outstanding fintech lending): measured using end-of-year values (December)</w:t>
      </w:r>
    </w:p>
    <w:p w14:paraId="42B90978" w14:textId="77777777" w:rsidR="002463E2" w:rsidRPr="00E50AAB" w:rsidRDefault="002463E2" w:rsidP="002463E2">
      <w:pPr>
        <w:spacing w:line="240" w:lineRule="auto"/>
        <w:jc w:val="both"/>
        <w:rPr>
          <w:b/>
          <w:bCs/>
          <w:color w:val="000000" w:themeColor="text1"/>
        </w:rPr>
      </w:pPr>
    </w:p>
    <w:p w14:paraId="4FAD12A4" w14:textId="77777777" w:rsidR="002463E2" w:rsidRPr="00E50AAB" w:rsidRDefault="002463E2" w:rsidP="002463E2">
      <w:pPr>
        <w:spacing w:line="240" w:lineRule="auto"/>
        <w:jc w:val="both"/>
        <w:rPr>
          <w:b/>
          <w:bCs/>
          <w:color w:val="000000" w:themeColor="text1"/>
        </w:rPr>
      </w:pPr>
      <w:r w:rsidRPr="00E50AAB">
        <w:rPr>
          <w:b/>
          <w:bCs/>
          <w:color w:val="000000" w:themeColor="text1"/>
        </w:rPr>
        <w:t>A3.2 Deflation of Nominal Variables</w:t>
      </w:r>
    </w:p>
    <w:p w14:paraId="3DB0F372" w14:textId="77777777" w:rsidR="002463E2" w:rsidRPr="00E50AAB" w:rsidRDefault="002463E2" w:rsidP="002463E2">
      <w:pPr>
        <w:spacing w:line="240" w:lineRule="auto"/>
        <w:jc w:val="both"/>
        <w:rPr>
          <w:color w:val="000000" w:themeColor="text1"/>
        </w:rPr>
      </w:pPr>
      <w:r w:rsidRPr="00E50AAB">
        <w:rPr>
          <w:color w:val="000000" w:themeColor="text1"/>
        </w:rPr>
        <w:t>Nominal monetary variables are converted into real terms using the Consumer Price Index (CPI):</w:t>
      </w:r>
    </w:p>
    <w:p w14:paraId="48783C66" w14:textId="77777777" w:rsidR="002463E2" w:rsidRPr="00E50AAB" w:rsidRDefault="002463E2" w:rsidP="002463E2">
      <w:pPr>
        <w:spacing w:line="240" w:lineRule="auto"/>
        <w:jc w:val="both"/>
        <w:rPr>
          <w:color w:val="000000" w:themeColor="text1"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  <w:color w:val="000000" w:themeColor="text1"/>
                </w:rPr>
              </m:ctrlPr>
            </m:sSubSupPr>
            <m:e>
              <m:r>
                <w:rPr>
                  <w:rFonts w:ascii="Cambria Math" w:hAnsi="Cambria Math"/>
                  <w:color w:val="000000" w:themeColor="text1"/>
                </w:rPr>
                <m:t>X</m:t>
              </m:r>
            </m:e>
            <m:sub>
              <m:r>
                <w:rPr>
                  <w:rFonts w:ascii="Cambria Math" w:hAnsi="Cambria Math"/>
                  <w:color w:val="000000" w:themeColor="text1"/>
                </w:rPr>
                <m:t>it</m:t>
              </m:r>
            </m:sub>
            <m:sup>
              <m:r>
                <w:rPr>
                  <w:rFonts w:ascii="Cambria Math" w:hAnsi="Cambria Math"/>
                  <w:color w:val="000000" w:themeColor="text1"/>
                </w:rPr>
                <m:t>real</m:t>
              </m:r>
            </m:sup>
          </m:sSubSup>
          <m:r>
            <w:rPr>
              <w:rFonts w:ascii="Cambria Math" w:hAnsi="Cambria Math"/>
              <w:color w:val="000000" w:themeColor="text1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 w:themeColor="text1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/>
                      <w:i/>
                      <w:color w:val="000000" w:themeColor="text1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 w:themeColor="text1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</w:rPr>
                    <m:t>it</m:t>
                  </m:r>
                </m:sub>
                <m:sup>
                  <m:r>
                    <w:rPr>
                      <w:rFonts w:ascii="Cambria Math" w:hAnsi="Cambria Math"/>
                      <w:color w:val="000000" w:themeColor="text1"/>
                    </w:rPr>
                    <m:t>nominal</m:t>
                  </m:r>
                </m:sup>
              </m:sSubSup>
            </m:num>
            <m:den>
              <m:f>
                <m:fPr>
                  <m:type m:val="lin"/>
                  <m:ctrlPr>
                    <w:rPr>
                      <w:rFonts w:ascii="Cambria Math" w:hAnsi="Cambria Math"/>
                      <w:i/>
                      <w:color w:val="000000" w:themeColor="text1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 w:themeColor="text1"/>
                        </w:rPr>
                        <m:t>CPI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 w:themeColor="text1"/>
                        </w:rPr>
                        <m:t>t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color w:val="000000" w:themeColor="text1"/>
                    </w:rPr>
                    <m:t>100</m:t>
                  </m:r>
                </m:den>
              </m:f>
            </m:den>
          </m:f>
        </m:oMath>
      </m:oMathPara>
    </w:p>
    <w:p w14:paraId="47B1E2AE" w14:textId="77777777" w:rsidR="002463E2" w:rsidRPr="00E50AAB" w:rsidRDefault="002463E2" w:rsidP="002463E2">
      <w:pPr>
        <w:spacing w:line="240" w:lineRule="auto"/>
        <w:jc w:val="both"/>
        <w:rPr>
          <w:color w:val="000000" w:themeColor="text1"/>
        </w:rPr>
      </w:pPr>
    </w:p>
    <w:p w14:paraId="0E520DF2" w14:textId="77777777" w:rsidR="002463E2" w:rsidRPr="00E50AAB" w:rsidRDefault="002463E2" w:rsidP="002463E2">
      <w:pPr>
        <w:spacing w:line="240" w:lineRule="auto"/>
        <w:jc w:val="both"/>
        <w:rPr>
          <w:color w:val="000000" w:themeColor="text1"/>
        </w:rPr>
      </w:pPr>
      <w:r w:rsidRPr="00E50AAB">
        <w:rPr>
          <w:color w:val="000000" w:themeColor="text1"/>
        </w:rPr>
        <w:t>where:</w:t>
      </w:r>
    </w:p>
    <w:p w14:paraId="7CEDC37E" w14:textId="77777777" w:rsidR="002463E2" w:rsidRPr="00E50AAB" w:rsidRDefault="002463E2" w:rsidP="002463E2">
      <w:pPr>
        <w:pStyle w:val="ListParagraph"/>
        <w:numPr>
          <w:ilvl w:val="0"/>
          <w:numId w:val="2"/>
        </w:numPr>
        <w:spacing w:line="240" w:lineRule="auto"/>
        <w:jc w:val="both"/>
        <w:rPr>
          <w:color w:val="000000" w:themeColor="text1"/>
        </w:rPr>
      </w:pPr>
      <m:oMath>
        <m:sSubSup>
          <m:sSubSupPr>
            <m:ctrlPr>
              <w:rPr>
                <w:rFonts w:ascii="Cambria Math" w:hAnsi="Cambria Math"/>
                <w:i/>
                <w:color w:val="000000" w:themeColor="text1"/>
              </w:rPr>
            </m:ctrlPr>
          </m:sSubSupPr>
          <m:e>
            <m:r>
              <w:rPr>
                <w:rFonts w:ascii="Cambria Math" w:hAnsi="Cambria Math"/>
                <w:color w:val="000000" w:themeColor="text1"/>
              </w:rPr>
              <m:t>X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it</m:t>
            </m:r>
          </m:sub>
          <m:sup>
            <m:r>
              <w:rPr>
                <w:rFonts w:ascii="Cambria Math" w:hAnsi="Cambria Math"/>
                <w:color w:val="000000" w:themeColor="text1"/>
              </w:rPr>
              <m:t>nominal</m:t>
            </m:r>
          </m:sup>
        </m:sSubSup>
      </m:oMath>
      <w:r w:rsidRPr="00E50AAB">
        <w:rPr>
          <w:color w:val="000000" w:themeColor="text1"/>
        </w:rPr>
        <w:t xml:space="preserve"> is the nominal value of indicator </w:t>
      </w:r>
      <w:r w:rsidRPr="00E50AAB">
        <w:rPr>
          <w:i/>
          <w:iCs/>
          <w:color w:val="000000" w:themeColor="text1"/>
        </w:rPr>
        <w:t>i</w:t>
      </w:r>
      <w:r w:rsidRPr="00E50AAB">
        <w:rPr>
          <w:color w:val="000000" w:themeColor="text1"/>
        </w:rPr>
        <w:t xml:space="preserve"> at time </w:t>
      </w:r>
      <w:r w:rsidRPr="00E50AAB">
        <w:rPr>
          <w:i/>
          <w:iCs/>
          <w:color w:val="000000" w:themeColor="text1"/>
        </w:rPr>
        <w:t>t</w:t>
      </w:r>
    </w:p>
    <w:p w14:paraId="4871BD06" w14:textId="77777777" w:rsidR="002463E2" w:rsidRPr="00E50AAB" w:rsidRDefault="002463E2" w:rsidP="002463E2">
      <w:pPr>
        <w:pStyle w:val="ListParagraph"/>
        <w:numPr>
          <w:ilvl w:val="0"/>
          <w:numId w:val="2"/>
        </w:numPr>
        <w:spacing w:line="240" w:lineRule="auto"/>
        <w:jc w:val="both"/>
        <w:rPr>
          <w:color w:val="000000" w:themeColor="text1"/>
        </w:rPr>
      </w:pPr>
      <m:oMath>
        <m:sSub>
          <m:sSubPr>
            <m:ctrlPr>
              <w:rPr>
                <w:rFonts w:ascii="Cambria Math" w:hAnsi="Cambria Math"/>
                <w:i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CPI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t</m:t>
            </m:r>
          </m:sub>
        </m:sSub>
      </m:oMath>
      <w:r w:rsidRPr="00E50AAB">
        <w:rPr>
          <w:color w:val="000000" w:themeColor="text1"/>
        </w:rPr>
        <w:t xml:space="preserve"> is the consumer price index (base year = 100)</w:t>
      </w:r>
    </w:p>
    <w:p w14:paraId="4E6D5995" w14:textId="77777777" w:rsidR="002463E2" w:rsidRPr="00E50AAB" w:rsidRDefault="002463E2" w:rsidP="002463E2">
      <w:pPr>
        <w:spacing w:line="240" w:lineRule="auto"/>
        <w:jc w:val="both"/>
        <w:rPr>
          <w:b/>
          <w:bCs/>
          <w:color w:val="000000" w:themeColor="text1"/>
        </w:rPr>
      </w:pPr>
    </w:p>
    <w:p w14:paraId="54129121" w14:textId="77777777" w:rsidR="002463E2" w:rsidRPr="00E50AAB" w:rsidRDefault="002463E2" w:rsidP="002463E2">
      <w:pPr>
        <w:spacing w:line="240" w:lineRule="auto"/>
        <w:jc w:val="both"/>
        <w:rPr>
          <w:b/>
          <w:bCs/>
          <w:color w:val="000000" w:themeColor="text1"/>
        </w:rPr>
      </w:pPr>
      <w:r w:rsidRPr="00E50AAB">
        <w:rPr>
          <w:b/>
          <w:bCs/>
          <w:color w:val="000000" w:themeColor="text1"/>
        </w:rPr>
        <w:t>A3.3 Scaling</w:t>
      </w:r>
    </w:p>
    <w:p w14:paraId="67567D52" w14:textId="77777777" w:rsidR="002463E2" w:rsidRPr="00E50AAB" w:rsidRDefault="002463E2" w:rsidP="002463E2">
      <w:pPr>
        <w:spacing w:line="240" w:lineRule="auto"/>
        <w:jc w:val="both"/>
        <w:rPr>
          <w:color w:val="000000" w:themeColor="text1"/>
        </w:rPr>
      </w:pPr>
      <w:r w:rsidRPr="00E50AAB">
        <w:rPr>
          <w:color w:val="000000" w:themeColor="text1"/>
        </w:rPr>
        <w:t>To ensure comparability across indicators, variables are scaled as follows:</w:t>
      </w:r>
    </w:p>
    <w:p w14:paraId="7C12A6ED" w14:textId="77777777" w:rsidR="002463E2" w:rsidRPr="00E50AAB" w:rsidRDefault="002463E2" w:rsidP="002463E2">
      <w:pPr>
        <w:pStyle w:val="ListParagraph"/>
        <w:numPr>
          <w:ilvl w:val="0"/>
          <w:numId w:val="2"/>
        </w:numPr>
        <w:spacing w:line="240" w:lineRule="auto"/>
        <w:jc w:val="both"/>
        <w:rPr>
          <w:color w:val="000000" w:themeColor="text1"/>
        </w:rPr>
      </w:pPr>
      <w:r w:rsidRPr="00E50AAB">
        <w:rPr>
          <w:color w:val="000000" w:themeColor="text1"/>
        </w:rPr>
        <w:t>Transaction values are expressed per capita or relative to GDP</w:t>
      </w:r>
    </w:p>
    <w:p w14:paraId="729AC0C4" w14:textId="77777777" w:rsidR="002463E2" w:rsidRPr="00E50AAB" w:rsidRDefault="002463E2" w:rsidP="002463E2">
      <w:pPr>
        <w:pStyle w:val="ListParagraph"/>
        <w:numPr>
          <w:ilvl w:val="0"/>
          <w:numId w:val="2"/>
        </w:numPr>
        <w:spacing w:line="240" w:lineRule="auto"/>
        <w:jc w:val="both"/>
        <w:rPr>
          <w:color w:val="000000" w:themeColor="text1"/>
        </w:rPr>
      </w:pPr>
      <w:r w:rsidRPr="00E50AAB">
        <w:rPr>
          <w:color w:val="000000" w:themeColor="text1"/>
        </w:rPr>
        <w:t>Volume-based indicators are expressed per capita where applicable</w:t>
      </w:r>
    </w:p>
    <w:p w14:paraId="35E203FC" w14:textId="77777777" w:rsidR="002463E2" w:rsidRPr="00E50AAB" w:rsidRDefault="002463E2" w:rsidP="002463E2">
      <w:pPr>
        <w:spacing w:line="240" w:lineRule="auto"/>
        <w:jc w:val="both"/>
        <w:rPr>
          <w:color w:val="000000" w:themeColor="text1"/>
        </w:rPr>
      </w:pPr>
    </w:p>
    <w:p w14:paraId="3ABF99DD" w14:textId="77777777" w:rsidR="002463E2" w:rsidRPr="00E50AAB" w:rsidRDefault="002463E2" w:rsidP="002463E2">
      <w:pPr>
        <w:spacing w:line="240" w:lineRule="auto"/>
        <w:jc w:val="both"/>
        <w:rPr>
          <w:b/>
          <w:bCs/>
          <w:color w:val="000000" w:themeColor="text1"/>
        </w:rPr>
      </w:pPr>
      <w:r w:rsidRPr="00E50AAB">
        <w:rPr>
          <w:b/>
          <w:bCs/>
          <w:color w:val="000000" w:themeColor="text1"/>
        </w:rPr>
        <w:t>A3.4 Log Transformation</w:t>
      </w:r>
    </w:p>
    <w:p w14:paraId="637E796B" w14:textId="77777777" w:rsidR="002463E2" w:rsidRPr="00E50AAB" w:rsidRDefault="002463E2" w:rsidP="002463E2">
      <w:pPr>
        <w:spacing w:line="240" w:lineRule="auto"/>
        <w:jc w:val="both"/>
        <w:rPr>
          <w:color w:val="000000" w:themeColor="text1"/>
        </w:rPr>
      </w:pPr>
      <w:r w:rsidRPr="00E50AAB">
        <w:rPr>
          <w:color w:val="000000" w:themeColor="text1"/>
        </w:rPr>
        <w:t>To reduce skewness and heteroskedasticity, variables are transformed using:</w:t>
      </w:r>
    </w:p>
    <w:p w14:paraId="0604D850" w14:textId="77777777" w:rsidR="002463E2" w:rsidRPr="00E50AAB" w:rsidRDefault="002463E2" w:rsidP="002463E2">
      <w:pPr>
        <w:spacing w:line="240" w:lineRule="auto"/>
        <w:jc w:val="both"/>
        <w:rPr>
          <w:color w:val="000000" w:themeColor="text1"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  <w:color w:val="000000" w:themeColor="text1"/>
                </w:rPr>
              </m:ctrlPr>
            </m:sSubSupPr>
            <m:e>
              <m:r>
                <w:rPr>
                  <w:rFonts w:ascii="Cambria Math" w:hAnsi="Cambria Math"/>
                  <w:color w:val="000000" w:themeColor="text1"/>
                </w:rPr>
                <m:t>X</m:t>
              </m:r>
            </m:e>
            <m:sub>
              <m:r>
                <w:rPr>
                  <w:rFonts w:ascii="Cambria Math" w:hAnsi="Cambria Math"/>
                  <w:color w:val="000000" w:themeColor="text1"/>
                </w:rPr>
                <m:t>it</m:t>
              </m:r>
            </m:sub>
            <m:sup>
              <m:r>
                <w:rPr>
                  <w:rFonts w:ascii="Cambria Math" w:hAnsi="Cambria Math"/>
                  <w:color w:val="000000" w:themeColor="text1"/>
                </w:rPr>
                <m:t>*</m:t>
              </m:r>
            </m:sup>
          </m:sSubSup>
          <m:r>
            <w:rPr>
              <w:rFonts w:ascii="Cambria Math" w:hAnsi="Cambria Math"/>
              <w:color w:val="000000" w:themeColor="text1"/>
            </w:rPr>
            <m:t>=</m:t>
          </m:r>
          <m:r>
            <m:rPr>
              <m:sty m:val="p"/>
            </m:rPr>
            <w:rPr>
              <w:rFonts w:ascii="Cambria Math" w:hAnsi="Cambria Math"/>
              <w:color w:val="000000" w:themeColor="text1"/>
            </w:rPr>
            <m:t>ln⁡</m:t>
          </m:r>
          <m:r>
            <w:rPr>
              <w:rFonts w:ascii="Cambria Math" w:hAnsi="Cambria Math"/>
              <w:color w:val="000000" w:themeColor="text1"/>
            </w:rPr>
            <m:t>(1+</m:t>
          </m:r>
          <m:sSub>
            <m:sSubPr>
              <m:ctrlPr>
                <w:rPr>
                  <w:rFonts w:ascii="Cambria Math" w:hAnsi="Cambria Math"/>
                  <w:i/>
                  <w:color w:val="000000" w:themeColor="text1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</w:rPr>
                <m:t>X</m:t>
              </m:r>
            </m:e>
            <m:sub>
              <m:r>
                <w:rPr>
                  <w:rFonts w:ascii="Cambria Math" w:hAnsi="Cambria Math"/>
                  <w:color w:val="000000" w:themeColor="text1"/>
                </w:rPr>
                <m:t>it</m:t>
              </m:r>
            </m:sub>
          </m:sSub>
          <m:r>
            <w:rPr>
              <w:rFonts w:ascii="Cambria Math" w:hAnsi="Cambria Math"/>
              <w:color w:val="000000" w:themeColor="text1"/>
            </w:rPr>
            <m:t>)</m:t>
          </m:r>
        </m:oMath>
      </m:oMathPara>
    </w:p>
    <w:p w14:paraId="02EB31C2" w14:textId="77777777" w:rsidR="002463E2" w:rsidRPr="00E50AAB" w:rsidRDefault="002463E2" w:rsidP="002463E2">
      <w:pPr>
        <w:spacing w:line="240" w:lineRule="auto"/>
        <w:jc w:val="both"/>
        <w:rPr>
          <w:b/>
          <w:bCs/>
          <w:color w:val="000000" w:themeColor="text1"/>
        </w:rPr>
      </w:pPr>
    </w:p>
    <w:p w14:paraId="13E097E7" w14:textId="77777777" w:rsidR="002463E2" w:rsidRPr="00E50AAB" w:rsidRDefault="002463E2" w:rsidP="002463E2">
      <w:pPr>
        <w:spacing w:line="240" w:lineRule="auto"/>
        <w:jc w:val="both"/>
        <w:rPr>
          <w:b/>
          <w:bCs/>
          <w:color w:val="000000" w:themeColor="text1"/>
        </w:rPr>
      </w:pPr>
      <w:r w:rsidRPr="00E50AAB">
        <w:rPr>
          <w:b/>
          <w:bCs/>
          <w:color w:val="000000" w:themeColor="text1"/>
        </w:rPr>
        <w:t>A4. Normalization</w:t>
      </w:r>
    </w:p>
    <w:p w14:paraId="2A3023C8" w14:textId="77777777" w:rsidR="002463E2" w:rsidRPr="00E50AAB" w:rsidRDefault="002463E2" w:rsidP="002463E2">
      <w:pPr>
        <w:spacing w:line="240" w:lineRule="auto"/>
        <w:jc w:val="both"/>
        <w:rPr>
          <w:color w:val="000000" w:themeColor="text1"/>
        </w:rPr>
      </w:pPr>
      <w:r w:rsidRPr="00E50AAB">
        <w:rPr>
          <w:color w:val="000000" w:themeColor="text1"/>
        </w:rPr>
        <w:t>Each indicator is normalized using z-score standardization:</w:t>
      </w:r>
    </w:p>
    <w:p w14:paraId="13D9763E" w14:textId="77777777" w:rsidR="002463E2" w:rsidRPr="00E50AAB" w:rsidRDefault="002463E2" w:rsidP="002463E2">
      <w:pPr>
        <w:spacing w:line="240" w:lineRule="auto"/>
        <w:jc w:val="both"/>
        <w:rPr>
          <w:color w:val="000000" w:themeColor="text1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 w:themeColor="text1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</w:rPr>
                <m:t>Z</m:t>
              </m:r>
            </m:e>
            <m:sub>
              <m:r>
                <w:rPr>
                  <w:rFonts w:ascii="Cambria Math" w:hAnsi="Cambria Math"/>
                  <w:color w:val="000000" w:themeColor="text1"/>
                </w:rPr>
                <m:t>it</m:t>
              </m:r>
            </m:sub>
          </m:sSub>
          <m:r>
            <w:rPr>
              <w:rFonts w:ascii="Cambria Math" w:hAnsi="Cambria Math"/>
              <w:color w:val="000000" w:themeColor="text1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 w:themeColor="text1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/>
                      <w:i/>
                      <w:color w:val="000000" w:themeColor="text1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 w:themeColor="text1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</w:rPr>
                    <m:t>it</m:t>
                  </m:r>
                </m:sub>
                <m:sup>
                  <m:r>
                    <w:rPr>
                      <w:rFonts w:ascii="Cambria Math" w:hAnsi="Cambria Math"/>
                      <w:color w:val="000000" w:themeColor="text1"/>
                    </w:rPr>
                    <m:t>*</m:t>
                  </m:r>
                </m:sup>
              </m:sSubSup>
              <m:r>
                <w:rPr>
                  <w:rFonts w:ascii="Cambria Math" w:hAnsi="Cambria Math"/>
                  <w:color w:val="000000" w:themeColor="text1"/>
                </w:rPr>
                <m:t>-</m:t>
              </m:r>
              <m:acc>
                <m:accPr>
                  <m:chr m:val="̅"/>
                  <m:ctrlPr>
                    <w:rPr>
                      <w:rFonts w:ascii="Cambria Math" w:hAnsi="Cambria Math"/>
                      <w:i/>
                      <w:color w:val="000000" w:themeColor="text1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color w:val="000000" w:themeColor="text1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color w:val="000000" w:themeColor="text1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color w:val="000000" w:themeColor="text1"/>
                        </w:rPr>
                        <m:t>i</m:t>
                      </m:r>
                    </m:sub>
                  </m:sSub>
                </m:e>
              </m:acc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color w:val="000000" w:themeColor="text1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</w:rPr>
                    <m:t>δ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</w:rPr>
                    <m:t>i</m:t>
                  </m:r>
                </m:sub>
              </m:sSub>
            </m:den>
          </m:f>
        </m:oMath>
      </m:oMathPara>
    </w:p>
    <w:p w14:paraId="1899E00C" w14:textId="77777777" w:rsidR="002463E2" w:rsidRPr="00E50AAB" w:rsidRDefault="002463E2" w:rsidP="002463E2">
      <w:pPr>
        <w:spacing w:line="240" w:lineRule="auto"/>
        <w:jc w:val="both"/>
        <w:rPr>
          <w:color w:val="000000" w:themeColor="text1"/>
        </w:rPr>
      </w:pPr>
    </w:p>
    <w:p w14:paraId="6234F6B0" w14:textId="77777777" w:rsidR="002463E2" w:rsidRPr="00E50AAB" w:rsidRDefault="002463E2" w:rsidP="002463E2">
      <w:pPr>
        <w:spacing w:line="240" w:lineRule="auto"/>
        <w:jc w:val="both"/>
        <w:rPr>
          <w:color w:val="000000" w:themeColor="text1"/>
        </w:rPr>
      </w:pPr>
      <w:r w:rsidRPr="00E50AAB">
        <w:rPr>
          <w:color w:val="000000" w:themeColor="text1"/>
        </w:rPr>
        <w:t>where:</w:t>
      </w:r>
    </w:p>
    <w:p w14:paraId="24E89EF9" w14:textId="77777777" w:rsidR="002463E2" w:rsidRPr="00E50AAB" w:rsidRDefault="002463E2" w:rsidP="002463E2">
      <w:pPr>
        <w:pStyle w:val="ListParagraph"/>
        <w:numPr>
          <w:ilvl w:val="0"/>
          <w:numId w:val="2"/>
        </w:numPr>
        <w:spacing w:line="240" w:lineRule="auto"/>
        <w:jc w:val="both"/>
        <w:rPr>
          <w:color w:val="000000" w:themeColor="text1"/>
        </w:rPr>
      </w:pPr>
      <m:oMath>
        <m:sSub>
          <m:sSubPr>
            <m:ctrlPr>
              <w:rPr>
                <w:rFonts w:ascii="Cambria Math" w:hAnsi="Cambria Math"/>
                <w:i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Z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it</m:t>
            </m:r>
          </m:sub>
        </m:sSub>
      </m:oMath>
      <w:r w:rsidRPr="00E50AAB">
        <w:rPr>
          <w:color w:val="000000" w:themeColor="text1"/>
        </w:rPr>
        <w:t xml:space="preserve"> is the normalized value of indicator </w:t>
      </w:r>
      <w:r w:rsidRPr="00E50AAB">
        <w:rPr>
          <w:i/>
          <w:iCs/>
          <w:color w:val="000000" w:themeColor="text1"/>
        </w:rPr>
        <w:t>i</w:t>
      </w:r>
      <w:r w:rsidRPr="00E50AAB">
        <w:rPr>
          <w:color w:val="000000" w:themeColor="text1"/>
        </w:rPr>
        <w:t xml:space="preserve"> at time </w:t>
      </w:r>
      <w:r w:rsidRPr="00E50AAB">
        <w:rPr>
          <w:i/>
          <w:iCs/>
          <w:color w:val="000000" w:themeColor="text1"/>
        </w:rPr>
        <w:t>t</w:t>
      </w:r>
    </w:p>
    <w:p w14:paraId="0B27728E" w14:textId="77777777" w:rsidR="002463E2" w:rsidRPr="00E50AAB" w:rsidRDefault="002463E2" w:rsidP="002463E2">
      <w:pPr>
        <w:pStyle w:val="ListParagraph"/>
        <w:numPr>
          <w:ilvl w:val="0"/>
          <w:numId w:val="2"/>
        </w:numPr>
        <w:spacing w:line="240" w:lineRule="auto"/>
        <w:jc w:val="both"/>
        <w:rPr>
          <w:color w:val="000000" w:themeColor="text1"/>
        </w:rPr>
      </w:pPr>
      <m:oMath>
        <m:sSub>
          <m:sSubPr>
            <m:ctrlPr>
              <w:rPr>
                <w:rFonts w:ascii="Cambria Math" w:hAnsi="Cambria Math"/>
                <w:i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X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i</m:t>
            </m:r>
          </m:sub>
        </m:sSub>
      </m:oMath>
      <w:r w:rsidRPr="00E50AAB">
        <w:rPr>
          <w:color w:val="000000" w:themeColor="text1"/>
        </w:rPr>
        <w:t xml:space="preserve"> is the mean of indicator </w:t>
      </w:r>
      <w:r w:rsidRPr="00E50AAB">
        <w:rPr>
          <w:i/>
          <w:iCs/>
          <w:color w:val="000000" w:themeColor="text1"/>
        </w:rPr>
        <w:t>i</w:t>
      </w:r>
    </w:p>
    <w:p w14:paraId="036258A1" w14:textId="77777777" w:rsidR="002463E2" w:rsidRPr="00E50AAB" w:rsidRDefault="002463E2" w:rsidP="002463E2">
      <w:pPr>
        <w:pStyle w:val="ListParagraph"/>
        <w:numPr>
          <w:ilvl w:val="0"/>
          <w:numId w:val="2"/>
        </w:numPr>
        <w:spacing w:line="240" w:lineRule="auto"/>
        <w:jc w:val="both"/>
        <w:rPr>
          <w:color w:val="000000" w:themeColor="text1"/>
        </w:rPr>
      </w:pPr>
      <m:oMath>
        <m:sSub>
          <m:sSubPr>
            <m:ctrlPr>
              <w:rPr>
                <w:rFonts w:ascii="Cambria Math" w:hAnsi="Cambria Math"/>
                <w:i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δ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i</m:t>
            </m:r>
          </m:sub>
        </m:sSub>
      </m:oMath>
      <w:r w:rsidRPr="00E50AAB">
        <w:rPr>
          <w:color w:val="000000" w:themeColor="text1"/>
        </w:rPr>
        <w:t xml:space="preserve"> is the standard deviation of indicator </w:t>
      </w:r>
      <w:r w:rsidRPr="00E50AAB">
        <w:rPr>
          <w:i/>
          <w:iCs/>
          <w:color w:val="000000" w:themeColor="text1"/>
        </w:rPr>
        <w:t>i</w:t>
      </w:r>
    </w:p>
    <w:p w14:paraId="6EEEBDF3" w14:textId="77777777" w:rsidR="002463E2" w:rsidRPr="00E50AAB" w:rsidRDefault="002463E2" w:rsidP="002463E2">
      <w:pPr>
        <w:spacing w:line="240" w:lineRule="auto"/>
        <w:jc w:val="both"/>
        <w:rPr>
          <w:color w:val="000000" w:themeColor="text1"/>
        </w:rPr>
      </w:pPr>
    </w:p>
    <w:p w14:paraId="57FA0C96" w14:textId="77777777" w:rsidR="002463E2" w:rsidRPr="00E50AAB" w:rsidRDefault="002463E2" w:rsidP="002463E2">
      <w:pPr>
        <w:spacing w:line="240" w:lineRule="auto"/>
        <w:jc w:val="both"/>
        <w:rPr>
          <w:b/>
          <w:bCs/>
          <w:color w:val="000000" w:themeColor="text1"/>
        </w:rPr>
      </w:pPr>
      <w:r w:rsidRPr="00E50AAB">
        <w:rPr>
          <w:b/>
          <w:bCs/>
          <w:color w:val="000000" w:themeColor="text1"/>
        </w:rPr>
        <w:t>A5. Index Construction</w:t>
      </w:r>
    </w:p>
    <w:p w14:paraId="2EC1B354" w14:textId="77777777" w:rsidR="002463E2" w:rsidRPr="00E50AAB" w:rsidRDefault="002463E2" w:rsidP="002463E2">
      <w:pPr>
        <w:spacing w:line="240" w:lineRule="auto"/>
        <w:jc w:val="both"/>
        <w:rPr>
          <w:b/>
          <w:bCs/>
          <w:color w:val="000000" w:themeColor="text1"/>
        </w:rPr>
      </w:pPr>
      <w:r w:rsidRPr="00E50AAB">
        <w:rPr>
          <w:b/>
          <w:bCs/>
          <w:color w:val="000000" w:themeColor="text1"/>
        </w:rPr>
        <w:t>A5.1 Sub-Indices</w:t>
      </w:r>
    </w:p>
    <w:p w14:paraId="58097960" w14:textId="77777777" w:rsidR="002463E2" w:rsidRPr="00E50AAB" w:rsidRDefault="002463E2" w:rsidP="002463E2">
      <w:pPr>
        <w:spacing w:line="240" w:lineRule="auto"/>
        <w:jc w:val="both"/>
        <w:rPr>
          <w:color w:val="000000" w:themeColor="text1"/>
        </w:rPr>
      </w:pPr>
      <w:r w:rsidRPr="00E50AAB">
        <w:rPr>
          <w:color w:val="000000" w:themeColor="text1"/>
        </w:rPr>
        <w:t>Let,</w:t>
      </w:r>
    </w:p>
    <w:p w14:paraId="7E824C3C" w14:textId="77777777" w:rsidR="002463E2" w:rsidRPr="00E50AAB" w:rsidRDefault="002463E2" w:rsidP="002463E2">
      <w:pPr>
        <w:pStyle w:val="ListParagraph"/>
        <w:numPr>
          <w:ilvl w:val="0"/>
          <w:numId w:val="2"/>
        </w:numPr>
        <w:spacing w:line="240" w:lineRule="auto"/>
        <w:jc w:val="both"/>
        <w:rPr>
          <w:color w:val="000000" w:themeColor="text1"/>
        </w:rPr>
      </w:pPr>
      <w:r w:rsidRPr="00E50AAB">
        <w:rPr>
          <w:i/>
          <w:iCs/>
          <w:color w:val="000000" w:themeColor="text1"/>
        </w:rPr>
        <w:t>PAY</w:t>
      </w:r>
      <w:r w:rsidRPr="00E50AAB">
        <w:rPr>
          <w:i/>
          <w:iCs/>
          <w:color w:val="000000" w:themeColor="text1"/>
          <w:vertAlign w:val="subscript"/>
        </w:rPr>
        <w:t>t</w:t>
      </w:r>
      <w:r w:rsidRPr="00E50AAB">
        <w:rPr>
          <w:color w:val="000000" w:themeColor="text1"/>
        </w:rPr>
        <w:t xml:space="preserve"> : Digital payment index</w:t>
      </w:r>
    </w:p>
    <w:p w14:paraId="67B39D5E" w14:textId="77777777" w:rsidR="002463E2" w:rsidRPr="00E50AAB" w:rsidRDefault="002463E2" w:rsidP="002463E2">
      <w:pPr>
        <w:pStyle w:val="ListParagraph"/>
        <w:numPr>
          <w:ilvl w:val="0"/>
          <w:numId w:val="2"/>
        </w:numPr>
        <w:spacing w:line="240" w:lineRule="auto"/>
        <w:jc w:val="both"/>
        <w:rPr>
          <w:color w:val="000000" w:themeColor="text1"/>
        </w:rPr>
      </w:pPr>
      <w:r w:rsidRPr="00E50AAB">
        <w:rPr>
          <w:i/>
          <w:iCs/>
          <w:color w:val="000000" w:themeColor="text1"/>
        </w:rPr>
        <w:t>BANKDIG</w:t>
      </w:r>
      <w:r w:rsidRPr="00E50AAB">
        <w:rPr>
          <w:i/>
          <w:iCs/>
          <w:color w:val="000000" w:themeColor="text1"/>
          <w:vertAlign w:val="subscript"/>
        </w:rPr>
        <w:t>t</w:t>
      </w:r>
      <w:r w:rsidRPr="00E50AAB">
        <w:rPr>
          <w:color w:val="000000" w:themeColor="text1"/>
        </w:rPr>
        <w:t xml:space="preserve"> : Digital banking index</w:t>
      </w:r>
    </w:p>
    <w:p w14:paraId="70A91DD9" w14:textId="77777777" w:rsidR="002463E2" w:rsidRPr="00E50AAB" w:rsidRDefault="002463E2" w:rsidP="002463E2">
      <w:pPr>
        <w:pStyle w:val="ListParagraph"/>
        <w:numPr>
          <w:ilvl w:val="0"/>
          <w:numId w:val="2"/>
        </w:numPr>
        <w:spacing w:line="240" w:lineRule="auto"/>
        <w:jc w:val="both"/>
        <w:rPr>
          <w:color w:val="000000" w:themeColor="text1"/>
        </w:rPr>
      </w:pPr>
      <w:r w:rsidRPr="00E50AAB">
        <w:rPr>
          <w:i/>
          <w:iCs/>
          <w:color w:val="000000" w:themeColor="text1"/>
        </w:rPr>
        <w:t>FINTECH</w:t>
      </w:r>
      <w:r w:rsidRPr="00E50AAB">
        <w:rPr>
          <w:i/>
          <w:iCs/>
          <w:color w:val="000000" w:themeColor="text1"/>
          <w:vertAlign w:val="subscript"/>
        </w:rPr>
        <w:t>t</w:t>
      </w:r>
      <w:r w:rsidRPr="00E50AAB">
        <w:rPr>
          <w:color w:val="000000" w:themeColor="text1"/>
        </w:rPr>
        <w:t xml:space="preserve"> : Fintech development index</w:t>
      </w:r>
    </w:p>
    <w:p w14:paraId="22EB13F5" w14:textId="77777777" w:rsidR="002463E2" w:rsidRPr="00E50AAB" w:rsidRDefault="002463E2" w:rsidP="002463E2">
      <w:pPr>
        <w:spacing w:line="240" w:lineRule="auto"/>
        <w:jc w:val="both"/>
        <w:rPr>
          <w:color w:val="000000" w:themeColor="text1"/>
        </w:rPr>
      </w:pPr>
    </w:p>
    <w:p w14:paraId="2F6956E0" w14:textId="77777777" w:rsidR="002463E2" w:rsidRPr="00E50AAB" w:rsidRDefault="002463E2" w:rsidP="002463E2">
      <w:pPr>
        <w:spacing w:line="240" w:lineRule="auto"/>
        <w:jc w:val="both"/>
        <w:rPr>
          <w:color w:val="000000" w:themeColor="text1"/>
        </w:rPr>
      </w:pPr>
      <w:r w:rsidRPr="00E50AAB">
        <w:rPr>
          <w:color w:val="000000" w:themeColor="text1"/>
        </w:rPr>
        <w:t>Each sub-index constructed as the simple average of its normalized indicators:</w:t>
      </w:r>
    </w:p>
    <w:p w14:paraId="7736A40A" w14:textId="77777777" w:rsidR="002463E2" w:rsidRPr="00E50AAB" w:rsidRDefault="002463E2" w:rsidP="002463E2">
      <w:pPr>
        <w:spacing w:line="240" w:lineRule="auto"/>
        <w:jc w:val="both"/>
        <w:rPr>
          <w:color w:val="000000" w:themeColor="text1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 w:themeColor="text1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</w:rPr>
                <m:t>PAY</m:t>
              </m:r>
            </m:e>
            <m:sub>
              <m:r>
                <w:rPr>
                  <w:rFonts w:ascii="Cambria Math" w:hAnsi="Cambria Math"/>
                  <w:color w:val="000000" w:themeColor="text1"/>
                </w:rPr>
                <m:t>t</m:t>
              </m:r>
            </m:sub>
          </m:sSub>
          <m:r>
            <w:rPr>
              <w:rFonts w:ascii="Cambria Math" w:hAnsi="Cambria Math"/>
              <w:color w:val="000000" w:themeColor="text1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 w:themeColor="text1"/>
                </w:rPr>
              </m:ctrlPr>
            </m:fPr>
            <m:num>
              <m:r>
                <w:rPr>
                  <w:rFonts w:ascii="Cambria Math" w:hAnsi="Cambria Math"/>
                  <w:color w:val="000000" w:themeColor="text1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color w:val="000000" w:themeColor="text1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</w:rPr>
                    <m:t>1</m:t>
                  </m:r>
                </m:sub>
              </m:sSub>
            </m:den>
          </m:f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color w:val="000000" w:themeColor="text1"/>
                </w:rPr>
              </m:ctrlPr>
            </m:naryPr>
            <m:sub>
              <m:r>
                <w:rPr>
                  <w:rFonts w:ascii="Cambria Math" w:hAnsi="Cambria Math"/>
                  <w:color w:val="000000" w:themeColor="text1"/>
                </w:rPr>
                <m:t>i=1</m:t>
              </m:r>
            </m:sub>
            <m:sup>
              <m:sSub>
                <m:sSubPr>
                  <m:ctrlPr>
                    <w:rPr>
                      <w:rFonts w:ascii="Cambria Math" w:hAnsi="Cambria Math"/>
                      <w:i/>
                      <w:color w:val="000000" w:themeColor="text1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</w:rPr>
                    <m:t>1</m:t>
                  </m:r>
                </m:sub>
              </m:sSub>
            </m:sup>
            <m:e>
              <m:sSub>
                <m:sSubPr>
                  <m:ctrlPr>
                    <w:rPr>
                      <w:rFonts w:ascii="Cambria Math" w:hAnsi="Cambria Math"/>
                      <w:i/>
                      <w:color w:val="000000" w:themeColor="text1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</w:rPr>
                    <m:t>it</m:t>
                  </m:r>
                </m:sub>
              </m:sSub>
            </m:e>
          </m:nary>
        </m:oMath>
      </m:oMathPara>
    </w:p>
    <w:p w14:paraId="06401D94" w14:textId="77777777" w:rsidR="002463E2" w:rsidRPr="00E50AAB" w:rsidRDefault="002463E2" w:rsidP="002463E2">
      <w:pPr>
        <w:spacing w:line="240" w:lineRule="auto"/>
        <w:jc w:val="both"/>
        <w:rPr>
          <w:color w:val="000000" w:themeColor="text1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 w:themeColor="text1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</w:rPr>
                <m:t>BANKDIG</m:t>
              </m:r>
            </m:e>
            <m:sub>
              <m:r>
                <w:rPr>
                  <w:rFonts w:ascii="Cambria Math" w:hAnsi="Cambria Math"/>
                  <w:color w:val="000000" w:themeColor="text1"/>
                </w:rPr>
                <m:t>t</m:t>
              </m:r>
            </m:sub>
          </m:sSub>
          <m:r>
            <w:rPr>
              <w:rFonts w:ascii="Cambria Math" w:hAnsi="Cambria Math"/>
              <w:color w:val="000000" w:themeColor="text1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 w:themeColor="text1"/>
                </w:rPr>
              </m:ctrlPr>
            </m:fPr>
            <m:num>
              <m:r>
                <w:rPr>
                  <w:rFonts w:ascii="Cambria Math" w:hAnsi="Cambria Math"/>
                  <w:color w:val="000000" w:themeColor="text1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color w:val="000000" w:themeColor="text1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</w:rPr>
                    <m:t>2</m:t>
                  </m:r>
                </m:sub>
              </m:sSub>
            </m:den>
          </m:f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color w:val="000000" w:themeColor="text1"/>
                </w:rPr>
              </m:ctrlPr>
            </m:naryPr>
            <m:sub>
              <m:r>
                <w:rPr>
                  <w:rFonts w:ascii="Cambria Math" w:hAnsi="Cambria Math"/>
                  <w:color w:val="000000" w:themeColor="text1"/>
                </w:rPr>
                <m:t>i=1</m:t>
              </m:r>
            </m:sub>
            <m:sup>
              <m:sSub>
                <m:sSubPr>
                  <m:ctrlPr>
                    <w:rPr>
                      <w:rFonts w:ascii="Cambria Math" w:hAnsi="Cambria Math"/>
                      <w:i/>
                      <w:color w:val="000000" w:themeColor="text1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</w:rPr>
                    <m:t>2</m:t>
                  </m:r>
                </m:sub>
              </m:sSub>
            </m:sup>
            <m:e>
              <m:sSub>
                <m:sSubPr>
                  <m:ctrlPr>
                    <w:rPr>
                      <w:rFonts w:ascii="Cambria Math" w:hAnsi="Cambria Math"/>
                      <w:i/>
                      <w:color w:val="000000" w:themeColor="text1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</w:rPr>
                    <m:t>it</m:t>
                  </m:r>
                </m:sub>
              </m:sSub>
            </m:e>
          </m:nary>
        </m:oMath>
      </m:oMathPara>
    </w:p>
    <w:p w14:paraId="64BB79AD" w14:textId="77777777" w:rsidR="002463E2" w:rsidRPr="00E50AAB" w:rsidRDefault="002463E2" w:rsidP="002463E2">
      <w:pPr>
        <w:spacing w:line="240" w:lineRule="auto"/>
        <w:jc w:val="both"/>
        <w:rPr>
          <w:color w:val="000000" w:themeColor="text1"/>
        </w:rPr>
      </w:pPr>
    </w:p>
    <w:p w14:paraId="0737C38F" w14:textId="77777777" w:rsidR="002463E2" w:rsidRPr="00E50AAB" w:rsidRDefault="002463E2" w:rsidP="002463E2">
      <w:pPr>
        <w:spacing w:line="240" w:lineRule="auto"/>
        <w:jc w:val="both"/>
        <w:rPr>
          <w:color w:val="000000" w:themeColor="text1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 w:themeColor="text1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</w:rPr>
                <m:t>FINTECH</m:t>
              </m:r>
            </m:e>
            <m:sub>
              <m:r>
                <w:rPr>
                  <w:rFonts w:ascii="Cambria Math" w:hAnsi="Cambria Math"/>
                  <w:color w:val="000000" w:themeColor="text1"/>
                </w:rPr>
                <m:t>t</m:t>
              </m:r>
            </m:sub>
          </m:sSub>
          <m:r>
            <w:rPr>
              <w:rFonts w:ascii="Cambria Math" w:hAnsi="Cambria Math"/>
              <w:color w:val="000000" w:themeColor="text1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 w:themeColor="text1"/>
                </w:rPr>
              </m:ctrlPr>
            </m:fPr>
            <m:num>
              <m:r>
                <w:rPr>
                  <w:rFonts w:ascii="Cambria Math" w:hAnsi="Cambria Math"/>
                  <w:color w:val="000000" w:themeColor="text1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color w:val="000000" w:themeColor="text1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</w:rPr>
                    <m:t>3</m:t>
                  </m:r>
                </m:sub>
              </m:sSub>
            </m:den>
          </m:f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color w:val="000000" w:themeColor="text1"/>
                </w:rPr>
              </m:ctrlPr>
            </m:naryPr>
            <m:sub>
              <m:r>
                <w:rPr>
                  <w:rFonts w:ascii="Cambria Math" w:hAnsi="Cambria Math"/>
                  <w:color w:val="000000" w:themeColor="text1"/>
                </w:rPr>
                <m:t>i=1</m:t>
              </m:r>
            </m:sub>
            <m:sup>
              <m:sSub>
                <m:sSubPr>
                  <m:ctrlPr>
                    <w:rPr>
                      <w:rFonts w:ascii="Cambria Math" w:hAnsi="Cambria Math"/>
                      <w:i/>
                      <w:color w:val="000000" w:themeColor="text1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</w:rPr>
                    <m:t>3</m:t>
                  </m:r>
                </m:sub>
              </m:sSub>
            </m:sup>
            <m:e>
              <m:sSub>
                <m:sSubPr>
                  <m:ctrlPr>
                    <w:rPr>
                      <w:rFonts w:ascii="Cambria Math" w:hAnsi="Cambria Math"/>
                      <w:i/>
                      <w:color w:val="000000" w:themeColor="text1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</w:rPr>
                    <m:t>it</m:t>
                  </m:r>
                </m:sub>
              </m:sSub>
            </m:e>
          </m:nary>
        </m:oMath>
      </m:oMathPara>
    </w:p>
    <w:p w14:paraId="0155F309" w14:textId="77777777" w:rsidR="002463E2" w:rsidRPr="00E50AAB" w:rsidRDefault="002463E2" w:rsidP="002463E2">
      <w:pPr>
        <w:spacing w:line="240" w:lineRule="auto"/>
        <w:jc w:val="both"/>
        <w:rPr>
          <w:color w:val="000000" w:themeColor="text1"/>
        </w:rPr>
      </w:pPr>
    </w:p>
    <w:p w14:paraId="59594894" w14:textId="77777777" w:rsidR="002463E2" w:rsidRPr="00E50AAB" w:rsidRDefault="002463E2" w:rsidP="002463E2">
      <w:pPr>
        <w:spacing w:line="240" w:lineRule="auto"/>
        <w:jc w:val="both"/>
        <w:rPr>
          <w:color w:val="000000" w:themeColor="text1"/>
        </w:rPr>
      </w:pPr>
    </w:p>
    <w:p w14:paraId="51424B54" w14:textId="77777777" w:rsidR="002463E2" w:rsidRPr="00E50AAB" w:rsidRDefault="002463E2" w:rsidP="002463E2">
      <w:pPr>
        <w:spacing w:line="240" w:lineRule="auto"/>
        <w:jc w:val="both"/>
        <w:rPr>
          <w:b/>
          <w:bCs/>
          <w:color w:val="000000" w:themeColor="text1"/>
        </w:rPr>
      </w:pPr>
      <w:r w:rsidRPr="00E50AAB">
        <w:rPr>
          <w:b/>
          <w:bCs/>
          <w:color w:val="000000" w:themeColor="text1"/>
        </w:rPr>
        <w:t>A5.2 Composite Index (FIN_DEV)</w:t>
      </w:r>
    </w:p>
    <w:p w14:paraId="7750BA97" w14:textId="77777777" w:rsidR="002463E2" w:rsidRPr="00E50AAB" w:rsidRDefault="002463E2" w:rsidP="002463E2">
      <w:pPr>
        <w:spacing w:line="240" w:lineRule="auto"/>
        <w:jc w:val="both"/>
        <w:rPr>
          <w:color w:val="000000" w:themeColor="text1"/>
        </w:rPr>
      </w:pPr>
      <w:r w:rsidRPr="00E50AAB">
        <w:rPr>
          <w:color w:val="000000" w:themeColor="text1"/>
        </w:rPr>
        <w:t>The overall FIN_DEV index is computed as the equally weighted average of the sub-indices:</w:t>
      </w:r>
    </w:p>
    <w:p w14:paraId="6F133454" w14:textId="77777777" w:rsidR="002463E2" w:rsidRPr="00E50AAB" w:rsidRDefault="002463E2" w:rsidP="002463E2">
      <w:pPr>
        <w:spacing w:line="240" w:lineRule="auto"/>
        <w:jc w:val="both"/>
        <w:rPr>
          <w:color w:val="000000" w:themeColor="text1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 w:themeColor="text1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</w:rPr>
                <m:t>FIN_DEV</m:t>
              </m:r>
            </m:e>
            <m:sub>
              <m:r>
                <w:rPr>
                  <w:rFonts w:ascii="Cambria Math" w:hAnsi="Cambria Math"/>
                  <w:color w:val="000000" w:themeColor="text1"/>
                </w:rPr>
                <m:t>t</m:t>
              </m:r>
            </m:sub>
          </m:sSub>
          <m:r>
            <w:rPr>
              <w:rFonts w:ascii="Cambria Math" w:hAnsi="Cambria Math"/>
              <w:color w:val="000000" w:themeColor="text1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 w:themeColor="text1"/>
                </w:rPr>
              </m:ctrlPr>
            </m:fPr>
            <m:num>
              <m:r>
                <w:rPr>
                  <w:rFonts w:ascii="Cambria Math" w:hAnsi="Cambria Math"/>
                  <w:color w:val="000000" w:themeColor="text1"/>
                </w:rPr>
                <m:t>1</m:t>
              </m:r>
            </m:num>
            <m:den>
              <m:r>
                <w:rPr>
                  <w:rFonts w:ascii="Cambria Math" w:hAnsi="Cambria Math"/>
                  <w:color w:val="000000" w:themeColor="text1"/>
                </w:rPr>
                <m:t>3</m:t>
              </m:r>
            </m:den>
          </m:f>
          <m:r>
            <w:rPr>
              <w:rFonts w:ascii="Cambria Math" w:hAnsi="Cambria Math"/>
              <w:color w:val="000000" w:themeColor="text1"/>
            </w:rPr>
            <m:t>(</m:t>
          </m:r>
          <m:sSub>
            <m:sSubPr>
              <m:ctrlPr>
                <w:rPr>
                  <w:rFonts w:ascii="Cambria Math" w:hAnsi="Cambria Math"/>
                  <w:i/>
                  <w:color w:val="000000" w:themeColor="text1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</w:rPr>
                <m:t>PAY</m:t>
              </m:r>
            </m:e>
            <m:sub>
              <m:r>
                <w:rPr>
                  <w:rFonts w:ascii="Cambria Math" w:hAnsi="Cambria Math"/>
                  <w:color w:val="000000" w:themeColor="text1"/>
                </w:rPr>
                <m:t>t</m:t>
              </m:r>
            </m:sub>
          </m:sSub>
          <m:r>
            <w:rPr>
              <w:rFonts w:ascii="Cambria Math" w:hAnsi="Cambria Math"/>
              <w:color w:val="000000" w:themeColor="text1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color w:val="000000" w:themeColor="text1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</w:rPr>
                <m:t>BANKDIG</m:t>
              </m:r>
            </m:e>
            <m:sub>
              <m:r>
                <w:rPr>
                  <w:rFonts w:ascii="Cambria Math" w:hAnsi="Cambria Math"/>
                  <w:color w:val="000000" w:themeColor="text1"/>
                </w:rPr>
                <m:t>t</m:t>
              </m:r>
            </m:sub>
          </m:sSub>
          <m:r>
            <w:rPr>
              <w:rFonts w:ascii="Cambria Math" w:hAnsi="Cambria Math"/>
              <w:color w:val="000000" w:themeColor="text1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color w:val="000000" w:themeColor="text1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</w:rPr>
                <m:t>FINTECH</m:t>
              </m:r>
            </m:e>
            <m:sub>
              <m:r>
                <w:rPr>
                  <w:rFonts w:ascii="Cambria Math" w:hAnsi="Cambria Math"/>
                  <w:color w:val="000000" w:themeColor="text1"/>
                </w:rPr>
                <m:t>t</m:t>
              </m:r>
            </m:sub>
          </m:sSub>
          <m:r>
            <w:rPr>
              <w:rFonts w:ascii="Cambria Math" w:hAnsi="Cambria Math"/>
              <w:color w:val="000000" w:themeColor="text1"/>
            </w:rPr>
            <m:t>)</m:t>
          </m:r>
        </m:oMath>
      </m:oMathPara>
    </w:p>
    <w:p w14:paraId="4ECB75EC" w14:textId="77777777" w:rsidR="002463E2" w:rsidRPr="00E50AAB" w:rsidRDefault="002463E2" w:rsidP="002463E2">
      <w:pPr>
        <w:spacing w:line="240" w:lineRule="auto"/>
        <w:jc w:val="both"/>
        <w:rPr>
          <w:color w:val="000000" w:themeColor="text1"/>
        </w:rPr>
      </w:pPr>
    </w:p>
    <w:p w14:paraId="6E77BEDD" w14:textId="77777777" w:rsidR="002463E2" w:rsidRPr="00E50AAB" w:rsidRDefault="002463E2" w:rsidP="002463E2">
      <w:pPr>
        <w:spacing w:line="240" w:lineRule="auto"/>
        <w:jc w:val="both"/>
        <w:rPr>
          <w:color w:val="000000" w:themeColor="text1"/>
        </w:rPr>
      </w:pPr>
      <w:r w:rsidRPr="00E50AAB">
        <w:rPr>
          <w:color w:val="000000" w:themeColor="text1"/>
        </w:rPr>
        <w:t>If fintech indicators are unavailable for certain years, the index is constructed as:</w:t>
      </w:r>
    </w:p>
    <w:p w14:paraId="02E22637" w14:textId="77777777" w:rsidR="002463E2" w:rsidRPr="00E50AAB" w:rsidRDefault="002463E2" w:rsidP="002463E2">
      <w:pPr>
        <w:spacing w:line="240" w:lineRule="auto"/>
        <w:jc w:val="both"/>
        <w:rPr>
          <w:color w:val="000000" w:themeColor="text1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 w:themeColor="text1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</w:rPr>
                <m:t>FIN_DEV</m:t>
              </m:r>
            </m:e>
            <m:sub>
              <m:r>
                <w:rPr>
                  <w:rFonts w:ascii="Cambria Math" w:hAnsi="Cambria Math"/>
                  <w:color w:val="000000" w:themeColor="text1"/>
                </w:rPr>
                <m:t>t</m:t>
              </m:r>
            </m:sub>
          </m:sSub>
          <m:r>
            <w:rPr>
              <w:rFonts w:ascii="Cambria Math" w:hAnsi="Cambria Math"/>
              <w:color w:val="000000" w:themeColor="text1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 w:themeColor="text1"/>
                </w:rPr>
              </m:ctrlPr>
            </m:fPr>
            <m:num>
              <m:r>
                <w:rPr>
                  <w:rFonts w:ascii="Cambria Math" w:hAnsi="Cambria Math"/>
                  <w:color w:val="000000" w:themeColor="text1"/>
                </w:rPr>
                <m:t>1</m:t>
              </m:r>
            </m:num>
            <m:den>
              <m:r>
                <w:rPr>
                  <w:rFonts w:ascii="Cambria Math" w:hAnsi="Cambria Math"/>
                  <w:color w:val="000000" w:themeColor="text1"/>
                </w:rPr>
                <m:t>2</m:t>
              </m:r>
            </m:den>
          </m:f>
          <m:r>
            <w:rPr>
              <w:rFonts w:ascii="Cambria Math" w:hAnsi="Cambria Math"/>
              <w:color w:val="000000" w:themeColor="text1"/>
            </w:rPr>
            <m:t>(</m:t>
          </m:r>
          <m:sSub>
            <m:sSubPr>
              <m:ctrlPr>
                <w:rPr>
                  <w:rFonts w:ascii="Cambria Math" w:hAnsi="Cambria Math"/>
                  <w:i/>
                  <w:color w:val="000000" w:themeColor="text1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</w:rPr>
                <m:t>PAY</m:t>
              </m:r>
            </m:e>
            <m:sub>
              <m:r>
                <w:rPr>
                  <w:rFonts w:ascii="Cambria Math" w:hAnsi="Cambria Math"/>
                  <w:color w:val="000000" w:themeColor="text1"/>
                </w:rPr>
                <m:t>t</m:t>
              </m:r>
            </m:sub>
          </m:sSub>
          <m:r>
            <w:rPr>
              <w:rFonts w:ascii="Cambria Math" w:hAnsi="Cambria Math"/>
              <w:color w:val="000000" w:themeColor="text1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color w:val="000000" w:themeColor="text1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</w:rPr>
                <m:t>BANKDIG</m:t>
              </m:r>
            </m:e>
            <m:sub>
              <m:r>
                <w:rPr>
                  <w:rFonts w:ascii="Cambria Math" w:hAnsi="Cambria Math"/>
                  <w:color w:val="000000" w:themeColor="text1"/>
                </w:rPr>
                <m:t>t</m:t>
              </m:r>
            </m:sub>
          </m:sSub>
          <m:r>
            <w:rPr>
              <w:rFonts w:ascii="Cambria Math" w:hAnsi="Cambria Math"/>
              <w:color w:val="000000" w:themeColor="text1"/>
            </w:rPr>
            <m:t>)</m:t>
          </m:r>
        </m:oMath>
      </m:oMathPara>
    </w:p>
    <w:p w14:paraId="38E0BE42" w14:textId="77777777" w:rsidR="002463E2" w:rsidRPr="00E50AAB" w:rsidRDefault="002463E2" w:rsidP="002463E2">
      <w:pPr>
        <w:spacing w:line="240" w:lineRule="auto"/>
        <w:jc w:val="both"/>
        <w:rPr>
          <w:color w:val="000000" w:themeColor="text1"/>
        </w:rPr>
      </w:pPr>
    </w:p>
    <w:p w14:paraId="20EFBF40" w14:textId="77777777" w:rsidR="002463E2" w:rsidRPr="00E50AAB" w:rsidRDefault="002463E2" w:rsidP="002463E2">
      <w:pPr>
        <w:spacing w:line="240" w:lineRule="auto"/>
        <w:jc w:val="both"/>
        <w:rPr>
          <w:color w:val="000000" w:themeColor="text1"/>
        </w:rPr>
      </w:pPr>
    </w:p>
    <w:p w14:paraId="2888B97E" w14:textId="77777777" w:rsidR="002463E2" w:rsidRPr="00E50AAB" w:rsidRDefault="002463E2" w:rsidP="002463E2">
      <w:pPr>
        <w:spacing w:line="240" w:lineRule="auto"/>
        <w:jc w:val="both"/>
        <w:rPr>
          <w:b/>
          <w:bCs/>
          <w:color w:val="000000" w:themeColor="text1"/>
        </w:rPr>
      </w:pPr>
      <w:r w:rsidRPr="00E50AAB">
        <w:rPr>
          <w:b/>
          <w:bCs/>
          <w:color w:val="000000" w:themeColor="text1"/>
        </w:rPr>
        <w:t>A6. Robustness Check (Alternative Weighting)</w:t>
      </w:r>
    </w:p>
    <w:p w14:paraId="2040D5F1" w14:textId="77777777" w:rsidR="002463E2" w:rsidRPr="00E50AAB" w:rsidRDefault="002463E2" w:rsidP="002463E2">
      <w:pPr>
        <w:spacing w:line="240" w:lineRule="auto"/>
        <w:jc w:val="both"/>
        <w:rPr>
          <w:color w:val="000000" w:themeColor="text1"/>
        </w:rPr>
      </w:pPr>
      <w:r w:rsidRPr="00E50AAB">
        <w:rPr>
          <w:color w:val="000000" w:themeColor="text1"/>
        </w:rPr>
        <w:t>As a robustness check, an alternative index is constructed using Principal Component Analysis (PCA):</w:t>
      </w:r>
    </w:p>
    <w:p w14:paraId="725C36BF" w14:textId="77777777" w:rsidR="002463E2" w:rsidRPr="00E50AAB" w:rsidRDefault="002463E2" w:rsidP="002463E2">
      <w:pPr>
        <w:spacing w:line="240" w:lineRule="auto"/>
        <w:jc w:val="both"/>
        <w:rPr>
          <w:color w:val="000000" w:themeColor="text1"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  <w:color w:val="000000" w:themeColor="text1"/>
                </w:rPr>
              </m:ctrlPr>
            </m:sSubSupPr>
            <m:e>
              <m:r>
                <w:rPr>
                  <w:rFonts w:ascii="Cambria Math" w:hAnsi="Cambria Math"/>
                  <w:color w:val="000000" w:themeColor="text1"/>
                </w:rPr>
                <m:t>FIN_DEV</m:t>
              </m:r>
            </m:e>
            <m:sub>
              <m:r>
                <w:rPr>
                  <w:rFonts w:ascii="Cambria Math" w:hAnsi="Cambria Math"/>
                  <w:color w:val="000000" w:themeColor="text1"/>
                </w:rPr>
                <m:t>t</m:t>
              </m:r>
            </m:sub>
            <m:sup>
              <m:r>
                <w:rPr>
                  <w:rFonts w:ascii="Cambria Math" w:hAnsi="Cambria Math"/>
                  <w:color w:val="000000" w:themeColor="text1"/>
                </w:rPr>
                <m:t>PCA</m:t>
              </m:r>
            </m:sup>
          </m:sSubSup>
          <m:r>
            <w:rPr>
              <w:rFonts w:ascii="Cambria Math" w:hAnsi="Cambria Math"/>
              <w:color w:val="000000" w:themeColor="text1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color w:val="000000" w:themeColor="text1"/>
                </w:rPr>
              </m:ctrlPr>
            </m:naryPr>
            <m:sub>
              <m:r>
                <w:rPr>
                  <w:rFonts w:ascii="Cambria Math" w:hAnsi="Cambria Math"/>
                  <w:color w:val="000000" w:themeColor="text1"/>
                </w:rPr>
                <m:t>i=1</m:t>
              </m:r>
            </m:sub>
            <m:sup>
              <m:r>
                <w:rPr>
                  <w:rFonts w:ascii="Cambria Math" w:hAnsi="Cambria Math"/>
                  <w:color w:val="000000" w:themeColor="text1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  <w:color w:val="000000" w:themeColor="text1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</w:rPr>
                    <m:t>w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</w:rPr>
                    <m:t>i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color w:val="000000" w:themeColor="text1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</w:rPr>
                    <m:t>Z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</w:rPr>
                    <m:t>it</m:t>
                  </m:r>
                </m:sub>
              </m:sSub>
            </m:e>
          </m:nary>
        </m:oMath>
      </m:oMathPara>
    </w:p>
    <w:p w14:paraId="56AD2011" w14:textId="77777777" w:rsidR="002463E2" w:rsidRPr="00E50AAB" w:rsidRDefault="002463E2" w:rsidP="002463E2">
      <w:pPr>
        <w:spacing w:line="240" w:lineRule="auto"/>
        <w:jc w:val="both"/>
        <w:rPr>
          <w:color w:val="000000" w:themeColor="text1"/>
        </w:rPr>
      </w:pPr>
    </w:p>
    <w:p w14:paraId="4AB40E8E" w14:textId="77777777" w:rsidR="002463E2" w:rsidRPr="00E50AAB" w:rsidRDefault="002463E2" w:rsidP="002463E2">
      <w:pPr>
        <w:spacing w:line="240" w:lineRule="auto"/>
        <w:jc w:val="both"/>
        <w:rPr>
          <w:color w:val="000000" w:themeColor="text1"/>
        </w:rPr>
      </w:pPr>
      <w:r w:rsidRPr="00E50AAB">
        <w:rPr>
          <w:color w:val="000000" w:themeColor="text1"/>
        </w:rPr>
        <w:t xml:space="preserve">where </w:t>
      </w:r>
      <m:oMath>
        <m:sSub>
          <m:sSubPr>
            <m:ctrlPr>
              <w:rPr>
                <w:rFonts w:ascii="Cambria Math" w:hAnsi="Cambria Math"/>
                <w:i/>
                <w:color w:val="000000" w:themeColor="text1"/>
              </w:rPr>
            </m:ctrlPr>
          </m:sSubPr>
          <m:e>
            <m:r>
              <w:rPr>
                <w:rFonts w:ascii="Cambria Math" w:hAnsi="Cambria Math"/>
                <w:color w:val="000000" w:themeColor="text1"/>
              </w:rPr>
              <m:t>w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i</m:t>
            </m:r>
          </m:sub>
        </m:sSub>
      </m:oMath>
      <w:r w:rsidRPr="00E50AAB">
        <w:rPr>
          <w:color w:val="000000" w:themeColor="text1"/>
        </w:rPr>
        <w:t xml:space="preserve">  are the factor loadings from the first principal component.</w:t>
      </w:r>
    </w:p>
    <w:p w14:paraId="789F4A61" w14:textId="77777777" w:rsidR="002463E2" w:rsidRPr="00E50AAB" w:rsidRDefault="002463E2" w:rsidP="002463E2">
      <w:pPr>
        <w:spacing w:line="240" w:lineRule="auto"/>
        <w:jc w:val="both"/>
        <w:rPr>
          <w:color w:val="000000" w:themeColor="text1"/>
        </w:rPr>
      </w:pPr>
    </w:p>
    <w:p w14:paraId="11F5618E" w14:textId="77777777" w:rsidR="002463E2" w:rsidRPr="00E50AAB" w:rsidRDefault="002463E2" w:rsidP="002463E2">
      <w:pPr>
        <w:spacing w:line="240" w:lineRule="auto"/>
        <w:jc w:val="both"/>
        <w:rPr>
          <w:color w:val="000000" w:themeColor="text1"/>
        </w:rPr>
      </w:pPr>
    </w:p>
    <w:p w14:paraId="0DAC30DF" w14:textId="77777777" w:rsidR="002463E2" w:rsidRPr="00E50AAB" w:rsidRDefault="002463E2" w:rsidP="002463E2">
      <w:pPr>
        <w:spacing w:line="240" w:lineRule="auto"/>
        <w:jc w:val="both"/>
        <w:rPr>
          <w:color w:val="000000" w:themeColor="text1"/>
        </w:rPr>
      </w:pPr>
    </w:p>
    <w:p w14:paraId="21DB9BE7" w14:textId="77777777" w:rsidR="002463E2" w:rsidRPr="00E50AAB" w:rsidRDefault="002463E2" w:rsidP="002463E2">
      <w:pPr>
        <w:spacing w:line="240" w:lineRule="auto"/>
        <w:jc w:val="both"/>
        <w:rPr>
          <w:color w:val="000000" w:themeColor="text1"/>
        </w:rPr>
      </w:pPr>
    </w:p>
    <w:p w14:paraId="00F8ABF0" w14:textId="77777777" w:rsidR="002463E2" w:rsidRPr="00E50AAB" w:rsidRDefault="002463E2" w:rsidP="002463E2">
      <w:pPr>
        <w:spacing w:line="240" w:lineRule="auto"/>
        <w:jc w:val="both"/>
        <w:rPr>
          <w:color w:val="000000" w:themeColor="text1"/>
        </w:rPr>
      </w:pPr>
    </w:p>
    <w:p w14:paraId="5EE8C072" w14:textId="77777777" w:rsidR="002463E2" w:rsidRPr="00E50AAB" w:rsidRDefault="002463E2" w:rsidP="002463E2">
      <w:pPr>
        <w:spacing w:line="240" w:lineRule="auto"/>
        <w:jc w:val="both"/>
        <w:rPr>
          <w:b/>
          <w:bCs/>
          <w:color w:val="000000" w:themeColor="text1"/>
        </w:rPr>
      </w:pPr>
      <w:r w:rsidRPr="00E50AAB">
        <w:rPr>
          <w:b/>
          <w:bCs/>
          <w:color w:val="000000" w:themeColor="text1"/>
        </w:rPr>
        <w:lastRenderedPageBreak/>
        <w:t>A7. Indicator Summary Table</w:t>
      </w:r>
    </w:p>
    <w:p w14:paraId="222BC057" w14:textId="77777777" w:rsidR="002463E2" w:rsidRPr="00E50AAB" w:rsidRDefault="002463E2" w:rsidP="002463E2">
      <w:pPr>
        <w:spacing w:line="240" w:lineRule="auto"/>
        <w:jc w:val="both"/>
        <w:rPr>
          <w:color w:val="000000" w:themeColor="text1"/>
        </w:rPr>
      </w:pPr>
      <w:r w:rsidRPr="00E50AAB">
        <w:rPr>
          <w:color w:val="000000" w:themeColor="text1"/>
        </w:rPr>
        <w:t>Table A1. Components of the Digital Financial Development Index (FIN_DEV)</w:t>
      </w:r>
    </w:p>
    <w:p w14:paraId="037E9044" w14:textId="77777777" w:rsidR="002463E2" w:rsidRPr="00E50AAB" w:rsidRDefault="002463E2" w:rsidP="002463E2">
      <w:pPr>
        <w:spacing w:line="240" w:lineRule="auto"/>
        <w:jc w:val="both"/>
        <w:rPr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69"/>
        <w:gridCol w:w="1970"/>
        <w:gridCol w:w="1970"/>
        <w:gridCol w:w="1970"/>
        <w:gridCol w:w="1970"/>
      </w:tblGrid>
      <w:tr w:rsidR="002463E2" w:rsidRPr="00E50AAB" w14:paraId="157776D7" w14:textId="77777777" w:rsidTr="008325B9">
        <w:tc>
          <w:tcPr>
            <w:tcW w:w="1969" w:type="dxa"/>
          </w:tcPr>
          <w:p w14:paraId="29713F32" w14:textId="77777777" w:rsidR="002463E2" w:rsidRPr="00E50AAB" w:rsidRDefault="002463E2" w:rsidP="008325B9">
            <w:pPr>
              <w:spacing w:line="240" w:lineRule="auto"/>
              <w:jc w:val="center"/>
              <w:rPr>
                <w:b/>
                <w:bCs/>
                <w:color w:val="000000" w:themeColor="text1"/>
              </w:rPr>
            </w:pPr>
            <w:r w:rsidRPr="00E50AAB">
              <w:rPr>
                <w:b/>
                <w:bCs/>
                <w:color w:val="000000" w:themeColor="text1"/>
              </w:rPr>
              <w:t>Dimension</w:t>
            </w:r>
          </w:p>
        </w:tc>
        <w:tc>
          <w:tcPr>
            <w:tcW w:w="1970" w:type="dxa"/>
          </w:tcPr>
          <w:p w14:paraId="7892275E" w14:textId="77777777" w:rsidR="002463E2" w:rsidRPr="00E50AAB" w:rsidRDefault="002463E2" w:rsidP="008325B9">
            <w:pPr>
              <w:spacing w:line="240" w:lineRule="auto"/>
              <w:jc w:val="center"/>
              <w:rPr>
                <w:b/>
                <w:bCs/>
                <w:color w:val="000000" w:themeColor="text1"/>
              </w:rPr>
            </w:pPr>
            <w:r w:rsidRPr="00E50AAB">
              <w:rPr>
                <w:b/>
                <w:bCs/>
                <w:color w:val="000000" w:themeColor="text1"/>
              </w:rPr>
              <w:t>Indicator</w:t>
            </w:r>
          </w:p>
        </w:tc>
        <w:tc>
          <w:tcPr>
            <w:tcW w:w="1970" w:type="dxa"/>
          </w:tcPr>
          <w:p w14:paraId="19FD48EC" w14:textId="77777777" w:rsidR="002463E2" w:rsidRPr="00E50AAB" w:rsidRDefault="002463E2" w:rsidP="008325B9">
            <w:pPr>
              <w:spacing w:line="240" w:lineRule="auto"/>
              <w:jc w:val="center"/>
              <w:rPr>
                <w:b/>
                <w:bCs/>
                <w:color w:val="000000" w:themeColor="text1"/>
              </w:rPr>
            </w:pPr>
            <w:r w:rsidRPr="00E50AAB">
              <w:rPr>
                <w:b/>
                <w:bCs/>
                <w:color w:val="000000" w:themeColor="text1"/>
              </w:rPr>
              <w:t>Transformation</w:t>
            </w:r>
          </w:p>
        </w:tc>
        <w:tc>
          <w:tcPr>
            <w:tcW w:w="1970" w:type="dxa"/>
          </w:tcPr>
          <w:p w14:paraId="24E33E4F" w14:textId="77777777" w:rsidR="002463E2" w:rsidRPr="00E50AAB" w:rsidRDefault="002463E2" w:rsidP="008325B9">
            <w:pPr>
              <w:spacing w:line="240" w:lineRule="auto"/>
              <w:jc w:val="center"/>
              <w:rPr>
                <w:b/>
                <w:bCs/>
                <w:color w:val="000000" w:themeColor="text1"/>
              </w:rPr>
            </w:pPr>
            <w:r w:rsidRPr="00E50AAB">
              <w:rPr>
                <w:b/>
                <w:bCs/>
                <w:color w:val="000000" w:themeColor="text1"/>
              </w:rPr>
              <w:t>Frequency Conversion</w:t>
            </w:r>
          </w:p>
        </w:tc>
        <w:tc>
          <w:tcPr>
            <w:tcW w:w="1970" w:type="dxa"/>
          </w:tcPr>
          <w:p w14:paraId="3CDA157F" w14:textId="77777777" w:rsidR="002463E2" w:rsidRPr="00E50AAB" w:rsidRDefault="002463E2" w:rsidP="008325B9">
            <w:pPr>
              <w:spacing w:line="240" w:lineRule="auto"/>
              <w:jc w:val="center"/>
              <w:rPr>
                <w:b/>
                <w:bCs/>
                <w:color w:val="000000" w:themeColor="text1"/>
              </w:rPr>
            </w:pPr>
            <w:r w:rsidRPr="00E50AAB">
              <w:rPr>
                <w:b/>
                <w:bCs/>
                <w:color w:val="000000" w:themeColor="text1"/>
              </w:rPr>
              <w:t>Source</w:t>
            </w:r>
          </w:p>
        </w:tc>
      </w:tr>
      <w:tr w:rsidR="002463E2" w:rsidRPr="00E50AAB" w14:paraId="3FAA59A3" w14:textId="77777777" w:rsidTr="008325B9">
        <w:tc>
          <w:tcPr>
            <w:tcW w:w="1969" w:type="dxa"/>
          </w:tcPr>
          <w:p w14:paraId="2316D772" w14:textId="77777777" w:rsidR="002463E2" w:rsidRPr="00E50AAB" w:rsidRDefault="002463E2" w:rsidP="008325B9">
            <w:pPr>
              <w:spacing w:line="240" w:lineRule="auto"/>
              <w:jc w:val="both"/>
              <w:rPr>
                <w:color w:val="000000" w:themeColor="text1"/>
              </w:rPr>
            </w:pPr>
            <w:r w:rsidRPr="00E50AAB">
              <w:rPr>
                <w:color w:val="000000" w:themeColor="text1"/>
              </w:rPr>
              <w:t>Digital payments</w:t>
            </w:r>
          </w:p>
        </w:tc>
        <w:tc>
          <w:tcPr>
            <w:tcW w:w="1970" w:type="dxa"/>
          </w:tcPr>
          <w:p w14:paraId="3E53F2E0" w14:textId="77777777" w:rsidR="002463E2" w:rsidRPr="00E50AAB" w:rsidRDefault="002463E2" w:rsidP="008325B9">
            <w:pPr>
              <w:spacing w:line="240" w:lineRule="auto"/>
              <w:rPr>
                <w:color w:val="000000" w:themeColor="text1"/>
              </w:rPr>
            </w:pPr>
            <w:r w:rsidRPr="00E50AAB">
              <w:rPr>
                <w:color w:val="000000" w:themeColor="text1"/>
              </w:rPr>
              <w:t>Electronic money transaction value</w:t>
            </w:r>
          </w:p>
        </w:tc>
        <w:tc>
          <w:tcPr>
            <w:tcW w:w="1970" w:type="dxa"/>
          </w:tcPr>
          <w:p w14:paraId="359959A3" w14:textId="77777777" w:rsidR="002463E2" w:rsidRPr="00E50AAB" w:rsidRDefault="002463E2" w:rsidP="008325B9">
            <w:pPr>
              <w:spacing w:line="240" w:lineRule="auto"/>
              <w:rPr>
                <w:color w:val="000000" w:themeColor="text1"/>
              </w:rPr>
            </w:pPr>
            <w:r w:rsidRPr="00E50AAB">
              <w:rPr>
                <w:color w:val="000000" w:themeColor="text1"/>
              </w:rPr>
              <w:t>CPI-deflated, per capita, log, z-score</w:t>
            </w:r>
          </w:p>
        </w:tc>
        <w:tc>
          <w:tcPr>
            <w:tcW w:w="1970" w:type="dxa"/>
          </w:tcPr>
          <w:p w14:paraId="57108905" w14:textId="77777777" w:rsidR="002463E2" w:rsidRPr="00E50AAB" w:rsidRDefault="002463E2" w:rsidP="008325B9">
            <w:pPr>
              <w:spacing w:line="240" w:lineRule="auto"/>
              <w:rPr>
                <w:color w:val="000000" w:themeColor="text1"/>
              </w:rPr>
            </w:pPr>
            <w:r w:rsidRPr="00E50AAB">
              <w:rPr>
                <w:color w:val="000000" w:themeColor="text1"/>
              </w:rPr>
              <w:t xml:space="preserve">Monthly sum </w:t>
            </w:r>
            <w:r w:rsidRPr="00E50AAB">
              <w:rPr>
                <w:color w:val="000000" w:themeColor="text1"/>
              </w:rPr>
              <w:sym w:font="Wingdings" w:char="F0E0"/>
            </w:r>
            <w:r w:rsidRPr="00E50AAB">
              <w:rPr>
                <w:color w:val="000000" w:themeColor="text1"/>
              </w:rPr>
              <w:t xml:space="preserve"> annual</w:t>
            </w:r>
          </w:p>
        </w:tc>
        <w:tc>
          <w:tcPr>
            <w:tcW w:w="1970" w:type="dxa"/>
          </w:tcPr>
          <w:p w14:paraId="3065779C" w14:textId="77777777" w:rsidR="002463E2" w:rsidRPr="00E50AAB" w:rsidRDefault="002463E2" w:rsidP="008325B9">
            <w:pPr>
              <w:spacing w:line="240" w:lineRule="auto"/>
              <w:rPr>
                <w:color w:val="000000" w:themeColor="text1"/>
              </w:rPr>
            </w:pPr>
            <w:r w:rsidRPr="00E50AAB">
              <w:rPr>
                <w:color w:val="000000" w:themeColor="text1"/>
              </w:rPr>
              <w:t>Bank Indonesia (PSFMI)</w:t>
            </w:r>
          </w:p>
        </w:tc>
      </w:tr>
      <w:tr w:rsidR="002463E2" w:rsidRPr="00E50AAB" w14:paraId="79DD9873" w14:textId="77777777" w:rsidTr="008325B9">
        <w:tc>
          <w:tcPr>
            <w:tcW w:w="1969" w:type="dxa"/>
          </w:tcPr>
          <w:p w14:paraId="053DA460" w14:textId="77777777" w:rsidR="002463E2" w:rsidRPr="00E50AAB" w:rsidRDefault="002463E2" w:rsidP="008325B9">
            <w:pPr>
              <w:spacing w:line="240" w:lineRule="auto"/>
              <w:jc w:val="both"/>
              <w:rPr>
                <w:color w:val="000000" w:themeColor="text1"/>
              </w:rPr>
            </w:pPr>
            <w:r w:rsidRPr="00E50AAB">
              <w:rPr>
                <w:color w:val="000000" w:themeColor="text1"/>
              </w:rPr>
              <w:t>Digital payments</w:t>
            </w:r>
          </w:p>
        </w:tc>
        <w:tc>
          <w:tcPr>
            <w:tcW w:w="1970" w:type="dxa"/>
          </w:tcPr>
          <w:p w14:paraId="28D7A868" w14:textId="77777777" w:rsidR="002463E2" w:rsidRPr="00E50AAB" w:rsidRDefault="002463E2" w:rsidP="008325B9">
            <w:pPr>
              <w:spacing w:line="240" w:lineRule="auto"/>
              <w:rPr>
                <w:color w:val="000000" w:themeColor="text1"/>
              </w:rPr>
            </w:pPr>
            <w:r w:rsidRPr="00E50AAB">
              <w:rPr>
                <w:color w:val="000000" w:themeColor="text1"/>
              </w:rPr>
              <w:t>Electronic money transaction value</w:t>
            </w:r>
          </w:p>
        </w:tc>
        <w:tc>
          <w:tcPr>
            <w:tcW w:w="1970" w:type="dxa"/>
          </w:tcPr>
          <w:p w14:paraId="746453BA" w14:textId="77777777" w:rsidR="002463E2" w:rsidRPr="00E50AAB" w:rsidRDefault="002463E2" w:rsidP="008325B9">
            <w:pPr>
              <w:spacing w:line="240" w:lineRule="auto"/>
              <w:rPr>
                <w:color w:val="000000" w:themeColor="text1"/>
              </w:rPr>
            </w:pPr>
            <w:r w:rsidRPr="00E50AAB">
              <w:rPr>
                <w:color w:val="000000" w:themeColor="text1"/>
              </w:rPr>
              <w:t>Per capita, log, z-score</w:t>
            </w:r>
          </w:p>
        </w:tc>
        <w:tc>
          <w:tcPr>
            <w:tcW w:w="1970" w:type="dxa"/>
          </w:tcPr>
          <w:p w14:paraId="47ECFE61" w14:textId="77777777" w:rsidR="002463E2" w:rsidRPr="00E50AAB" w:rsidRDefault="002463E2" w:rsidP="008325B9">
            <w:pPr>
              <w:spacing w:line="240" w:lineRule="auto"/>
              <w:rPr>
                <w:color w:val="000000" w:themeColor="text1"/>
              </w:rPr>
            </w:pPr>
            <w:r w:rsidRPr="00E50AAB">
              <w:rPr>
                <w:color w:val="000000" w:themeColor="text1"/>
              </w:rPr>
              <w:t xml:space="preserve">Monthly sum </w:t>
            </w:r>
            <w:r w:rsidRPr="00E50AAB">
              <w:rPr>
                <w:color w:val="000000" w:themeColor="text1"/>
              </w:rPr>
              <w:sym w:font="Wingdings" w:char="F0E0"/>
            </w:r>
            <w:r w:rsidRPr="00E50AAB">
              <w:rPr>
                <w:color w:val="000000" w:themeColor="text1"/>
              </w:rPr>
              <w:t xml:space="preserve"> annual</w:t>
            </w:r>
          </w:p>
        </w:tc>
        <w:tc>
          <w:tcPr>
            <w:tcW w:w="1970" w:type="dxa"/>
          </w:tcPr>
          <w:p w14:paraId="69E7BA29" w14:textId="77777777" w:rsidR="002463E2" w:rsidRPr="00E50AAB" w:rsidRDefault="002463E2" w:rsidP="008325B9">
            <w:pPr>
              <w:spacing w:line="240" w:lineRule="auto"/>
              <w:rPr>
                <w:color w:val="000000" w:themeColor="text1"/>
              </w:rPr>
            </w:pPr>
            <w:r w:rsidRPr="00E50AAB">
              <w:rPr>
                <w:color w:val="000000" w:themeColor="text1"/>
              </w:rPr>
              <w:t>Bank Indonesia (PSFMI)</w:t>
            </w:r>
          </w:p>
        </w:tc>
      </w:tr>
      <w:tr w:rsidR="002463E2" w:rsidRPr="00E50AAB" w14:paraId="25B51209" w14:textId="77777777" w:rsidTr="008325B9">
        <w:tc>
          <w:tcPr>
            <w:tcW w:w="1969" w:type="dxa"/>
          </w:tcPr>
          <w:p w14:paraId="452E60A6" w14:textId="77777777" w:rsidR="002463E2" w:rsidRPr="00E50AAB" w:rsidRDefault="002463E2" w:rsidP="008325B9">
            <w:pPr>
              <w:spacing w:line="240" w:lineRule="auto"/>
              <w:jc w:val="both"/>
              <w:rPr>
                <w:color w:val="000000" w:themeColor="text1"/>
              </w:rPr>
            </w:pPr>
            <w:r w:rsidRPr="00E50AAB">
              <w:rPr>
                <w:color w:val="000000" w:themeColor="text1"/>
              </w:rPr>
              <w:t>Digital banking</w:t>
            </w:r>
          </w:p>
        </w:tc>
        <w:tc>
          <w:tcPr>
            <w:tcW w:w="1970" w:type="dxa"/>
          </w:tcPr>
          <w:p w14:paraId="1F3E974C" w14:textId="77777777" w:rsidR="002463E2" w:rsidRPr="00E50AAB" w:rsidRDefault="002463E2" w:rsidP="008325B9">
            <w:pPr>
              <w:spacing w:line="240" w:lineRule="auto"/>
              <w:rPr>
                <w:color w:val="000000" w:themeColor="text1"/>
              </w:rPr>
            </w:pPr>
            <w:r w:rsidRPr="00E50AAB">
              <w:rPr>
                <w:color w:val="000000" w:themeColor="text1"/>
              </w:rPr>
              <w:t>Mobile banking transaction value</w:t>
            </w:r>
          </w:p>
        </w:tc>
        <w:tc>
          <w:tcPr>
            <w:tcW w:w="1970" w:type="dxa"/>
          </w:tcPr>
          <w:p w14:paraId="3F3F1407" w14:textId="77777777" w:rsidR="002463E2" w:rsidRPr="00E50AAB" w:rsidRDefault="002463E2" w:rsidP="008325B9">
            <w:pPr>
              <w:spacing w:line="240" w:lineRule="auto"/>
              <w:rPr>
                <w:color w:val="000000" w:themeColor="text1"/>
              </w:rPr>
            </w:pPr>
            <w:r w:rsidRPr="00E50AAB">
              <w:rPr>
                <w:color w:val="000000" w:themeColor="text1"/>
              </w:rPr>
              <w:t>CPI-deflated, per capita, log, z-score</w:t>
            </w:r>
          </w:p>
        </w:tc>
        <w:tc>
          <w:tcPr>
            <w:tcW w:w="1970" w:type="dxa"/>
          </w:tcPr>
          <w:p w14:paraId="71F02D14" w14:textId="77777777" w:rsidR="002463E2" w:rsidRPr="00E50AAB" w:rsidRDefault="002463E2" w:rsidP="008325B9">
            <w:pPr>
              <w:spacing w:line="240" w:lineRule="auto"/>
              <w:rPr>
                <w:color w:val="000000" w:themeColor="text1"/>
              </w:rPr>
            </w:pPr>
            <w:r w:rsidRPr="00E50AAB">
              <w:rPr>
                <w:color w:val="000000" w:themeColor="text1"/>
              </w:rPr>
              <w:t xml:space="preserve">Monthly sum </w:t>
            </w:r>
            <w:r w:rsidRPr="00E50AAB">
              <w:rPr>
                <w:color w:val="000000" w:themeColor="text1"/>
              </w:rPr>
              <w:sym w:font="Wingdings" w:char="F0E0"/>
            </w:r>
            <w:r w:rsidRPr="00E50AAB">
              <w:rPr>
                <w:color w:val="000000" w:themeColor="text1"/>
              </w:rPr>
              <w:t xml:space="preserve"> annual</w:t>
            </w:r>
          </w:p>
        </w:tc>
        <w:tc>
          <w:tcPr>
            <w:tcW w:w="1970" w:type="dxa"/>
          </w:tcPr>
          <w:p w14:paraId="25FE3E9F" w14:textId="77777777" w:rsidR="002463E2" w:rsidRPr="00E50AAB" w:rsidRDefault="002463E2" w:rsidP="008325B9">
            <w:pPr>
              <w:spacing w:line="240" w:lineRule="auto"/>
              <w:rPr>
                <w:color w:val="000000" w:themeColor="text1"/>
              </w:rPr>
            </w:pPr>
            <w:r w:rsidRPr="00E50AAB">
              <w:rPr>
                <w:color w:val="000000" w:themeColor="text1"/>
              </w:rPr>
              <w:t>Bank Indonesia/OJK</w:t>
            </w:r>
          </w:p>
        </w:tc>
      </w:tr>
      <w:tr w:rsidR="002463E2" w:rsidRPr="00E50AAB" w14:paraId="3723ED17" w14:textId="77777777" w:rsidTr="008325B9">
        <w:tc>
          <w:tcPr>
            <w:tcW w:w="1969" w:type="dxa"/>
          </w:tcPr>
          <w:p w14:paraId="2E81A68E" w14:textId="77777777" w:rsidR="002463E2" w:rsidRPr="00E50AAB" w:rsidRDefault="002463E2" w:rsidP="008325B9">
            <w:pPr>
              <w:spacing w:line="240" w:lineRule="auto"/>
              <w:jc w:val="both"/>
              <w:rPr>
                <w:color w:val="000000" w:themeColor="text1"/>
              </w:rPr>
            </w:pPr>
            <w:r w:rsidRPr="00E50AAB">
              <w:rPr>
                <w:color w:val="000000" w:themeColor="text1"/>
              </w:rPr>
              <w:t>Digital banking</w:t>
            </w:r>
          </w:p>
        </w:tc>
        <w:tc>
          <w:tcPr>
            <w:tcW w:w="1970" w:type="dxa"/>
          </w:tcPr>
          <w:p w14:paraId="3EDF73C5" w14:textId="77777777" w:rsidR="002463E2" w:rsidRPr="00E50AAB" w:rsidRDefault="002463E2" w:rsidP="008325B9">
            <w:pPr>
              <w:spacing w:line="240" w:lineRule="auto"/>
              <w:rPr>
                <w:color w:val="000000" w:themeColor="text1"/>
              </w:rPr>
            </w:pPr>
            <w:r w:rsidRPr="00E50AAB">
              <w:rPr>
                <w:color w:val="000000" w:themeColor="text1"/>
              </w:rPr>
              <w:t>Internet banking transaction value</w:t>
            </w:r>
          </w:p>
        </w:tc>
        <w:tc>
          <w:tcPr>
            <w:tcW w:w="1970" w:type="dxa"/>
          </w:tcPr>
          <w:p w14:paraId="1D6932C5" w14:textId="77777777" w:rsidR="002463E2" w:rsidRPr="00E50AAB" w:rsidRDefault="002463E2" w:rsidP="008325B9">
            <w:pPr>
              <w:spacing w:line="240" w:lineRule="auto"/>
              <w:rPr>
                <w:color w:val="000000" w:themeColor="text1"/>
              </w:rPr>
            </w:pPr>
            <w:r w:rsidRPr="00E50AAB">
              <w:rPr>
                <w:color w:val="000000" w:themeColor="text1"/>
              </w:rPr>
              <w:t>CPI-deflated, per capita, log, z-score</w:t>
            </w:r>
          </w:p>
        </w:tc>
        <w:tc>
          <w:tcPr>
            <w:tcW w:w="1970" w:type="dxa"/>
          </w:tcPr>
          <w:p w14:paraId="67CD801D" w14:textId="77777777" w:rsidR="002463E2" w:rsidRPr="00E50AAB" w:rsidRDefault="002463E2" w:rsidP="008325B9">
            <w:pPr>
              <w:spacing w:line="240" w:lineRule="auto"/>
              <w:rPr>
                <w:color w:val="000000" w:themeColor="text1"/>
              </w:rPr>
            </w:pPr>
            <w:r w:rsidRPr="00E50AAB">
              <w:rPr>
                <w:color w:val="000000" w:themeColor="text1"/>
              </w:rPr>
              <w:t xml:space="preserve">Monthly sum </w:t>
            </w:r>
            <w:r w:rsidRPr="00E50AAB">
              <w:rPr>
                <w:color w:val="000000" w:themeColor="text1"/>
              </w:rPr>
              <w:sym w:font="Wingdings" w:char="F0E0"/>
            </w:r>
            <w:r w:rsidRPr="00E50AAB">
              <w:rPr>
                <w:color w:val="000000" w:themeColor="text1"/>
              </w:rPr>
              <w:t xml:space="preserve"> annual</w:t>
            </w:r>
          </w:p>
        </w:tc>
        <w:tc>
          <w:tcPr>
            <w:tcW w:w="1970" w:type="dxa"/>
          </w:tcPr>
          <w:p w14:paraId="51B8BC7D" w14:textId="77777777" w:rsidR="002463E2" w:rsidRPr="00E50AAB" w:rsidRDefault="002463E2" w:rsidP="008325B9">
            <w:pPr>
              <w:spacing w:line="240" w:lineRule="auto"/>
              <w:rPr>
                <w:color w:val="000000" w:themeColor="text1"/>
              </w:rPr>
            </w:pPr>
            <w:r w:rsidRPr="00E50AAB">
              <w:rPr>
                <w:color w:val="000000" w:themeColor="text1"/>
              </w:rPr>
              <w:t>Bank Indonesia/OJK</w:t>
            </w:r>
          </w:p>
        </w:tc>
      </w:tr>
      <w:tr w:rsidR="002463E2" w:rsidRPr="00E50AAB" w14:paraId="23F95A25" w14:textId="77777777" w:rsidTr="008325B9">
        <w:tc>
          <w:tcPr>
            <w:tcW w:w="1969" w:type="dxa"/>
          </w:tcPr>
          <w:p w14:paraId="784B517C" w14:textId="77777777" w:rsidR="002463E2" w:rsidRPr="00E50AAB" w:rsidRDefault="002463E2" w:rsidP="008325B9">
            <w:pPr>
              <w:spacing w:line="240" w:lineRule="auto"/>
              <w:jc w:val="both"/>
              <w:rPr>
                <w:color w:val="000000" w:themeColor="text1"/>
              </w:rPr>
            </w:pPr>
            <w:r w:rsidRPr="00E50AAB">
              <w:rPr>
                <w:color w:val="000000" w:themeColor="text1"/>
              </w:rPr>
              <w:t>Fintech (optional)</w:t>
            </w:r>
          </w:p>
        </w:tc>
        <w:tc>
          <w:tcPr>
            <w:tcW w:w="1970" w:type="dxa"/>
          </w:tcPr>
          <w:p w14:paraId="7C8202D8" w14:textId="77777777" w:rsidR="002463E2" w:rsidRPr="00E50AAB" w:rsidRDefault="002463E2" w:rsidP="008325B9">
            <w:pPr>
              <w:spacing w:line="240" w:lineRule="auto"/>
              <w:rPr>
                <w:color w:val="000000" w:themeColor="text1"/>
              </w:rPr>
            </w:pPr>
            <w:r w:rsidRPr="00E50AAB">
              <w:rPr>
                <w:color w:val="000000" w:themeColor="text1"/>
              </w:rPr>
              <w:t>Fintech borrower accounts</w:t>
            </w:r>
          </w:p>
        </w:tc>
        <w:tc>
          <w:tcPr>
            <w:tcW w:w="1970" w:type="dxa"/>
          </w:tcPr>
          <w:p w14:paraId="22B421F7" w14:textId="77777777" w:rsidR="002463E2" w:rsidRPr="00E50AAB" w:rsidRDefault="002463E2" w:rsidP="008325B9">
            <w:pPr>
              <w:spacing w:line="240" w:lineRule="auto"/>
              <w:rPr>
                <w:color w:val="000000" w:themeColor="text1"/>
              </w:rPr>
            </w:pPr>
            <w:r w:rsidRPr="00E50AAB">
              <w:rPr>
                <w:color w:val="000000" w:themeColor="text1"/>
              </w:rPr>
              <w:t>Per 1,000 adults, log, z-score</w:t>
            </w:r>
          </w:p>
        </w:tc>
        <w:tc>
          <w:tcPr>
            <w:tcW w:w="1970" w:type="dxa"/>
          </w:tcPr>
          <w:p w14:paraId="7387C031" w14:textId="77777777" w:rsidR="002463E2" w:rsidRPr="00E50AAB" w:rsidRDefault="002463E2" w:rsidP="008325B9">
            <w:pPr>
              <w:spacing w:line="240" w:lineRule="auto"/>
              <w:rPr>
                <w:color w:val="000000" w:themeColor="text1"/>
              </w:rPr>
            </w:pPr>
            <w:r w:rsidRPr="00E50AAB">
              <w:rPr>
                <w:color w:val="000000" w:themeColor="text1"/>
              </w:rPr>
              <w:t>End-of-year value</w:t>
            </w:r>
          </w:p>
        </w:tc>
        <w:tc>
          <w:tcPr>
            <w:tcW w:w="1970" w:type="dxa"/>
          </w:tcPr>
          <w:p w14:paraId="39E5123C" w14:textId="77777777" w:rsidR="002463E2" w:rsidRPr="00E50AAB" w:rsidRDefault="002463E2" w:rsidP="008325B9">
            <w:pPr>
              <w:spacing w:line="240" w:lineRule="auto"/>
              <w:rPr>
                <w:color w:val="000000" w:themeColor="text1"/>
              </w:rPr>
            </w:pPr>
            <w:r w:rsidRPr="00E50AAB">
              <w:rPr>
                <w:color w:val="000000" w:themeColor="text1"/>
              </w:rPr>
              <w:t>OJK Fintech Statistics</w:t>
            </w:r>
          </w:p>
        </w:tc>
      </w:tr>
    </w:tbl>
    <w:p w14:paraId="300408D2" w14:textId="77777777" w:rsidR="002463E2" w:rsidRPr="00E50AAB" w:rsidRDefault="002463E2" w:rsidP="002463E2">
      <w:pPr>
        <w:spacing w:line="240" w:lineRule="auto"/>
        <w:jc w:val="both"/>
        <w:rPr>
          <w:color w:val="000000" w:themeColor="text1"/>
        </w:rPr>
      </w:pPr>
    </w:p>
    <w:p w14:paraId="25D32FCA" w14:textId="77777777" w:rsidR="002463E2" w:rsidRPr="00E50AAB" w:rsidRDefault="002463E2" w:rsidP="002463E2">
      <w:pPr>
        <w:spacing w:line="240" w:lineRule="auto"/>
        <w:jc w:val="both"/>
        <w:rPr>
          <w:b/>
          <w:bCs/>
          <w:color w:val="000000" w:themeColor="text1"/>
        </w:rPr>
      </w:pPr>
      <w:r w:rsidRPr="00E50AAB">
        <w:rPr>
          <w:b/>
          <w:bCs/>
          <w:color w:val="000000" w:themeColor="text1"/>
        </w:rPr>
        <w:t>A8. Interpretation</w:t>
      </w:r>
    </w:p>
    <w:p w14:paraId="31DD2782" w14:textId="77777777" w:rsidR="002463E2" w:rsidRPr="00E50AAB" w:rsidRDefault="002463E2" w:rsidP="002463E2">
      <w:pPr>
        <w:spacing w:line="240" w:lineRule="auto"/>
        <w:jc w:val="both"/>
        <w:rPr>
          <w:color w:val="000000" w:themeColor="text1"/>
        </w:rPr>
      </w:pPr>
      <w:r w:rsidRPr="00E50AAB">
        <w:rPr>
          <w:color w:val="000000" w:themeColor="text1"/>
        </w:rPr>
        <w:t>The FIN_DEV index captures the degree of digital financial development and inclusion in Indonesia. Higher values indicate:</w:t>
      </w:r>
    </w:p>
    <w:p w14:paraId="0C4178E0" w14:textId="77777777" w:rsidR="002463E2" w:rsidRPr="00E50AAB" w:rsidRDefault="002463E2" w:rsidP="002463E2">
      <w:pPr>
        <w:pStyle w:val="ListParagraph"/>
        <w:numPr>
          <w:ilvl w:val="0"/>
          <w:numId w:val="2"/>
        </w:numPr>
        <w:spacing w:line="240" w:lineRule="auto"/>
        <w:jc w:val="both"/>
        <w:rPr>
          <w:color w:val="000000" w:themeColor="text1"/>
        </w:rPr>
      </w:pPr>
      <w:r w:rsidRPr="00E50AAB">
        <w:rPr>
          <w:color w:val="000000" w:themeColor="text1"/>
        </w:rPr>
        <w:t>Greater usage of digital payment systems</w:t>
      </w:r>
    </w:p>
    <w:p w14:paraId="46C6EA43" w14:textId="77777777" w:rsidR="002463E2" w:rsidRPr="00E50AAB" w:rsidRDefault="002463E2" w:rsidP="002463E2">
      <w:pPr>
        <w:pStyle w:val="ListParagraph"/>
        <w:numPr>
          <w:ilvl w:val="0"/>
          <w:numId w:val="2"/>
        </w:numPr>
        <w:spacing w:line="240" w:lineRule="auto"/>
        <w:jc w:val="both"/>
        <w:rPr>
          <w:color w:val="000000" w:themeColor="text1"/>
        </w:rPr>
      </w:pPr>
      <w:r w:rsidRPr="00E50AAB">
        <w:rPr>
          <w:color w:val="000000" w:themeColor="text1"/>
        </w:rPr>
        <w:t>Increased adoption of digital banking services</w:t>
      </w:r>
    </w:p>
    <w:p w14:paraId="5815F1B7" w14:textId="77777777" w:rsidR="002463E2" w:rsidRPr="00E50AAB" w:rsidRDefault="002463E2" w:rsidP="002463E2">
      <w:pPr>
        <w:pStyle w:val="ListParagraph"/>
        <w:numPr>
          <w:ilvl w:val="0"/>
          <w:numId w:val="2"/>
        </w:numPr>
        <w:spacing w:line="240" w:lineRule="auto"/>
        <w:jc w:val="both"/>
        <w:rPr>
          <w:color w:val="000000" w:themeColor="text1"/>
        </w:rPr>
      </w:pPr>
      <w:r w:rsidRPr="00E50AAB">
        <w:rPr>
          <w:color w:val="000000" w:themeColor="text1"/>
        </w:rPr>
        <w:t>Expansion of fintech-related financial access</w:t>
      </w:r>
    </w:p>
    <w:p w14:paraId="5CE6F077" w14:textId="77777777" w:rsidR="002463E2" w:rsidRPr="00E50AAB" w:rsidRDefault="002463E2" w:rsidP="002463E2">
      <w:pPr>
        <w:spacing w:line="240" w:lineRule="auto"/>
        <w:jc w:val="both"/>
        <w:rPr>
          <w:color w:val="000000" w:themeColor="text1"/>
        </w:rPr>
      </w:pPr>
      <w:r w:rsidRPr="00E50AAB">
        <w:rPr>
          <w:color w:val="000000" w:themeColor="text1"/>
        </w:rPr>
        <w:t>Importantly, the index reflects financial access and usage rather than credit intermediation, ensuring conceptual distinction from the CREDIT variable used in the main empirical model.</w:t>
      </w:r>
    </w:p>
    <w:p w14:paraId="22A3F028" w14:textId="77777777" w:rsidR="002463E2" w:rsidRPr="00E50AAB" w:rsidRDefault="002463E2" w:rsidP="002463E2">
      <w:pPr>
        <w:spacing w:line="240" w:lineRule="auto"/>
        <w:jc w:val="both"/>
        <w:rPr>
          <w:color w:val="000000" w:themeColor="text1"/>
        </w:rPr>
      </w:pPr>
    </w:p>
    <w:p w14:paraId="0640E9BA" w14:textId="77777777" w:rsidR="002463E2" w:rsidRPr="00E50AAB" w:rsidRDefault="002463E2" w:rsidP="002463E2">
      <w:pPr>
        <w:spacing w:line="240" w:lineRule="auto"/>
        <w:jc w:val="both"/>
        <w:rPr>
          <w:b/>
          <w:bCs/>
          <w:color w:val="000000" w:themeColor="text1"/>
        </w:rPr>
      </w:pPr>
    </w:p>
    <w:p w14:paraId="03534B15" w14:textId="77777777" w:rsidR="002463E2" w:rsidRPr="00E50AAB" w:rsidRDefault="002463E2" w:rsidP="002463E2">
      <w:pPr>
        <w:spacing w:line="240" w:lineRule="auto"/>
        <w:jc w:val="both"/>
        <w:rPr>
          <w:color w:val="000000" w:themeColor="text1"/>
        </w:rPr>
      </w:pPr>
    </w:p>
    <w:p w14:paraId="2D74152F" w14:textId="77777777" w:rsidR="002463E2" w:rsidRPr="00C302D3" w:rsidRDefault="002463E2" w:rsidP="002463E2">
      <w:pPr>
        <w:spacing w:line="240" w:lineRule="auto"/>
        <w:jc w:val="both"/>
        <w:rPr>
          <w:color w:val="000000" w:themeColor="text1"/>
        </w:rPr>
      </w:pPr>
    </w:p>
    <w:p w14:paraId="11BFFA51" w14:textId="77777777" w:rsidR="008B07A6" w:rsidRDefault="008B07A6"/>
    <w:sectPr w:rsidR="008B07A6" w:rsidSect="002463E2">
      <w:pgSz w:w="11901" w:h="16840" w:code="9"/>
      <w:pgMar w:top="1418" w:right="1021" w:bottom="1418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757FB"/>
    <w:multiLevelType w:val="hybridMultilevel"/>
    <w:tmpl w:val="1916CA8E"/>
    <w:lvl w:ilvl="0" w:tplc="A19088B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F40AC4"/>
    <w:multiLevelType w:val="hybridMultilevel"/>
    <w:tmpl w:val="68A648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2636795">
    <w:abstractNumId w:val="1"/>
  </w:num>
  <w:num w:numId="2" w16cid:durableId="4375287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3E2"/>
    <w:rsid w:val="00066677"/>
    <w:rsid w:val="002463E2"/>
    <w:rsid w:val="003A4E89"/>
    <w:rsid w:val="00515578"/>
    <w:rsid w:val="00556784"/>
    <w:rsid w:val="008B07A6"/>
    <w:rsid w:val="00987B63"/>
    <w:rsid w:val="00D3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8A7813"/>
  <w15:chartTrackingRefBased/>
  <w15:docId w15:val="{D781C8AC-1201-4760-9702-FF89F7FA6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63E2"/>
    <w:pPr>
      <w:spacing w:after="0" w:line="480" w:lineRule="auto"/>
    </w:pPr>
    <w:rPr>
      <w:rFonts w:ascii="Times New Roman" w:eastAsia="Times New Roman" w:hAnsi="Times New Roman" w:cs="Times New Roman"/>
      <w:noProof/>
      <w:kern w:val="0"/>
      <w:lang w:val="en-GB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63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63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63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63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63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63E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63E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63E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63E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63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63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63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63E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63E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63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63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63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63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63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63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63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63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63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63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63E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63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63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63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63E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2463E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GB" w:eastAsia="en-GB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731</Words>
  <Characters>4168</Characters>
  <Application>Microsoft Office Word</Application>
  <DocSecurity>0</DocSecurity>
  <Lines>34</Lines>
  <Paragraphs>9</Paragraphs>
  <ScaleCrop>false</ScaleCrop>
  <Company/>
  <LinksUpToDate>false</LinksUpToDate>
  <CharactersWithSpaces>4890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2026-06-04T16:58:00Z</dcterms:created>
  <dcterms:modified xsi:type="dcterms:W3CDTF">2026-06-04T16:58:00Z</dcterms:modified>
</cp:coreProperties>
</file>