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F15E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Table S1. General information of the subjects with included lesions, lesion distribution and lesion types.</w:t>
      </w:r>
      <w:r>
        <w:rPr>
          <w:rFonts w:hint="default" w:ascii="Times New Roman" w:hAnsi="Times New Roman" w:cs="Times New Roman"/>
        </w:rPr>
        <w:br w:type="textWrapping"/>
      </w:r>
    </w:p>
    <w:tbl>
      <w:tblPr>
        <w:tblStyle w:val="13"/>
        <w:tblW w:w="103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121"/>
        <w:gridCol w:w="1140"/>
        <w:gridCol w:w="2401"/>
        <w:gridCol w:w="2339"/>
        <w:gridCol w:w="2116"/>
      </w:tblGrid>
      <w:tr w14:paraId="3EFFC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120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4290C34"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  <w:bookmarkStart w:id="0" w:name="_GoBack"/>
            <w:r>
              <w:rPr>
                <w:rFonts w:hint="default" w:ascii="Times New Roman" w:hAnsi="Times New Roman" w:cs="Times New Roman"/>
                <w:b w:val="0"/>
                <w:bCs w:val="0"/>
              </w:rPr>
              <w:t>Subject ID</w:t>
            </w:r>
          </w:p>
        </w:tc>
        <w:tc>
          <w:tcPr>
            <w:tcW w:w="112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5C5D7F9"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Sex</w:t>
            </w:r>
          </w:p>
        </w:tc>
        <w:tc>
          <w:tcPr>
            <w:tcW w:w="114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11FB1DF6"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Age (years)</w:t>
            </w:r>
          </w:p>
        </w:tc>
        <w:tc>
          <w:tcPr>
            <w:tcW w:w="2401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9B92A2D"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Lesion location</w:t>
            </w:r>
          </w:p>
        </w:tc>
        <w:tc>
          <w:tcPr>
            <w:tcW w:w="233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F93E8F2"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Lesion size (length × short axis, mm)</w:t>
            </w:r>
          </w:p>
        </w:tc>
        <w:tc>
          <w:tcPr>
            <w:tcW w:w="2116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85C7BA1">
            <w:pPr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Imaging diagnosis</w:t>
            </w:r>
          </w:p>
        </w:tc>
      </w:tr>
      <w:tr w14:paraId="60C13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  <w:jc w:val="center"/>
        </w:trPr>
        <w:tc>
          <w:tcPr>
            <w:tcW w:w="120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D2965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112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EE57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Female</w:t>
            </w:r>
          </w:p>
        </w:tc>
        <w:tc>
          <w:tcPr>
            <w:tcW w:w="114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16004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62</w:t>
            </w:r>
          </w:p>
        </w:tc>
        <w:tc>
          <w:tcPr>
            <w:tcW w:w="240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15EC9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Left lateral superior segment (S2)</w:t>
            </w:r>
          </w:p>
        </w:tc>
        <w:tc>
          <w:tcPr>
            <w:tcW w:w="233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22A1F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4.70 × 8.76</w:t>
            </w:r>
          </w:p>
        </w:tc>
        <w:tc>
          <w:tcPr>
            <w:tcW w:w="211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AD632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Cyst</w:t>
            </w:r>
          </w:p>
        </w:tc>
      </w:tr>
      <w:tr w14:paraId="13935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29FF7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394C6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Male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3591E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58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2ABCA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Right anterior superior segment (S8)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54BC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9.38 × 4.98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89191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Cyst</w:t>
            </w:r>
          </w:p>
        </w:tc>
      </w:tr>
      <w:tr w14:paraId="6ECF9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6D38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4E6F9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Male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AA8A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61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C4D12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Left medial superior segment (S4a)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97BD3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10.03 × 8.88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44071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Cyst</w:t>
            </w:r>
          </w:p>
        </w:tc>
      </w:tr>
      <w:tr w14:paraId="501BD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BF3B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2122A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Female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3A0C9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71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0307F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Right anterior superior segment (S8)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54ED7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44.52 × 42.19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26AF3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Cyst</w:t>
            </w:r>
          </w:p>
        </w:tc>
      </w:tr>
      <w:tr w14:paraId="762F4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999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20F06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Female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B268A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56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66412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Right anterior inferior segment (S5)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DDAD7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9.37 × 6.89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4683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Cyst</w:t>
            </w:r>
          </w:p>
        </w:tc>
      </w:tr>
      <w:tr w14:paraId="590C0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30E1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46CDC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Female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51179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43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2126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Right posterior superior segment (S7)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89F05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21.44 × 17.53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D6D09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Cyst</w:t>
            </w:r>
          </w:p>
        </w:tc>
      </w:tr>
      <w:tr w14:paraId="60CD3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8EFF9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EF2C5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Female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8547E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62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23F5C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Right posterior superior segment (S7)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9C2F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25.09 × 16.42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D9638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Cyst</w:t>
            </w:r>
          </w:p>
        </w:tc>
      </w:tr>
      <w:tr w14:paraId="4FC1B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11470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E21E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Male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C725E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66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07104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Left lateral superior segment (S2)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082E1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6.55 × 5.02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DCE81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Cyst</w:t>
            </w:r>
          </w:p>
        </w:tc>
      </w:tr>
      <w:tr w14:paraId="47FFD4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903E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AE500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Female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4073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59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CC1D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Left medial superior segment (S4a)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5A96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8.14 × 5.79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FB85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Cyst</w:t>
            </w:r>
          </w:p>
        </w:tc>
      </w:tr>
      <w:tr w14:paraId="22344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788B8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DF96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Female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A6078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65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7BFD3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Left medial superior segment (S4a)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AF11A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5.72 × 4.41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44531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Cyst</w:t>
            </w:r>
          </w:p>
        </w:tc>
      </w:tr>
      <w:tr w14:paraId="18369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AE01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8E96A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Female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3685C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49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B6AF2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Left medial superior segment (S4a)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6979A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9.06 × 6.05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CCE6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Cyst</w:t>
            </w:r>
          </w:p>
        </w:tc>
      </w:tr>
      <w:tr w14:paraId="3EF46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5DE6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213C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Female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C69A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66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9EA97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Right anterior superior segment (S8)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782F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9.06 × 3.92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C6E2B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Cyst</w:t>
            </w:r>
          </w:p>
        </w:tc>
      </w:tr>
      <w:tr w14:paraId="65BAA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ED73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125DA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Female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9F83E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56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93B2D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Left medial superior segment (S4a)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3FF8D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13.38 × 10.55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39D55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Cyst</w:t>
            </w:r>
          </w:p>
        </w:tc>
      </w:tr>
      <w:tr w14:paraId="3AE65C2B">
        <w:trPr>
          <w:trHeight w:val="107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7C275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FD686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Female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B1BA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61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170A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Right posterior inferior segment (S6)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C527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6.09 × 6.55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85C51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Cyst</w:t>
            </w:r>
          </w:p>
        </w:tc>
      </w:tr>
      <w:tr w14:paraId="20B19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6AB78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15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FDB6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Female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61206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56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551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Left medial superior segment (S4a)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A5676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6.08 × 8.03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7CB82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Cyst</w:t>
            </w:r>
          </w:p>
        </w:tc>
      </w:tr>
      <w:tr w14:paraId="54702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6130E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16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D055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Male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215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63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71BC9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Right posterior inferior segment (S6)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5D8D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11.52 × 6.52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0F34F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Focal nodular hyperplasia (FNH)</w:t>
            </w:r>
          </w:p>
        </w:tc>
      </w:tr>
      <w:tr w14:paraId="4E5A5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1F76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17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DC0B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Female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B6848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59</w:t>
            </w:r>
          </w:p>
        </w:tc>
        <w:tc>
          <w:tcPr>
            <w:tcW w:w="24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07A9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Right posterior superior segment (S7)</w:t>
            </w: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FCA2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5.87 × 5.30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F7CC0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Cyst</w:t>
            </w:r>
          </w:p>
        </w:tc>
      </w:tr>
      <w:tr w14:paraId="7D9B6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" w:hRule="atLeast"/>
          <w:jc w:val="center"/>
        </w:trPr>
        <w:tc>
          <w:tcPr>
            <w:tcW w:w="120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7B505CF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50B3AB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Female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AD9116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62</w:t>
            </w:r>
          </w:p>
        </w:tc>
        <w:tc>
          <w:tcPr>
            <w:tcW w:w="240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647D140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Left medial superior segment (S4a)</w:t>
            </w:r>
          </w:p>
        </w:tc>
        <w:tc>
          <w:tcPr>
            <w:tcW w:w="233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D761D3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7.99 × 5.13</w:t>
            </w:r>
          </w:p>
        </w:tc>
        <w:tc>
          <w:tcPr>
            <w:tcW w:w="211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74ADA0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Cyst</w:t>
            </w:r>
          </w:p>
        </w:tc>
      </w:tr>
      <w:bookmarkEnd w:id="0"/>
    </w:tbl>
    <w:p w14:paraId="4CE77BD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Note</w:t>
      </w:r>
      <w:r>
        <w:rPr>
          <w:rFonts w:hint="default" w:ascii="Times New Roman" w:hAnsi="Times New Roman" w:cs="Times New Roman"/>
        </w:rPr>
        <w:t>:</w:t>
      </w:r>
      <w:r>
        <w:rPr>
          <w:rFonts w:hint="default" w:ascii="Times New Roman" w:hAnsi="Times New Roman" w:cs="Times New Roman"/>
        </w:rPr>
        <w:t>The lesion site is typically described using the Couinaud segmentation system of the liver.</w:t>
      </w:r>
    </w:p>
    <w:p w14:paraId="21C176A3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26"/>
    <w:rsid w:val="001E66C1"/>
    <w:rsid w:val="0026422A"/>
    <w:rsid w:val="00282C55"/>
    <w:rsid w:val="00736D2D"/>
    <w:rsid w:val="009E2C92"/>
    <w:rsid w:val="00BD40FF"/>
    <w:rsid w:val="00C901CA"/>
    <w:rsid w:val="00DC3126"/>
    <w:rsid w:val="328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1347</Characters>
  <Lines>10</Lines>
  <Paragraphs>3</Paragraphs>
  <TotalTime>3</TotalTime>
  <ScaleCrop>false</ScaleCrop>
  <LinksUpToDate>false</LinksUpToDate>
  <CharactersWithSpaces>1508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2026-05-07T08:04:00Z</dcterms:created>
  <dc:creator>瑞瑞 杨</dc:creator>
  <cp:lastModifiedBy>sweet</cp:lastModifiedBy>
  <dcterms:modified xsi:type="dcterms:W3CDTF">2026-05-08T02:12:26Z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eyJoZGlkIjoiMjcxOGFhNWQwODc2YWQ1YmY0NjVmZTgwNDNlMzQ5MTEiLCJ1c2VySWQiOiIxMTMxNDYwNzExIn0=</vt:lpwstr>
  </property>
  <property fmtid="{D5CDD505-2E9C-101B-9397-08002B2CF9AE}" pid="3" name="KSOProductBuildVer">
    <vt:lpwstr>2052-12.1.0.24034</vt:lpwstr>
  </property>
  <property fmtid="{D5CDD505-2E9C-101B-9397-08002B2CF9AE}" pid="4" name="ICV">
    <vt:lpwstr>03AF8E0283C4404FB717AD168A8AD8E8_13</vt:lpwstr>
  </property>
</Properties>
</file>