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32E0" w14:textId="04FECF30" w:rsidR="00C11D79" w:rsidRDefault="00C11D79" w:rsidP="00373740">
      <w:pPr>
        <w:spacing w:line="48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Supplementay</w:t>
      </w:r>
      <w:proofErr w:type="spellEnd"/>
      <w:r>
        <w:rPr>
          <w:rFonts w:ascii="Times New Roman" w:eastAsia="Times New Roman" w:hAnsi="Times New Roman" w:cs="Times New Roman"/>
          <w:b/>
          <w:bCs/>
        </w:rPr>
        <w:t xml:space="preserve"> Information</w:t>
      </w:r>
    </w:p>
    <w:p w14:paraId="7DD92860" w14:textId="457891EE" w:rsidR="00373740" w:rsidRPr="00C11D79" w:rsidRDefault="00373740" w:rsidP="00373740">
      <w:pPr>
        <w:spacing w:line="480" w:lineRule="auto"/>
        <w:rPr>
          <w:rFonts w:ascii="Times New Roman" w:eastAsia="Times New Roman" w:hAnsi="Times New Roman" w:cs="Times New Roman"/>
        </w:rPr>
      </w:pPr>
      <w:r w:rsidRPr="00C11D79">
        <w:rPr>
          <w:rFonts w:ascii="Times New Roman" w:eastAsia="Times New Roman" w:hAnsi="Times New Roman" w:cs="Times New Roman"/>
        </w:rPr>
        <w:t>Migratory passerines share localized movement strategies but differ in activity timing and habitat use during post-breeding stopover</w:t>
      </w:r>
    </w:p>
    <w:p w14:paraId="17F2C26B" w14:textId="77777777" w:rsidR="00264809" w:rsidRDefault="00264809" w:rsidP="003F13D4">
      <w:pPr>
        <w:spacing w:line="480" w:lineRule="auto"/>
        <w:rPr>
          <w:rFonts w:ascii="Times New Roman" w:hAnsi="Times New Roman" w:cs="Times New Roman"/>
          <w:b/>
          <w:bCs/>
        </w:rPr>
      </w:pPr>
    </w:p>
    <w:p w14:paraId="1711093A" w14:textId="262C98E8" w:rsidR="00264809" w:rsidRDefault="00264809" w:rsidP="003F13D4">
      <w:pPr>
        <w:spacing w:line="480" w:lineRule="auto"/>
        <w:rPr>
          <w:rFonts w:ascii="Times New Roman" w:hAnsi="Times New Roman" w:cs="Times New Roman"/>
          <w:b/>
          <w:bCs/>
        </w:rPr>
      </w:pPr>
      <w:r w:rsidRPr="00264809">
        <w:rPr>
          <w:rFonts w:ascii="Times New Roman" w:hAnsi="Times New Roman" w:cs="Times New Roman"/>
          <w:b/>
          <w:bCs/>
        </w:rPr>
        <w:t>Methods</w:t>
      </w:r>
    </w:p>
    <w:p w14:paraId="7652A0EC" w14:textId="77777777" w:rsidR="00373740" w:rsidRPr="00DC47BB" w:rsidRDefault="00373740" w:rsidP="00373740">
      <w:pPr>
        <w:spacing w:line="480" w:lineRule="auto"/>
        <w:rPr>
          <w:rFonts w:ascii="Times New Roman" w:hAnsi="Times New Roman" w:cs="Times New Roman"/>
          <w:b/>
          <w:bCs/>
          <w:i/>
          <w:iCs/>
        </w:rPr>
      </w:pPr>
      <w:r w:rsidRPr="00DC47BB">
        <w:rPr>
          <w:rFonts w:ascii="Times New Roman" w:hAnsi="Times New Roman" w:cs="Times New Roman"/>
          <w:b/>
          <w:bCs/>
          <w:i/>
          <w:iCs/>
        </w:rPr>
        <w:t>Study site</w:t>
      </w:r>
    </w:p>
    <w:p w14:paraId="5AF47C49" w14:textId="01153621" w:rsidR="00373740" w:rsidRPr="00373740" w:rsidRDefault="00373740" w:rsidP="00373740">
      <w:pPr>
        <w:spacing w:line="480" w:lineRule="auto"/>
        <w:ind w:firstLine="720"/>
        <w:rPr>
          <w:rFonts w:ascii="Times New Roman" w:hAnsi="Times New Roman" w:cs="Times New Roman"/>
          <w:lang w:val="fr-CA"/>
        </w:rPr>
      </w:pPr>
      <w:r w:rsidRPr="00DC47BB">
        <w:rPr>
          <w:rFonts w:ascii="Times New Roman" w:hAnsi="Times New Roman" w:cs="Times New Roman"/>
        </w:rPr>
        <w:t xml:space="preserve">The study took place on the Island of Montreal, Quebec within the boundaries of Canada’s second largest city (~3.75 million people). On the western tip of the island (45.43◦N, 73.94◦W) a large peri-urban green space hosts a banding station, the McGill Bird Observatory (MBO). The station itself is in a limited access greens pace dedicated to research that is characterized by a mix of shrubland, mature deciduous forests, hawthorn tracts, suman stands, small wetlands, and an old apple orchard </w:t>
      </w:r>
      <w:r w:rsidRPr="00DC47BB">
        <w:rPr>
          <w:rFonts w:ascii="Times New Roman" w:hAnsi="Times New Roman" w:cs="Times New Roman"/>
        </w:rPr>
        <w:fldChar w:fldCharType="begin"/>
      </w:r>
      <w:r w:rsidR="00C11D79">
        <w:rPr>
          <w:rFonts w:ascii="Times New Roman" w:hAnsi="Times New Roman" w:cs="Times New Roman"/>
        </w:rPr>
        <w:instrText xml:space="preserve"> ADDIN ZOTERO_ITEM CSL_CITATION {"citationID":"pvnAlX9p","properties":{"formattedCitation":"[1]","plainCitation":"[1]","noteIndex":0},"citationItems":[{"id":36094,"uris":["http://zotero.org/users/7850714/items/CLZSUTM4"],"itemData":{"id":36094,"type":"report","title":"Ecological assessment of the Stoneycroft Wildlife Area. Internal Report. Department of Natural Resource Sciences, McGill University.","author":[{"family":"Bardo","given":"L"},{"family":"Goulet","given":"L"},{"family":"Hibbert","given":"A"},{"family":"Lukasik","given":"V"},{"family":"Poitras","given":"K"}],"issued":{"date-parts":[["2003"]]}}}],"schema":"https://github.com/citation-style-language/schema/raw/master/csl-citation.json"} </w:instrText>
      </w:r>
      <w:r w:rsidRPr="00DC47BB">
        <w:rPr>
          <w:rFonts w:ascii="Times New Roman" w:hAnsi="Times New Roman" w:cs="Times New Roman"/>
        </w:rPr>
        <w:fldChar w:fldCharType="separate"/>
      </w:r>
      <w:r w:rsidR="00C11D79" w:rsidRPr="00C11D79">
        <w:rPr>
          <w:rFonts w:ascii="Times New Roman" w:hAnsi="Times New Roman" w:cs="Times New Roman"/>
        </w:rPr>
        <w:t>[1]</w:t>
      </w:r>
      <w:r w:rsidRPr="00DC47BB">
        <w:rPr>
          <w:rFonts w:ascii="Times New Roman" w:hAnsi="Times New Roman" w:cs="Times New Roman"/>
        </w:rPr>
        <w:fldChar w:fldCharType="end"/>
      </w:r>
      <w:r w:rsidRPr="00DC47BB">
        <w:rPr>
          <w:rFonts w:ascii="Times New Roman" w:hAnsi="Times New Roman" w:cs="Times New Roman"/>
        </w:rPr>
        <w:t xml:space="preserve">. Surrounding the area are agricultural fields managed by McGill University, two nature reserves (Morgan Arboretum and Bois-de-la-Roche Park) open for recreational purposes to the public, and further afield are suburban housing development, industrial parks, and two highly used highways. The MBO has been part of the Canadian Migration Monitoring Network (CMMN) since 2005, with standardized monitoring during the spring and fall migration since that time, except for closure during the spring of 2020 due to the Covid-19 pandemic. The site has been actively studying migration using radio-telemetry technology since 2017, and has been identified as an important stopover site for several migratory birds </w:t>
      </w:r>
      <w:r w:rsidRPr="00DC47BB">
        <w:rPr>
          <w:rFonts w:ascii="Times New Roman" w:hAnsi="Times New Roman" w:cs="Times New Roman"/>
        </w:rPr>
        <w:fldChar w:fldCharType="begin"/>
      </w:r>
      <w:r w:rsidR="00C11D79">
        <w:rPr>
          <w:rFonts w:ascii="Times New Roman" w:hAnsi="Times New Roman" w:cs="Times New Roman"/>
        </w:rPr>
        <w:instrText xml:space="preserve"> ADDIN ZOTERO_ITEM CSL_CITATION {"citationID":"O0bz8apg","properties":{"formattedCitation":"[2]","plainCitation":"[2]","noteIndex":0},"citationItems":[{"id":420,"uris":["http://zotero.org/users/7850714/items/Z366I3M7"],"itemData":{"id":420,"type":"article-journal","container-title":"Animal Migration","DOI":"https://doi.org/10.1515/ami-2017-0004","issue":"1","note":"tex.ids: jarjourAssociationsSexAge2017\ntex.address: Berlin, Boston","page":"23 - 36","publisher":"De Gruyter","title":"Associations between sex, age and species-specific climate sensitivity in migration","volume":"4","author":[{"family":"Jarjour","given":"Catherine"},{"family":"Frei","given":"Barbara"},{"family":"Elliott","given":"Kyle H."}],"issued":{"date-parts":[["2017",12,20]]}}}],"schema":"https://github.com/citation-style-language/schema/raw/master/csl-citation.json"} </w:instrText>
      </w:r>
      <w:r w:rsidRPr="00DC47BB">
        <w:rPr>
          <w:rFonts w:ascii="Times New Roman" w:hAnsi="Times New Roman" w:cs="Times New Roman"/>
        </w:rPr>
        <w:fldChar w:fldCharType="separate"/>
      </w:r>
      <w:r w:rsidR="00C11D79" w:rsidRPr="00C11D79">
        <w:rPr>
          <w:rFonts w:ascii="Times New Roman" w:hAnsi="Times New Roman" w:cs="Times New Roman"/>
        </w:rPr>
        <w:t>[2]</w:t>
      </w:r>
      <w:r w:rsidRPr="00DC47BB">
        <w:rPr>
          <w:rFonts w:ascii="Times New Roman" w:hAnsi="Times New Roman" w:cs="Times New Roman"/>
        </w:rPr>
        <w:fldChar w:fldCharType="end"/>
      </w:r>
      <w:r w:rsidRPr="00DC47BB">
        <w:rPr>
          <w:rFonts w:ascii="Times New Roman" w:hAnsi="Times New Roman" w:cs="Times New Roman"/>
        </w:rPr>
        <w:t xml:space="preserve">, including neotropical </w:t>
      </w:r>
      <w:proofErr w:type="spellStart"/>
      <w:r w:rsidRPr="00DC47BB">
        <w:rPr>
          <w:rFonts w:ascii="Times New Roman" w:hAnsi="Times New Roman" w:cs="Times New Roman"/>
        </w:rPr>
        <w:t>moult</w:t>
      </w:r>
      <w:proofErr w:type="spellEnd"/>
      <w:r w:rsidRPr="00DC47BB">
        <w:rPr>
          <w:rFonts w:ascii="Times New Roman" w:hAnsi="Times New Roman" w:cs="Times New Roman"/>
        </w:rPr>
        <w:t xml:space="preserve"> migrants </w:t>
      </w:r>
      <w:r w:rsidRPr="00DC47BB">
        <w:rPr>
          <w:rFonts w:ascii="Times New Roman" w:hAnsi="Times New Roman" w:cs="Times New Roman"/>
        </w:rPr>
        <w:fldChar w:fldCharType="begin"/>
      </w:r>
      <w:r w:rsidR="00C11D79">
        <w:rPr>
          <w:rFonts w:ascii="Times New Roman" w:hAnsi="Times New Roman" w:cs="Times New Roman"/>
        </w:rPr>
        <w:instrText xml:space="preserve"> ADDIN ZOTERO_ITEM CSL_CITATION {"citationID":"QNJu1Fky","properties":{"formattedCitation":"[3\\uc0\\u8211{}6]","plainCitation":"[3–6]","noteIndex":0},"citationItems":[{"id":1672,"uris":["http://zotero.org/users/7850714/items/Q8SNM3EN"],"itemData":{"id":1672,"type":"article-journal","abstract":"We documented prebasic ﬂight feather molt of passerines captured in fall 2013 and 2015 at McGill Bird Observatory (MBO) in Montreal, Quebec. We recorded active molt of ﬂight feathers (remiges) in 11 species that do not breed on site. Flight feather molt was frequent among Swainson’s Thrush (Catharus ustulatus; 64% of adults), Tennessee Warbler (Oreothlypis peregrina; 57%), Nashville Warbler (Leiothlypis ruﬁcapilla; 67%), and Yellow-rumped Warbler (Setophaga coronata; 44%), and was observed less frequently in other species. The minimum stopover length of molting individuals was on average 8 times longer than that of non-molting individuals of the same species. Among Swainson’s Thrushes and Yellow-rumped Warblers, far more females were undergoing molt than males, whereas for Tennessee Warblers molt was slightly more frequent among males. Frequency of molt was similar between years for most species but not Yellow-rumped Warbler, with 59% of adults captured in 2013 molting compared to none in 2015. We also observed molting site ﬁdelity with multiyear returns of Tennessee and Nashville warblers. The use of separate breeding and molting sites is not well understood among eastern North American species, and with recent studies highlighting the importance of molt locations in western North America, we demonstrate the value in additional study of the use of discrete molt locations in the East. Received 18 January 2019. Accepted 4 December 2019.","container-title":"The Wilson Journal of Ornithology","DOI":"10.1676/1559-4491-132.1.72","ISSN":"1559-4491","issue":"1","journalAbbreviation":"The Wilson Journal of Ornithology","language":"en","page":"72","source":"DOI.org (Crossref)","title":"Use of discrete molting grounds by migrant passerines undergoing prebasic molt in southern Quebec","volume":"132","author":[{"family":"Junda","given":"James H."},{"family":"Duval","given":"Simon"},{"family":"Gahbauer","given":"Marcel A."}],"issued":{"date-parts":[["2020",7,22]]}}},{"id":"IgPky2X2/9JXaGP2i","uris":["http://zotero.org/users/7850714/items/X3EMA3CR"],"itemData":{"id":1812,"type":"article-journal","abstract":"Migration consists of a sequence of small- to large-scale flights often separated by stopovers for refueling. Tradeoffs between minimizing migration time (more flights, shorter stopovers) and maximizing energy gain (fewer flights, longer stopovers) will affect overall migration timing. For example, some individuals make long-term stopovers in high-quality habitat that maximize energy gain (e.g., molt-migration), but movement to those habitats likely costs time. We used radio telemetry and blood plasma metabolite levels to examine physiological and behavioral tradeoffs between molt-migrant (birds molting at the molt stopover; n = 59) and post-molt (birds that presumably completed their molt elsewhere; n = 19) migrant Swainson’s Thrushes (Catharus ustulatus) near Montreal, Canada. Molt-migration was a large time investment as the average stopover duration for molt-migrants was of 47 ± 9 days (~13% of the entire annual cycle), almost twice as long as previously assumed from banding records, and far longer than stopovers of post-molting individuals (7 ± 2 days). Daily mortality rate during the molt stopover was similar to the average annual daily mortality rate. Molt-migrants’ circadian rhythms closely matched light levels, whereas post-molting birds had irregular rhythms and averaged 1 hr greater activity per day than molt-migrants. Despite being less active, molt-migrants had similar refueling rates based on metabolite profiles. As compared with migrants that completed molt earlier, molt-migrants at this stopover site had slower subsequent migration rates. Thus, birds using long-term stopovers appeared to tradeoff energy (efficient refueling) for time (slower subsequent migration).• Migratory birds must balance the energy and time costs of molt and migration, and the strategies they employ to overcome this challenge can vary within the same species.• We captured and tracked molt-migrant (birds molting at the molt stopover) and post-molt-migrant (birds that presumably completed their molt elsewhere before capture) Swainson’s Thrushes (Catharus ustulatus) at the same stopover site to test the expectation that molting birds remain longer and are less active but have similar refueling rates, as compared to post-molting migrants• Molting birds were less active and remained six times longer than post-molting migrants while refueling rates did not differ between the two groups.• Subsequent southward migration rates of molting birds were slower than the post-molting birds.• Understanding molt-migration at these important stopovers provides insights into why some individuals undergo molt-migration and others do not.","container-title":"Ornithology","DOI":"10.1093/ornithology/ukab083","ISSN":"0004-8038","journalAbbreviation":"Ornithology","page":"ukab083","title":"Reduced diurnal activity and increased stopover duration by molting Swainson’s Thrushes","author":[{"family":"Morales","given":"Ana"},{"family":"Frei","given":"Barbara"},{"family":"Mitchell","given":"Greg W"},{"family":"Bégin-Marchand","given":"Camille"},{"family":"Elliott","given":"Kyle H"}],"issued":{"date-parts":[["2022",1,5]]}}},{"id":36095,"uris":["http://zotero.org/users/7850714/items/KEEGBIXJ"],"itemData":{"id":36095,"type":"article-journal","abstract":"Stopovers are the most energy- and time-consuming events during avian migration, yet individuals of certain species make long stopovers to moult (“moult migration”). Requiring abundant energy and a prolonged stay, moult migrants should occupy small stopover home ranges in resource-rich habitats. Understanding migrant behaviour at their stopovers is critical for implementing conservation efforts for declining Neotropical passerines. To examine the stopover timing and habitat use of one such moult migrating passerine, we radio-tagged 18 moulting and 4 post-moult Tennessee Warblers (Leiothlypis peregrina (A. Wilson, 1811)) at an autumn stopover site. Although our data were biased towards one sampling year, moult migrants generally arrived at the stopover site earlier (average = 2 August) than post-moult migrants (average = 12 September). Moult migrants also stayed longer (46 ± 5 days) than post-moult migrants (8 ± 6 days) and had large overlapping stopover home ranges (</w:instrText>
      </w:r>
      <w:r w:rsidR="00C11D79">
        <w:rPr>
          <w:rFonts w:ascii="Cambria Math" w:hAnsi="Cambria Math" w:cs="Cambria Math"/>
        </w:rPr>
        <w:instrText>∼</w:instrText>
      </w:r>
      <w:r w:rsidR="00C11D79">
        <w:rPr>
          <w:rFonts w:ascii="Times New Roman" w:hAnsi="Times New Roman" w:cs="Times New Roman"/>
        </w:rPr>
        <w:instrText>15 ha) that were dependent on high abundance of forest (%) and forest edge (m). We conclude that Tennessee Warblers occupied forested stopover sites within a peri-urban landscape where they successfully moulted before continuing migration. This study illustrates the importance of including stopover sites in conservation plans, particularly in cities where quality habitats are scarce.","container-title":"Canadian Journal of Zoology","DOI":"10.1139/cjz-2023-0109","ISSN":"0008-4301","journalAbbreviation":"Can. J. Zool.","publisher":"NRC Research Press","source":"cdnsciencepub.com (Atypon)","title":"Moult migrant Tennessee Warblers undergo extensive stopover in peri-urban forests of southern Quebec","URL":"https://cdnsciencepub.com/doi/full/10.1139/cjz-2023-0109","author":[{"family":"Poirier","given":"Vanessa"},{"family":"Frei","given":"Barbara"},{"family":"Lefvert","given":"Mathilde"},{"family":"Morales","given":"Ana"},{"family":"Elliott","given":"Kyle H."}],"accessed":{"date-parts":[["2024",2,1]]},"issued":{"date-parts":[["2023",10,19]]}}},{"id":35048,"uris":["http://zotero.org/groups/4573034/items/BQ99AFR2"],"itemData":{"id":35048,"type":"article-journal","abstract":"Cities are significant barriers for migrating birds, but providing suitable greenspaces for stopovers can mitigate urban impacts. City planning for greenspaces often focusses on forests as parks, yet brushy edges and other successional habitats may be equally important especially for songbirds who spend weeks at stopovers in cities to moult their feathers (‘moult migrants’). To investigate the role of peri-urban landscapes on moult migrants, we captured 48 moulting and 41 post-moult migrating Swainson’s thrushes (Catharus ustulatus) within a large (3000 ha) urban park in Montreal, Canada. Each bird was randomly translocated to one of eight sites of varying habitat type and tracked using radiotelemetry. We compared the time spent at each translocation site with habitat characteristics, expecting birds to spend more time in areas with high food availability and concealment from predators. Migrating thrushes spent </w:instrText>
      </w:r>
      <w:r w:rsidR="00C11D79">
        <w:rPr>
          <w:rFonts w:ascii="Cambria Math" w:hAnsi="Cambria Math" w:cs="Cambria Math"/>
        </w:rPr>
        <w:instrText>∼</w:instrText>
      </w:r>
      <w:r w:rsidR="00C11D79">
        <w:rPr>
          <w:rFonts w:ascii="Times New Roman" w:hAnsi="Times New Roman" w:cs="Times New Roman"/>
        </w:rPr>
        <w:instrText xml:space="preserve">4 times as much time in dense forest margins than in fields and mature forests. Berry-producing shrubs that we identified as food for thrushes (by DNA-barcoding of their feces) best characterized those margins. Stopover home ranges were much smaller than the size of the park (50% core range: 10.6 ± 17.2 ha). This highlights the importance of urban greenspaces with dense forest margins during a vulnerable time for Swainson’s Thrushes, and the conservation implications of maintaining these lower-valued greenspaces. Given that city parks are often lacking understory growth, we recommend keeping shrubby patches for migrating birds.","citation-key":"poirier2023","container-title":"Journal for Nature Conservation","DOI":"10.1016/j.jnc.2023.126539","ISSN":"1617-1381","journalAbbreviation":"Journal for Nature Conservation","page":"126539","source":"ScienceDirect","title":"Peri-urban forest margins are important stopover sites for moult-migrating songbirds","author":[{"family":"Poirier","given":"Vanessa"},{"family":"Elliott","given":"Kyle H."},{"family":"Frei","given":"Barbara"}],"issued":{"date-parts":[["2023",12,9]]}}}],"schema":"https://github.com/citation-style-language/schema/raw/master/csl-citation.json"} </w:instrText>
      </w:r>
      <w:r w:rsidRPr="00DC47BB">
        <w:rPr>
          <w:rFonts w:ascii="Times New Roman" w:hAnsi="Times New Roman" w:cs="Times New Roman"/>
        </w:rPr>
        <w:fldChar w:fldCharType="separate"/>
      </w:r>
      <w:r w:rsidR="00C11D79" w:rsidRPr="00C11D79">
        <w:rPr>
          <w:rFonts w:ascii="Times New Roman" w:hAnsi="Times New Roman" w:cs="Times New Roman"/>
          <w:kern w:val="0"/>
        </w:rPr>
        <w:t>[3–6]</w:t>
      </w:r>
      <w:r w:rsidRPr="00DC47BB">
        <w:rPr>
          <w:rFonts w:ascii="Times New Roman" w:hAnsi="Times New Roman" w:cs="Times New Roman"/>
        </w:rPr>
        <w:fldChar w:fldCharType="end"/>
      </w:r>
      <w:r w:rsidRPr="00373740">
        <w:rPr>
          <w:rFonts w:ascii="Times New Roman" w:hAnsi="Times New Roman" w:cs="Times New Roman"/>
          <w:lang w:val="fr-CA"/>
        </w:rPr>
        <w:t xml:space="preserve">.  </w:t>
      </w:r>
    </w:p>
    <w:p w14:paraId="263C6746" w14:textId="77777777" w:rsidR="00373740" w:rsidRPr="00373740" w:rsidRDefault="00373740" w:rsidP="003F13D4">
      <w:pPr>
        <w:spacing w:line="480" w:lineRule="auto"/>
        <w:rPr>
          <w:rFonts w:ascii="Times New Roman" w:hAnsi="Times New Roman" w:cs="Times New Roman"/>
          <w:b/>
          <w:bCs/>
          <w:lang w:val="fr-CA"/>
        </w:rPr>
      </w:pPr>
    </w:p>
    <w:p w14:paraId="231B9BF9" w14:textId="3BED3538" w:rsidR="00264809" w:rsidRDefault="00264809" w:rsidP="003F13D4">
      <w:pPr>
        <w:spacing w:line="480" w:lineRule="auto"/>
        <w:rPr>
          <w:rFonts w:ascii="Times New Roman" w:eastAsia="Times New Roman" w:hAnsi="Times New Roman" w:cs="Times New Roman"/>
          <w:b/>
          <w:i/>
        </w:rPr>
      </w:pPr>
      <w:r>
        <w:rPr>
          <w:rFonts w:ascii="Times New Roman" w:eastAsia="Times New Roman" w:hAnsi="Times New Roman" w:cs="Times New Roman"/>
          <w:b/>
          <w:i/>
        </w:rPr>
        <w:lastRenderedPageBreak/>
        <w:t>Banding and telemetry tracking</w:t>
      </w:r>
    </w:p>
    <w:p w14:paraId="5458CDD2" w14:textId="77777777" w:rsidR="00264809" w:rsidRPr="0095125C" w:rsidRDefault="00264809" w:rsidP="003F13D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Birds were captured using 30 mm mist nets and banded with numbered aluminum leg bands. Tags were attached to each bird using a figure eight leg-loop harness made from nylon-elastic thread (</w:t>
      </w:r>
      <w:proofErr w:type="spellStart"/>
      <w:r>
        <w:rPr>
          <w:rFonts w:ascii="Times New Roman" w:eastAsia="Times New Roman" w:hAnsi="Times New Roman" w:cs="Times New Roman"/>
        </w:rPr>
        <w:t>Rappole</w:t>
      </w:r>
      <w:proofErr w:type="spellEnd"/>
      <w:r>
        <w:rPr>
          <w:rFonts w:ascii="Times New Roman" w:eastAsia="Times New Roman" w:hAnsi="Times New Roman" w:cs="Times New Roman"/>
        </w:rPr>
        <w:t xml:space="preserve"> and Tipton 1991). Standard banding measurements were taken, </w:t>
      </w:r>
      <w:proofErr w:type="gramStart"/>
      <w:r>
        <w:rPr>
          <w:rFonts w:ascii="Times New Roman" w:eastAsia="Times New Roman" w:hAnsi="Times New Roman" w:cs="Times New Roman"/>
        </w:rPr>
        <w:t>including:</w:t>
      </w:r>
      <w:proofErr w:type="gramEnd"/>
      <w:r>
        <w:rPr>
          <w:rFonts w:ascii="Times New Roman" w:eastAsia="Times New Roman" w:hAnsi="Times New Roman" w:cs="Times New Roman"/>
        </w:rPr>
        <w:t xml:space="preserve"> sex, age based on plumage and skull ossification, mass, fat, and wing chord length. Birds were identified, aged, and sexed by experienced banders, consistent with Pyle et al. (1997). As </w:t>
      </w:r>
      <w:proofErr w:type="spellStart"/>
      <w:r>
        <w:rPr>
          <w:rFonts w:ascii="Times New Roman" w:eastAsia="Times New Roman" w:hAnsi="Times New Roman" w:cs="Times New Roman"/>
        </w:rPr>
        <w:t>moult</w:t>
      </w:r>
      <w:proofErr w:type="spellEnd"/>
      <w:r>
        <w:rPr>
          <w:rFonts w:ascii="Times New Roman" w:eastAsia="Times New Roman" w:hAnsi="Times New Roman" w:cs="Times New Roman"/>
        </w:rPr>
        <w:t xml:space="preserve"> migrants are known to occur on site (Junda et al. 2020), we excluded from this study any birds that were actively </w:t>
      </w:r>
      <w:proofErr w:type="spellStart"/>
      <w:r>
        <w:rPr>
          <w:rFonts w:ascii="Times New Roman" w:eastAsia="Times New Roman" w:hAnsi="Times New Roman" w:cs="Times New Roman"/>
        </w:rPr>
        <w:t>moulting</w:t>
      </w:r>
      <w:proofErr w:type="spellEnd"/>
      <w:r>
        <w:rPr>
          <w:rFonts w:ascii="Times New Roman" w:eastAsia="Times New Roman" w:hAnsi="Times New Roman" w:cs="Times New Roman"/>
        </w:rPr>
        <w:t xml:space="preserve">. </w:t>
      </w:r>
      <w:r w:rsidRPr="0095125C">
        <w:rPr>
          <w:rFonts w:ascii="Times New Roman" w:eastAsia="Times New Roman" w:hAnsi="Times New Roman" w:cs="Times New Roman"/>
        </w:rPr>
        <w:t xml:space="preserve">Birds were banded under Animal Use Protocol 2007-5447 from McGill University and federal banding permits 10743B and 10743T issued by the Canadian Wildlife Service, and radio-tagged under Animal Use Protocol 22BF01 and 23BF01 from Environment and Climate Change Canada. </w:t>
      </w:r>
    </w:p>
    <w:p w14:paraId="6DDCD803" w14:textId="03F76560" w:rsidR="00264809" w:rsidRDefault="00000000" w:rsidP="003F13D4">
      <w:pPr>
        <w:spacing w:line="480" w:lineRule="auto"/>
        <w:rPr>
          <w:rFonts w:ascii="Times New Roman" w:eastAsia="Times New Roman" w:hAnsi="Times New Roman" w:cs="Times New Roman"/>
        </w:rPr>
      </w:pPr>
      <w:sdt>
        <w:sdtPr>
          <w:rPr>
            <w:rFonts w:ascii="Times New Roman" w:hAnsi="Times New Roman" w:cs="Times New Roman"/>
          </w:rPr>
          <w:tag w:val="goog_rdk_5"/>
          <w:id w:val="1853523685"/>
        </w:sdtPr>
        <w:sdtContent>
          <w:r w:rsidR="00264809" w:rsidRPr="0095125C">
            <w:rPr>
              <w:rFonts w:ascii="Times New Roman" w:eastAsia="Gungsuh" w:hAnsi="Times New Roman" w:cs="Times New Roman"/>
            </w:rPr>
            <w:t>Tag burst rate varied among the species, ranging from ~ 4.3 s for Hermit Thrush to ~ 14.9 s for Magnolia Warblers. Longer burst intervals were set for smaller birds because they were constrained to smaller tags with shorter battery lives. Tags were detected by an array of permanent and ‘pop-up’ Motus automated telemetry towers, including at the MBO (45.4307◦N, −73.9385◦W), at the McGill University Macdonald Campus (45.4079◦N, −73.939◦W), at the Bois-de-la-Roche nature park (45.4403◦N, −73.9407◦W), and in a suburban area to the south of the study site (45.4109◦N, −73.9301◦W</w:t>
          </w:r>
        </w:sdtContent>
      </w:sdt>
      <w:r w:rsidR="00264809" w:rsidRPr="0095125C">
        <w:rPr>
          <w:rFonts w:ascii="Times New Roman" w:eastAsia="Times New Roman" w:hAnsi="Times New Roman" w:cs="Times New Roman"/>
        </w:rPr>
        <w:t>). While detections</w:t>
      </w:r>
      <w:r w:rsidR="00264809">
        <w:rPr>
          <w:rFonts w:ascii="Times New Roman" w:eastAsia="Times New Roman" w:hAnsi="Times New Roman" w:cs="Times New Roman"/>
        </w:rPr>
        <w:t xml:space="preserve"> at the towers allowed us to identify bird departures from the site and (when detected) provided some information of bird movements and general locations (i.e., which antenna direction of strongest signal), they did not provide robust location data. For this we used daily manual tracking starting the day after the bird’s initial capture and tagging, until the bird was confirmed to have departed from the site or was not detected either by the towers or through manual tracking for &gt; 5 days. Using a 3-element Yagi </w:t>
      </w:r>
      <w:r w:rsidR="00264809">
        <w:rPr>
          <w:rFonts w:ascii="Times New Roman" w:eastAsia="Times New Roman" w:hAnsi="Times New Roman" w:cs="Times New Roman"/>
        </w:rPr>
        <w:lastRenderedPageBreak/>
        <w:t>and a receiver (</w:t>
      </w:r>
      <w:proofErr w:type="spellStart"/>
      <w:r w:rsidR="00264809">
        <w:rPr>
          <w:rFonts w:ascii="Times New Roman" w:eastAsia="Times New Roman" w:hAnsi="Times New Roman" w:cs="Times New Roman"/>
        </w:rPr>
        <w:t>Lotek</w:t>
      </w:r>
      <w:proofErr w:type="spellEnd"/>
      <w:r w:rsidR="00264809">
        <w:rPr>
          <w:rFonts w:ascii="Times New Roman" w:eastAsia="Times New Roman" w:hAnsi="Times New Roman" w:cs="Times New Roman"/>
        </w:rPr>
        <w:t xml:space="preserve"> SRX 800 or </w:t>
      </w:r>
      <w:proofErr w:type="spellStart"/>
      <w:r w:rsidR="00264809">
        <w:rPr>
          <w:rFonts w:ascii="Times New Roman" w:eastAsia="Times New Roman" w:hAnsi="Times New Roman" w:cs="Times New Roman"/>
        </w:rPr>
        <w:t>Lotek</w:t>
      </w:r>
      <w:proofErr w:type="spellEnd"/>
      <w:r w:rsidR="00264809">
        <w:rPr>
          <w:rFonts w:ascii="Times New Roman" w:eastAsia="Times New Roman" w:hAnsi="Times New Roman" w:cs="Times New Roman"/>
        </w:rPr>
        <w:t xml:space="preserve"> SRX 1200) tagged birds were tracked and their daily locations were recorded as a GPS point when the signal was at least 130 dB (</w:t>
      </w:r>
      <w:proofErr w:type="spellStart"/>
      <w:r w:rsidR="00264809">
        <w:rPr>
          <w:rFonts w:ascii="Times New Roman" w:eastAsia="Times New Roman" w:hAnsi="Times New Roman" w:cs="Times New Roman"/>
        </w:rPr>
        <w:t>Lotek</w:t>
      </w:r>
      <w:proofErr w:type="spellEnd"/>
      <w:r w:rsidR="00264809">
        <w:rPr>
          <w:rFonts w:ascii="Times New Roman" w:eastAsia="Times New Roman" w:hAnsi="Times New Roman" w:cs="Times New Roman"/>
        </w:rPr>
        <w:t xml:space="preserve"> SRX 800) or 200 dB (</w:t>
      </w:r>
      <w:proofErr w:type="spellStart"/>
      <w:r w:rsidR="00264809">
        <w:rPr>
          <w:rFonts w:ascii="Times New Roman" w:eastAsia="Times New Roman" w:hAnsi="Times New Roman" w:cs="Times New Roman"/>
        </w:rPr>
        <w:t>Lotek</w:t>
      </w:r>
      <w:proofErr w:type="spellEnd"/>
      <w:r w:rsidR="00264809">
        <w:rPr>
          <w:rFonts w:ascii="Times New Roman" w:eastAsia="Times New Roman" w:hAnsi="Times New Roman" w:cs="Times New Roman"/>
        </w:rPr>
        <w:t xml:space="preserve"> SRX 1200) at a gain (precision) between 9 and 40 </w:t>
      </w:r>
      <w:proofErr w:type="spellStart"/>
      <w:r w:rsidR="00264809">
        <w:rPr>
          <w:rFonts w:ascii="Times New Roman" w:eastAsia="Times New Roman" w:hAnsi="Times New Roman" w:cs="Times New Roman"/>
        </w:rPr>
        <w:t>dB.</w:t>
      </w:r>
      <w:proofErr w:type="spellEnd"/>
    </w:p>
    <w:p w14:paraId="57099882" w14:textId="6FEC4D0C" w:rsidR="00264809" w:rsidRPr="00D4064C" w:rsidRDefault="00832665" w:rsidP="003F13D4">
      <w:pPr>
        <w:spacing w:line="480" w:lineRule="auto"/>
        <w:rPr>
          <w:rFonts w:ascii="Times New Roman" w:hAnsi="Times New Roman" w:cs="Times New Roman"/>
          <w:b/>
          <w:bCs/>
          <w:i/>
          <w:iCs/>
        </w:rPr>
      </w:pPr>
      <w:r>
        <w:rPr>
          <w:rFonts w:ascii="Times New Roman" w:eastAsia="Times New Roman" w:hAnsi="Times New Roman" w:cs="Times New Roman"/>
          <w:b/>
          <w:bCs/>
          <w:i/>
          <w:iCs/>
        </w:rPr>
        <w:t>Stopover durations from tracking data</w:t>
      </w:r>
    </w:p>
    <w:p w14:paraId="4370D971" w14:textId="16E014BE" w:rsidR="00832665" w:rsidRDefault="00832665" w:rsidP="003F13D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Stopover durations for telemetry tracked birds were quantified using departure dates and times collected from the four Motus wildlife tracking towers described above. We considered migratory departure to occur when a rapid increase in signal strength from all antennas from one of the towers to which the tagged bird was closest to (typically the MBO tower) was followed by a decrease in signal strength until it disappeared (</w:t>
      </w:r>
      <w:proofErr w:type="spellStart"/>
      <w:r>
        <w:rPr>
          <w:rFonts w:ascii="Times New Roman" w:eastAsia="Times New Roman" w:hAnsi="Times New Roman" w:cs="Times New Roman"/>
        </w:rPr>
        <w:t>Packmor</w:t>
      </w:r>
      <w:proofErr w:type="spellEnd"/>
      <w:r>
        <w:rPr>
          <w:rFonts w:ascii="Times New Roman" w:eastAsia="Times New Roman" w:hAnsi="Times New Roman" w:cs="Times New Roman"/>
        </w:rPr>
        <w:t xml:space="preserve"> et al. 2020). In most cases (110/113) we were able to detect a similar change in signal from one or more of the local towers as the birds migrated southwest. Individuals who departed before 19:00 were excluded from the analyses as nocturnal migrants generally depart after sunset (Cooper et al. 2023a). Departure night was considered as the last night a bird was detected at the stopover landscape prior to a confirmed departure from the Motus data. Stopover length was calculated as the departure night – capture day + 1, providing the minimum duration of the stopover bout (Dossman et al. 2016) </w:t>
      </w:r>
    </w:p>
    <w:p w14:paraId="6EDCC6D7" w14:textId="118A5A0F" w:rsidR="00B94254" w:rsidRPr="00D4064C" w:rsidRDefault="00B94254" w:rsidP="003F13D4">
      <w:pPr>
        <w:spacing w:line="480" w:lineRule="auto"/>
        <w:rPr>
          <w:rFonts w:ascii="Times New Roman" w:hAnsi="Times New Roman" w:cs="Times New Roman"/>
          <w:b/>
          <w:bCs/>
          <w:i/>
          <w:iCs/>
        </w:rPr>
      </w:pPr>
      <w:r w:rsidRPr="003F13D4">
        <w:rPr>
          <w:rFonts w:ascii="Times New Roman" w:eastAsia="Times New Roman" w:hAnsi="Times New Roman" w:cs="Times New Roman"/>
          <w:b/>
          <w:bCs/>
          <w:i/>
          <w:iCs/>
        </w:rPr>
        <w:t>Fuel load calculations</w:t>
      </w:r>
    </w:p>
    <w:p w14:paraId="5C3FF794" w14:textId="4310C9F2" w:rsidR="00B94254" w:rsidRDefault="003F13D4" w:rsidP="003F13D4">
      <w:pPr>
        <w:spacing w:line="480" w:lineRule="auto"/>
        <w:ind w:firstLine="720"/>
        <w:rPr>
          <w:rFonts w:ascii="Times New Roman" w:eastAsia="Times New Roman" w:hAnsi="Times New Roman" w:cs="Times New Roman"/>
        </w:rPr>
      </w:pPr>
      <w:r w:rsidRPr="003F13D4">
        <w:rPr>
          <w:rFonts w:ascii="Times New Roman" w:eastAsia="Times New Roman" w:hAnsi="Times New Roman" w:cs="Times New Roman"/>
        </w:rPr>
        <w:t>We calculated body mass variables for all birds of the five target species captured and banded on site from 2004 – 2023, including those tagged and tracked with Motus tags. For each bird we estimated lean body mass (LBM;</w:t>
      </w:r>
      <w:r w:rsidRPr="003F13D4">
        <w:rPr>
          <w:rFonts w:ascii="Times New Roman" w:eastAsia="Times New Roman" w:hAnsi="Times New Roman" w:cs="Times New Roman"/>
        </w:rPr>
        <w:fldChar w:fldCharType="begin"/>
      </w:r>
      <w:r w:rsidR="005F4698">
        <w:rPr>
          <w:rFonts w:ascii="Times New Roman" w:eastAsia="Times New Roman" w:hAnsi="Times New Roman" w:cs="Times New Roman"/>
        </w:rPr>
        <w:instrText xml:space="preserve"> ADDIN ZOTERO_ITEM CSL_CITATION {"citationID":"mh0gX2oH","properties":{"formattedCitation":"(Owen and Moore 2006)","plainCitation":"(Owen and Moore 2006)","dontUpdate":true,"noteIndex":0},"citationItems":[{"id":37768,"uris":["http://zotero.org/users/7850714/items/F2TMVH44"],"itemData":{"id":37768,"type":"article-journal","abstract":"Migratory birds are exposed to a diverse pathogen fauna by virtue of their long-distance travels. Although the immune system is an organism's primary defense against pathogenic microorganisms, few studies have investigated avian immune function during migration, much less shown seasonal differences in immune function. We describe the immunological condition of three intercontinental migratory species, Swainson's Thrush (Catharus ustulatus), Veery (C. fuscescens), and Wood Thrush (Hylocichla mus telina) during spring migration. In addition, we compare their immunological condition with conspecifics captured during fall migration and during the breeding season to provide a frame of reference for the spring immunological data. Measures of immunological condition presented include total leukocyte count, heterophilrlymphocyte (H:L) ratio, heterophil and lymphocyte counts, hematocrit, and IgG titers. In addition, we assessed each bird's energetic condition by measuring body mass and calculating a size-corrected condition index. Migrating birds had lower leukocyte and lymphocyte counts, lower hematocrit, reduced fat stores, and higher H:L ratios relative to nonmigrating individuals sampled during the breeding season. We also found that birds sampled during spring migration had lower lymphocyte counts and reduced fat stores, and higher heterophil counts and H:L ratios than fall migrants. Our results suggest that migrating birds are immunocompromised compared with conspecifics during the breeding season. Furthermore, compared with conspecifics sampled after a shorter overland flight, migrants sampled after crossing the Gulf of Mexico exhibited higher H:L ratios, which is indicative of heightened energetic stress. /// Las ayes migratorias están expuestas a una diversidad de fauna patológica debido a sus viajes de larga distancia. Aunque el sistema inmunológico es la principal defensa contra los microorganismos patógenos, pocos estudios han investigado la función del sistema inmunológico de las ayes durante la migración, y mucho menos han mostrado las diferencias estacionales en la función inmunológica. Este estudio describe la condición inmunológica de tres especies migratorias intercontinentales durante la migración de la primavera: Catharus ustulatus, C. fuscescens y Hylocichla mustelina. Además, comparamos la condición inmunológica de estas ayes con la de ayes de la misma especie capturadas durante la migración del otoño y durante la época de reproducción, a fin de proveer un marco de referencia para los datos inmunológicos obtenidos en la primavera. Las mediciones que se presentan sobre la condición inmunológica incluyen un conteo total de leucocitos, la proporción de heterófilos:linfocitos (H:L), conteos de heterófilos y linfocitos, hematocritos, y los niveles de IgG. Además, evaluamos la condición energética de cada ave por medio de la medición de la masa corporal y el cálculo de un indice de condición corregido de acuerdo con el tamaño. Las ayes migratorias tuvieron conteos más bajos de leucocitos y linfocitos, hematocritos más bajos, reservas de grasa reducidas y proporciones más altas de H:L en relación con las ayes no migratorias muestreadas durante la temporada de reproducción. También se encontró que las ayes que se examinaron durante la migración de la primavera tenian un menor conteo de linfocitos, reservas de grasa reducidas y un conteo mayor tanto de heterófilos como de la proporción de H:L que las ayes que migraron en el otoño. Nuestros resultados sugieren que las ayes migratorias están inmunocomprometidas en comparación con ayes de la misma especie examinadas durante la temporada en la que no hay migración. Por otra parte, las ayes migratorias examinadas después de que cruzaran el Golfo de Mexico mostraron proporciones de H:L más elevadas comparadas con ayes de la misma especie examinadas durante la migración del otoño, lo cual indica un elevado estrés energético.","container-title":"The Condor","ISSN":"0010-5422","issue":"2","page":"389-398","publisher":"American Ornithological Society","source":"JSTOR","title":"Seasonal Differences in Immunological Condition of Three Species of Thrushes","volume":"108","author":[{"family":"Owen","given":"Jennifer C."},{"family":"Moore","given":"Frank R."}],"issued":{"date-parts":[["2006"]]}}}],"schema":"https://github.com/citation-style-language/schema/raw/master/csl-citation.json"} </w:instrText>
      </w:r>
      <w:r w:rsidRPr="003F13D4">
        <w:rPr>
          <w:rFonts w:ascii="Times New Roman" w:eastAsia="Times New Roman" w:hAnsi="Times New Roman" w:cs="Times New Roman"/>
        </w:rPr>
        <w:fldChar w:fldCharType="separate"/>
      </w:r>
      <w:r w:rsidRPr="003F13D4">
        <w:rPr>
          <w:rFonts w:ascii="Times New Roman" w:eastAsia="Times New Roman" w:hAnsi="Times New Roman" w:cs="Times New Roman"/>
        </w:rPr>
        <w:t xml:space="preserve"> Owen and Moore 2006)</w:t>
      </w:r>
      <w:r w:rsidRPr="003F13D4">
        <w:rPr>
          <w:rFonts w:ascii="Times New Roman" w:eastAsia="Times New Roman" w:hAnsi="Times New Roman" w:cs="Times New Roman"/>
        </w:rPr>
        <w:fldChar w:fldCharType="end"/>
      </w:r>
      <w:r w:rsidRPr="003F13D4">
        <w:rPr>
          <w:rFonts w:ascii="Times New Roman" w:eastAsia="Times New Roman" w:hAnsi="Times New Roman" w:cs="Times New Roman"/>
        </w:rPr>
        <w:t xml:space="preserve"> by fitting a species-specific regression of body mass on wing length for all birds with a fat score of 0 (no measurable fat). Fuel load (FL) was then quantified for each individual as the difference between the measured </w:t>
      </w:r>
      <w:r w:rsidRPr="003F13D4">
        <w:rPr>
          <w:rFonts w:ascii="Times New Roman" w:eastAsia="Times New Roman" w:hAnsi="Times New Roman" w:cs="Times New Roman"/>
        </w:rPr>
        <w:lastRenderedPageBreak/>
        <w:t xml:space="preserve">body mass at time of capture, minus the estimated LBM for the species, divided by the LBM, and multiplied by 100 to obtain a percentage </w:t>
      </w:r>
      <w:r w:rsidRPr="003F13D4">
        <w:rPr>
          <w:rFonts w:ascii="Times New Roman" w:eastAsia="Times New Roman" w:hAnsi="Times New Roman" w:cs="Times New Roman"/>
        </w:rPr>
        <w:fldChar w:fldCharType="begin"/>
      </w:r>
      <w:r w:rsidR="00C11D79">
        <w:rPr>
          <w:rFonts w:ascii="Times New Roman" w:eastAsia="Times New Roman" w:hAnsi="Times New Roman" w:cs="Times New Roman"/>
        </w:rPr>
        <w:instrText xml:space="preserve"> ADDIN ZOTERO_ITEM CSL_CITATION {"citationID":"7EebVsXS","properties":{"formattedCitation":"[8]","plainCitation":"[8]","noteIndex":0},"citationItems":[{"id":36526,"uris":["http://zotero.org/users/7850714/items/PRTBUUMH"],"itemData":{"id":36526,"type":"article-journal","abstract":"During migration, birds must stopover at refueling sites to replenish energy stores, with the rate of refueling linked to stopover length, migration speed, and the timing of critical life stages, such as breeding. Under optimal migration theory, birds are expected to maximize fuel intake and minimize stopover length (the time minimization hypothesis). Within a multi-species framework, we demonstrate that time minimization behavior is context-dependent, as refueling rate, stopover length, and departure decisions vary between seasons, among species with different ecological traits (e.g., diet and migration distance), and in response to density-dependent factors and prevailing environmental conditions. Using long-term banding data (10 years) from southwestern British Columbia, Canada, we investigated the ecological processes shaping stopover dynamics among 5 warbler (Parulidae) and 5 sparrow species (Passerellidae). Specifically, we assessed variation in fuel deposition rates (FDRs) as well as the associations between mass gain, stopover length, and departure probability. FDR was greater in insectivorous warblers during spring migration and in species migrating long distances. FDR responded positively to temperature and habitat productivity, but negatively to precipitation events, particularly for insectivorous, long-distance migrants during spring migration. Similarly, density-dependent refueling rate was only observed in insectivores and long-distance migrants during spring migration, where higher densities of foliage-gleaning insectivores were associated with a lower FDR. Stopover duration was more closely associated with body condition upon arrival and subsequent mass gain than direct environmental effects, especially during northward spring migration, providing support for time minimization and a mass threshold influencing departure decisions. These results highlight that refueling rates and stopover quality vary among species depending on their life-history strategies, with particular implications for long-distance, migratory insectivores, which may be most susceptible to climate shifts.","container-title":"Ornithology","DOI":"10.1093/ornithology/ukac027","ISSN":"0004-8038, 2732-4613","issue":"4","language":"en","license":"https://creativecommons.org/licenses/by/4.0/","page":"ukac027","source":"DOI.org (Crossref)","title":"Mass gain and stopover dynamics among migrating songbirds are linked to seasonal, environmental, and life-history effects","volume":"139","author":[{"family":"De Zwaan","given":"Devin R"},{"family":"Huang","given":"Andrew"},{"family":"McCallum","given":"Quinn"},{"family":"Owen","given":"Kiirsti"},{"family":"Lamont","given":"Myles"},{"family":"Easton","given":"Wendy"}],"issued":{"date-parts":[["2022",10,5]]}}}],"schema":"https://github.com/citation-style-language/schema/raw/master/csl-citation.json"} </w:instrText>
      </w:r>
      <w:r w:rsidRPr="003F13D4">
        <w:rPr>
          <w:rFonts w:ascii="Times New Roman" w:eastAsia="Times New Roman" w:hAnsi="Times New Roman" w:cs="Times New Roman"/>
        </w:rPr>
        <w:fldChar w:fldCharType="separate"/>
      </w:r>
      <w:r w:rsidR="00C11D79" w:rsidRPr="00C11D79">
        <w:rPr>
          <w:rFonts w:ascii="Times New Roman" w:hAnsi="Times New Roman" w:cs="Times New Roman"/>
        </w:rPr>
        <w:t>[8]</w:t>
      </w:r>
      <w:r w:rsidRPr="003F13D4">
        <w:rPr>
          <w:rFonts w:ascii="Times New Roman" w:eastAsia="Times New Roman" w:hAnsi="Times New Roman" w:cs="Times New Roman"/>
        </w:rPr>
        <w:fldChar w:fldCharType="end"/>
      </w:r>
      <w:r w:rsidRPr="003F13D4">
        <w:rPr>
          <w:rFonts w:ascii="Times New Roman" w:eastAsia="Times New Roman" w:hAnsi="Times New Roman" w:cs="Times New Roman"/>
        </w:rPr>
        <w:t>.</w:t>
      </w:r>
    </w:p>
    <w:p w14:paraId="068E20C1" w14:textId="77777777" w:rsidR="002370BC" w:rsidRPr="002370BC" w:rsidRDefault="002370BC" w:rsidP="003F13D4">
      <w:pPr>
        <w:spacing w:line="480" w:lineRule="auto"/>
        <w:rPr>
          <w:rFonts w:ascii="Times New Roman" w:hAnsi="Times New Roman" w:cs="Times New Roman"/>
          <w:b/>
          <w:bCs/>
          <w:i/>
          <w:iCs/>
        </w:rPr>
      </w:pPr>
      <w:r w:rsidRPr="002370BC">
        <w:rPr>
          <w:rFonts w:ascii="Times New Roman" w:hAnsi="Times New Roman" w:cs="Times New Roman"/>
          <w:b/>
          <w:bCs/>
          <w:i/>
          <w:iCs/>
        </w:rPr>
        <w:t xml:space="preserve">Change point activity analysis </w:t>
      </w:r>
    </w:p>
    <w:p w14:paraId="3473DAD0" w14:textId="7043E752" w:rsidR="002370BC" w:rsidRPr="00A55FAE" w:rsidRDefault="002370BC" w:rsidP="003F13D4">
      <w:pPr>
        <w:spacing w:line="480" w:lineRule="auto"/>
        <w:ind w:firstLine="720"/>
        <w:rPr>
          <w:rFonts w:ascii="Times New Roman" w:eastAsia="Calibri" w:hAnsi="Times New Roman" w:cs="Times New Roman"/>
          <w:lang w:val="en-CA"/>
        </w:rPr>
      </w:pPr>
      <w:r w:rsidRPr="00A55FAE">
        <w:rPr>
          <w:rFonts w:ascii="Times New Roman" w:eastAsia="Calibri" w:hAnsi="Times New Roman" w:cs="Times New Roman"/>
          <w:lang w:val="en-CA"/>
        </w:rPr>
        <w:t>Change points were extracted for each day a bird was at stopover at MBO by first de-trending values of signal strength (</w:t>
      </w:r>
      <w:r w:rsidRPr="00A55FAE">
        <w:rPr>
          <w:rFonts w:ascii="Times New Roman" w:eastAsia="Calibri" w:hAnsi="Times New Roman" w:cs="Times New Roman"/>
          <w:i/>
          <w:iCs/>
          <w:lang w:val="en-CA"/>
        </w:rPr>
        <w:t>sig</w:t>
      </w:r>
      <w:r w:rsidRPr="00A55FAE">
        <w:rPr>
          <w:rFonts w:ascii="Times New Roman" w:eastAsia="Calibri" w:hAnsi="Times New Roman" w:cs="Times New Roman"/>
          <w:lang w:val="en-CA"/>
        </w:rPr>
        <w:t>) by taking the first differences (</w:t>
      </w:r>
      <w:r w:rsidRPr="00A55FAE">
        <w:rPr>
          <w:rFonts w:ascii="Times New Roman" w:eastAsia="Calibri" w:hAnsi="Times New Roman" w:cs="Times New Roman"/>
          <w:i/>
          <w:iCs/>
          <w:lang w:val="en-CA"/>
        </w:rPr>
        <w:t>d</w:t>
      </w:r>
      <w:r w:rsidRPr="00A55FAE">
        <w:rPr>
          <w:rFonts w:ascii="Times New Roman" w:eastAsia="Calibri" w:hAnsi="Times New Roman" w:cs="Times New Roman"/>
          <w:i/>
          <w:iCs/>
          <w:vertAlign w:val="subscript"/>
          <w:lang w:val="en-CA"/>
        </w:rPr>
        <w:t>i</w:t>
      </w:r>
      <w:r w:rsidRPr="00A55FAE">
        <w:rPr>
          <w:rFonts w:ascii="Times New Roman" w:eastAsia="Calibri" w:hAnsi="Times New Roman" w:cs="Times New Roman"/>
          <w:i/>
          <w:iCs/>
          <w:lang w:val="en-CA"/>
        </w:rPr>
        <w:t xml:space="preserve"> = </w:t>
      </w:r>
      <w:proofErr w:type="spellStart"/>
      <w:r w:rsidRPr="00A55FAE">
        <w:rPr>
          <w:rFonts w:ascii="Times New Roman" w:eastAsia="Calibri" w:hAnsi="Times New Roman" w:cs="Times New Roman"/>
          <w:i/>
          <w:iCs/>
          <w:lang w:val="en-CA"/>
        </w:rPr>
        <w:t>sig</w:t>
      </w:r>
      <w:r w:rsidRPr="00A55FAE">
        <w:rPr>
          <w:rFonts w:ascii="Times New Roman" w:eastAsia="Calibri" w:hAnsi="Times New Roman" w:cs="Times New Roman"/>
          <w:i/>
          <w:iCs/>
          <w:vertAlign w:val="subscript"/>
          <w:lang w:val="en-CA"/>
        </w:rPr>
        <w:t>i</w:t>
      </w:r>
      <w:proofErr w:type="spellEnd"/>
      <w:r w:rsidRPr="00A55FAE">
        <w:rPr>
          <w:rFonts w:ascii="Times New Roman" w:eastAsia="Calibri" w:hAnsi="Times New Roman" w:cs="Times New Roman"/>
          <w:i/>
          <w:iCs/>
          <w:lang w:val="en-CA"/>
        </w:rPr>
        <w:t xml:space="preserve"> - sig</w:t>
      </w:r>
      <w:r w:rsidRPr="00A55FAE">
        <w:rPr>
          <w:rFonts w:ascii="Times New Roman" w:eastAsia="Calibri" w:hAnsi="Times New Roman" w:cs="Times New Roman"/>
          <w:i/>
          <w:iCs/>
          <w:vertAlign w:val="subscript"/>
          <w:lang w:val="en-CA"/>
        </w:rPr>
        <w:t>i-1</w:t>
      </w:r>
      <w:r w:rsidRPr="00A55FAE">
        <w:rPr>
          <w:rFonts w:ascii="Times New Roman" w:eastAsia="Calibri" w:hAnsi="Times New Roman" w:cs="Times New Roman"/>
          <w:lang w:val="en-CA"/>
        </w:rPr>
        <w:t xml:space="preserve">, for observation </w:t>
      </w:r>
      <w:r w:rsidRPr="00A55FAE">
        <w:rPr>
          <w:rFonts w:ascii="Times New Roman" w:eastAsia="Calibri" w:hAnsi="Times New Roman" w:cs="Times New Roman"/>
          <w:i/>
          <w:iCs/>
          <w:lang w:val="en-CA"/>
        </w:rPr>
        <w:t>i</w:t>
      </w:r>
      <w:r w:rsidRPr="00A55FAE">
        <w:rPr>
          <w:rFonts w:ascii="Times New Roman" w:eastAsia="Calibri" w:hAnsi="Times New Roman" w:cs="Times New Roman"/>
          <w:lang w:val="en-CA"/>
        </w:rPr>
        <w:t xml:space="preserve">) for each antenna on the MBO Motus station. Values of </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xml:space="preserve"> among all antennas were then pooled and sorted by timestamp, after which the square-root of the absolute value of </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xml:space="preserve">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w:t>
      </w:r>
      <w:r w:rsidRPr="00A55FAE">
        <w:rPr>
          <w:rFonts w:ascii="Times New Roman" w:eastAsia="Calibri" w:hAnsi="Times New Roman" w:cs="Times New Roman"/>
          <w:i/>
          <w:iCs/>
          <w:lang w:val="en-CA"/>
        </w:rPr>
        <w:t xml:space="preserve"> </w:t>
      </w:r>
      <w:r w:rsidRPr="00A55FAE">
        <w:rPr>
          <w:rFonts w:ascii="Times New Roman" w:eastAsia="Calibri" w:hAnsi="Times New Roman" w:cs="Times New Roman"/>
          <w:lang w:val="en-CA"/>
        </w:rPr>
        <w:t xml:space="preserve">was calculated. This process reduces the major difference in </w:t>
      </w:r>
      <w:r w:rsidRPr="00A55FAE">
        <w:rPr>
          <w:rFonts w:ascii="Times New Roman" w:eastAsia="Calibri" w:hAnsi="Times New Roman" w:cs="Times New Roman"/>
          <w:i/>
          <w:iCs/>
          <w:lang w:val="en-CA"/>
        </w:rPr>
        <w:t>sig</w:t>
      </w:r>
      <w:r w:rsidRPr="00A55FAE">
        <w:rPr>
          <w:rFonts w:ascii="Times New Roman" w:eastAsia="Calibri" w:hAnsi="Times New Roman" w:cs="Times New Roman"/>
          <w:lang w:val="en-CA"/>
        </w:rPr>
        <w:t xml:space="preserve"> among the receiver antennas as well as any change in signal strength over time that are likely the result of longer movements made by tagged birds at the study site. Square root transformation emphasises the difference in the mean and variance of </w:t>
      </w:r>
      <w:r w:rsidRPr="00A55FAE">
        <w:rPr>
          <w:rFonts w:ascii="Times New Roman" w:eastAsia="Calibri" w:hAnsi="Times New Roman" w:cs="Times New Roman"/>
          <w:i/>
          <w:iCs/>
          <w:lang w:val="en-CA"/>
        </w:rPr>
        <w:t>sig</w:t>
      </w:r>
      <w:r w:rsidRPr="00A55FAE">
        <w:rPr>
          <w:rFonts w:ascii="Times New Roman" w:eastAsia="Calibri" w:hAnsi="Times New Roman" w:cs="Times New Roman"/>
          <w:lang w:val="en-CA"/>
        </w:rPr>
        <w:t xml:space="preserve"> between activity states </w:t>
      </w:r>
      <w:r w:rsidRPr="00A55FAE">
        <w:rPr>
          <w:rFonts w:ascii="Times New Roman" w:eastAsia="Calibri" w:hAnsi="Times New Roman" w:cs="Times New Roman"/>
        </w:rPr>
        <w:fldChar w:fldCharType="begin"/>
      </w:r>
      <w:r w:rsidR="00C11D79">
        <w:rPr>
          <w:rFonts w:ascii="Times New Roman" w:eastAsia="Calibri" w:hAnsi="Times New Roman" w:cs="Times New Roman"/>
        </w:rPr>
        <w:instrText xml:space="preserve"> ADDIN ZOTERO_ITEM CSL_CITATION {"citationID":"CY7zG46t","properties":{"formattedCitation":"[9]","plainCitation":"[9]","noteIndex":0},"citationItems":[{"id":"IgPky2X2/gwdhAvTX","uris":["http://zotero.org/users/3528257/items/AW2U5U4Q"],"itemData":{"id":2130,"type":"article-journal","abstract":"The length of time songbirds remain at a migratory stopover site is likely regulated by a daily stay/go decision informed by fat stores and weather conditions, but the finer-scale timing of this decision and associated pre-departure behaviours are still poorly understood. Using automated radiotelemetry of free-living songbirds captured at a migratory stopover site in spring, we tested whether individuals change their locomotor activity near sunset on their migratory departure day compared to their non-departure days. To do so, we extracted precise transition times between diurnal activity and nocturnal inactivity, which always precedes departure, using changepoint analysis of radio transmission signal strength. Among four warbler species, individuals extended diurnal activity by 8–19 min towards sunset on their departure day. In three species, this extension was significant. In contrast, white-throated sparrows significantly shortened diurnal activity on their departure day by 13 min, also towards sunset. This is the first study to detect and quantify a change in locomotor activity schedule on departure versus non-departure days in free-living songbirds, and is consistent with the hypothesis that birds engage in pre-departure preparatory behaviours near sunset.","container-title":"Journal of Avian Biology","DOI":"https://doi.org/10.1111/jav.02448","ISSN":"1600-048X","issue":"11","language":"en","license":"© 2020 Nordic Society Oikos. Published by John Wiley &amp; Sons Ltd","note":"_eprint: https://onlinelibrary.wiley.com/doi/pdf/10.1111/jav.02448","source":"Wiley Online Library","title":"Evening locomotor activity during stopover differs on pre-departure and departure days in free-living songbirds","URL":"https://onlinelibrary.wiley.com/doi/abs/10.1111/jav.02448","volume":"51","author":[{"family":"Morbey","given":"Yolanda E."},{"family":"Beauchamp","given":"Andrew T."},{"family":"Bonner","given":"Simon J."},{"family":"Mitchell","given":"Greg W."}],"accessed":{"date-parts":[["2020",11,23]]},"issued":{"date-parts":[["2020"]]}}}],"schema":"https://github.com/citation-style-language/schema/raw/master/csl-citation.json"} </w:instrText>
      </w:r>
      <w:r w:rsidRPr="00A55FAE">
        <w:rPr>
          <w:rFonts w:ascii="Times New Roman" w:eastAsia="Calibri" w:hAnsi="Times New Roman" w:cs="Times New Roman"/>
        </w:rPr>
        <w:fldChar w:fldCharType="separate"/>
      </w:r>
      <w:r w:rsidR="00C11D79" w:rsidRPr="00C11D79">
        <w:rPr>
          <w:rFonts w:ascii="Times New Roman" w:hAnsi="Times New Roman" w:cs="Times New Roman"/>
        </w:rPr>
        <w:t>[9]</w:t>
      </w:r>
      <w:r w:rsidRPr="00A55FAE">
        <w:rPr>
          <w:rFonts w:ascii="Times New Roman" w:eastAsia="Calibri" w:hAnsi="Times New Roman" w:cs="Times New Roman"/>
        </w:rPr>
        <w:fldChar w:fldCharType="end"/>
      </w:r>
      <w:r w:rsidRPr="00A55FAE">
        <w:rPr>
          <w:rFonts w:ascii="Times New Roman" w:eastAsia="Calibri" w:hAnsi="Times New Roman" w:cs="Times New Roman"/>
          <w:lang w:val="en-CA"/>
        </w:rPr>
        <w:t>, further demarcating the change in activity pattern.</w:t>
      </w:r>
    </w:p>
    <w:p w14:paraId="5B9E2C63" w14:textId="77777777" w:rsidR="002370BC" w:rsidRPr="00A55FAE" w:rsidRDefault="002370BC" w:rsidP="003F13D4">
      <w:pPr>
        <w:spacing w:line="480" w:lineRule="auto"/>
        <w:rPr>
          <w:rFonts w:ascii="Times New Roman" w:eastAsia="Calibri" w:hAnsi="Times New Roman" w:cs="Times New Roman"/>
          <w:lang w:val="en-CA"/>
        </w:rPr>
      </w:pPr>
      <w:r w:rsidRPr="00A55FAE">
        <w:rPr>
          <w:rFonts w:ascii="Times New Roman" w:eastAsia="Calibri" w:hAnsi="Times New Roman" w:cs="Times New Roman"/>
          <w:lang w:val="en-CA"/>
        </w:rPr>
        <w:t xml:space="preserve">Using separate automated process for the onset and end of activity, we first filtered any onset or end periods with fewer than 800 detections total to exclude periods with poor signal coverage. The function </w:t>
      </w:r>
      <w:proofErr w:type="spellStart"/>
      <w:proofErr w:type="gramStart"/>
      <w:r w:rsidRPr="00A55FAE">
        <w:rPr>
          <w:rFonts w:ascii="Times New Roman" w:eastAsia="Calibri" w:hAnsi="Times New Roman" w:cs="Times New Roman"/>
          <w:i/>
          <w:iCs/>
          <w:lang w:val="en-CA"/>
        </w:rPr>
        <w:t>cpt.meanvar</w:t>
      </w:r>
      <w:proofErr w:type="spellEnd"/>
      <w:proofErr w:type="gramEnd"/>
      <w:r w:rsidRPr="00A55FAE">
        <w:rPr>
          <w:rFonts w:ascii="Times New Roman" w:eastAsia="Calibri" w:hAnsi="Times New Roman" w:cs="Times New Roman"/>
          <w:lang w:val="en-CA"/>
        </w:rPr>
        <w:t xml:space="preserve"> was then used to extract a single change point time (</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in the mean and variance of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within the six-hour period, specifying an asymptotic penalty value of 0.001 and a minimum segment length of 20. These parameters performed well to reliably identify the transition between activity states. For most change points, mean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xml:space="preserve">|) was &lt; 1 before the </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and &gt; 0.5 after the onset of activity, and mean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xml:space="preserve">|) ranged between 0 and 2 before the </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and &lt; 1 after for the end of activity. </w:t>
      </w:r>
    </w:p>
    <w:p w14:paraId="5E19AF19" w14:textId="77777777" w:rsidR="002370BC" w:rsidRPr="00A55FAE" w:rsidRDefault="002370BC" w:rsidP="003F13D4">
      <w:pPr>
        <w:spacing w:line="480" w:lineRule="auto"/>
        <w:rPr>
          <w:rFonts w:ascii="Times New Roman" w:eastAsia="Calibri" w:hAnsi="Times New Roman" w:cs="Times New Roman"/>
          <w:lang w:val="en-CA"/>
        </w:rPr>
      </w:pPr>
      <w:r w:rsidRPr="00A55FAE">
        <w:rPr>
          <w:rFonts w:ascii="Times New Roman" w:eastAsia="Calibri" w:hAnsi="Times New Roman" w:cs="Times New Roman"/>
          <w:lang w:val="en-CA"/>
        </w:rPr>
        <w:t xml:space="preserve">Post </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extraction, filtering was conducted to exclude questionable change points, attributable primarily to gaps in the detection record. For activity onset change points, we removed any with </w:t>
      </w:r>
      <w:r w:rsidRPr="00A55FAE">
        <w:rPr>
          <w:rFonts w:ascii="Times New Roman" w:eastAsia="Calibri" w:hAnsi="Times New Roman" w:cs="Times New Roman"/>
          <w:lang w:val="en-CA"/>
        </w:rPr>
        <w:lastRenderedPageBreak/>
        <w:t>a pre-</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mean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&gt; 1, post-</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mean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&lt; 0.5, a pre-</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mean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&gt; post-</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mean</w:t>
      </w:r>
      <w:r w:rsidRPr="00A55FAE">
        <w:rPr>
          <w:rFonts w:ascii="Adobe Garamond Pro" w:eastAsia="Calibri" w:hAnsi="Adobe Garamond Pro" w:cs="Adobe Garamond Pro"/>
          <w:color w:val="000000"/>
          <w:kern w:val="0"/>
          <w:lang w:val="en-CA"/>
        </w:rPr>
        <w:t xml:space="preserve"> </w:t>
      </w:r>
      <w:r w:rsidRPr="00A55FAE">
        <w:rPr>
          <w:rFonts w:ascii="Times New Roman" w:eastAsia="Calibri" w:hAnsi="Times New Roman" w:cs="Times New Roman"/>
          <w:lang w:val="en-CA"/>
        </w:rPr>
        <w:t>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or a pre-</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variance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&gt; post-</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variance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For activity end change points, we removed any with a post-</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mean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&gt; 1, a pre-</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mean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&lt; post-</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mean</w:t>
      </w:r>
      <w:r w:rsidRPr="00A55FAE">
        <w:rPr>
          <w:rFonts w:ascii="Adobe Garamond Pro" w:eastAsia="Calibri" w:hAnsi="Adobe Garamond Pro" w:cs="Adobe Garamond Pro"/>
          <w:color w:val="000000"/>
          <w:kern w:val="0"/>
          <w:lang w:val="en-CA"/>
        </w:rPr>
        <w:t xml:space="preserve"> </w:t>
      </w:r>
      <w:r w:rsidRPr="00A55FAE">
        <w:rPr>
          <w:rFonts w:ascii="Times New Roman" w:eastAsia="Calibri" w:hAnsi="Times New Roman" w:cs="Times New Roman"/>
          <w:lang w:val="en-CA"/>
        </w:rPr>
        <w:t>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or a pre-</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variance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 &lt; post-</w:t>
      </w:r>
      <w:proofErr w:type="spellStart"/>
      <w:r w:rsidRPr="00A55FAE">
        <w:rPr>
          <w:rFonts w:ascii="Times New Roman" w:eastAsia="Calibri" w:hAnsi="Times New Roman" w:cs="Times New Roman"/>
          <w:lang w:val="en-CA"/>
        </w:rPr>
        <w:t>cpt</w:t>
      </w:r>
      <w:proofErr w:type="spellEnd"/>
      <w:r w:rsidRPr="00A55FAE">
        <w:rPr>
          <w:rFonts w:ascii="Times New Roman" w:eastAsia="Calibri" w:hAnsi="Times New Roman" w:cs="Times New Roman"/>
          <w:lang w:val="en-CA"/>
        </w:rPr>
        <w:t xml:space="preserve"> variance sqrt(|</w:t>
      </w:r>
      <w:r w:rsidRPr="00A55FAE">
        <w:rPr>
          <w:rFonts w:ascii="Times New Roman" w:eastAsia="Calibri" w:hAnsi="Times New Roman" w:cs="Times New Roman"/>
          <w:i/>
          <w:iCs/>
          <w:lang w:val="en-CA"/>
        </w:rPr>
        <w:t>d</w:t>
      </w:r>
      <w:r w:rsidRPr="00A55FAE">
        <w:rPr>
          <w:rFonts w:ascii="Times New Roman" w:eastAsia="Calibri" w:hAnsi="Times New Roman" w:cs="Times New Roman"/>
          <w:lang w:val="en-CA"/>
        </w:rPr>
        <w:t>|).</w:t>
      </w:r>
    </w:p>
    <w:p w14:paraId="1A5F49D2" w14:textId="77777777" w:rsidR="002370BC" w:rsidRDefault="002370BC" w:rsidP="003F13D4">
      <w:pPr>
        <w:spacing w:line="480" w:lineRule="auto"/>
        <w:rPr>
          <w:rFonts w:ascii="Times New Roman" w:eastAsia="Calibri" w:hAnsi="Times New Roman" w:cs="Times New Roman"/>
          <w:lang w:val="en-CA"/>
        </w:rPr>
      </w:pPr>
      <w:r w:rsidRPr="00A55FAE">
        <w:rPr>
          <w:rFonts w:ascii="Times New Roman" w:eastAsia="Calibri" w:hAnsi="Times New Roman" w:cs="Times New Roman"/>
          <w:lang w:val="en-CA"/>
        </w:rPr>
        <w:t>Following automated change point extraction and post-filtering, change points were plotted with the Motus telemetry data to visually inspect changepoints marked for removal during post-filtering. Any remaining questionable change points were also manually removed, and instances of change points not determined using the automated process were added where they could readily be identified in the telemetry data.</w:t>
      </w:r>
    </w:p>
    <w:p w14:paraId="3E60B3B3" w14:textId="77777777" w:rsidR="00B94254" w:rsidRDefault="00B94254" w:rsidP="003F13D4">
      <w:pPr>
        <w:spacing w:line="480" w:lineRule="auto"/>
        <w:ind w:firstLine="720"/>
        <w:rPr>
          <w:rFonts w:ascii="Times New Roman" w:eastAsia="Calibri" w:hAnsi="Times New Roman" w:cs="Times New Roman"/>
          <w:lang w:val="en-CA"/>
        </w:rPr>
      </w:pPr>
    </w:p>
    <w:p w14:paraId="4A0BE011" w14:textId="77777777" w:rsidR="00C937F8" w:rsidRDefault="00C937F8" w:rsidP="003F13D4">
      <w:pPr>
        <w:spacing w:line="480" w:lineRule="auto"/>
        <w:rPr>
          <w:rFonts w:ascii="Times New Roman" w:hAnsi="Times New Roman" w:cs="Times New Roman"/>
          <w:b/>
          <w:bCs/>
        </w:rPr>
      </w:pPr>
    </w:p>
    <w:p w14:paraId="418A8CF8" w14:textId="77777777" w:rsidR="00C937F8" w:rsidRDefault="00C937F8" w:rsidP="003F13D4">
      <w:pPr>
        <w:spacing w:line="480" w:lineRule="auto"/>
        <w:rPr>
          <w:rFonts w:ascii="Times New Roman" w:hAnsi="Times New Roman" w:cs="Times New Roman"/>
          <w:b/>
          <w:bCs/>
        </w:rPr>
      </w:pPr>
    </w:p>
    <w:p w14:paraId="1B50ACBE" w14:textId="77777777" w:rsidR="00C937F8" w:rsidRDefault="00C937F8" w:rsidP="003F13D4">
      <w:pPr>
        <w:spacing w:line="480" w:lineRule="auto"/>
        <w:rPr>
          <w:rFonts w:ascii="Times New Roman" w:hAnsi="Times New Roman" w:cs="Times New Roman"/>
          <w:b/>
          <w:bCs/>
        </w:rPr>
      </w:pPr>
    </w:p>
    <w:p w14:paraId="6AFB87A7" w14:textId="77777777" w:rsidR="00C937F8" w:rsidRDefault="00C937F8" w:rsidP="003F13D4">
      <w:pPr>
        <w:spacing w:line="480" w:lineRule="auto"/>
        <w:rPr>
          <w:rFonts w:ascii="Times New Roman" w:hAnsi="Times New Roman" w:cs="Times New Roman"/>
          <w:b/>
          <w:bCs/>
        </w:rPr>
      </w:pPr>
    </w:p>
    <w:p w14:paraId="0580D287" w14:textId="77777777" w:rsidR="00C937F8" w:rsidRDefault="00C937F8" w:rsidP="003F13D4">
      <w:pPr>
        <w:spacing w:line="480" w:lineRule="auto"/>
        <w:rPr>
          <w:rFonts w:ascii="Times New Roman" w:hAnsi="Times New Roman" w:cs="Times New Roman"/>
          <w:b/>
          <w:bCs/>
        </w:rPr>
      </w:pPr>
    </w:p>
    <w:p w14:paraId="77041C2E" w14:textId="77777777" w:rsidR="00C937F8" w:rsidRDefault="00C937F8" w:rsidP="003F13D4">
      <w:pPr>
        <w:spacing w:line="480" w:lineRule="auto"/>
        <w:rPr>
          <w:rFonts w:ascii="Times New Roman" w:hAnsi="Times New Roman" w:cs="Times New Roman"/>
          <w:b/>
          <w:bCs/>
        </w:rPr>
      </w:pPr>
    </w:p>
    <w:p w14:paraId="4522597B" w14:textId="77777777" w:rsidR="003F13D4" w:rsidRDefault="003F13D4" w:rsidP="00B94254">
      <w:pPr>
        <w:rPr>
          <w:rFonts w:ascii="Times New Roman" w:hAnsi="Times New Roman" w:cs="Times New Roman"/>
          <w:b/>
          <w:bCs/>
        </w:rPr>
      </w:pPr>
    </w:p>
    <w:p w14:paraId="0A9A6F34" w14:textId="77777777" w:rsidR="005F4698" w:rsidRDefault="005F4698" w:rsidP="00B94254">
      <w:pPr>
        <w:rPr>
          <w:rFonts w:ascii="Times New Roman" w:hAnsi="Times New Roman" w:cs="Times New Roman"/>
          <w:b/>
          <w:bCs/>
        </w:rPr>
      </w:pPr>
    </w:p>
    <w:p w14:paraId="25FBC33C" w14:textId="77777777" w:rsidR="005F4698" w:rsidRDefault="005F4698" w:rsidP="00B94254">
      <w:pPr>
        <w:rPr>
          <w:rFonts w:ascii="Times New Roman" w:hAnsi="Times New Roman" w:cs="Times New Roman"/>
          <w:b/>
          <w:bCs/>
        </w:rPr>
      </w:pPr>
    </w:p>
    <w:p w14:paraId="5B0F5E03" w14:textId="77777777" w:rsidR="005F4698" w:rsidRDefault="005F4698" w:rsidP="00B94254">
      <w:pPr>
        <w:rPr>
          <w:rFonts w:ascii="Times New Roman" w:hAnsi="Times New Roman" w:cs="Times New Roman"/>
          <w:b/>
          <w:bCs/>
        </w:rPr>
      </w:pPr>
    </w:p>
    <w:p w14:paraId="629E5C4D" w14:textId="77777777" w:rsidR="005F4698" w:rsidRDefault="005F4698" w:rsidP="00B94254">
      <w:pPr>
        <w:rPr>
          <w:rFonts w:ascii="Times New Roman" w:hAnsi="Times New Roman" w:cs="Times New Roman"/>
          <w:b/>
          <w:bCs/>
        </w:rPr>
      </w:pPr>
    </w:p>
    <w:p w14:paraId="0BCB894F" w14:textId="77777777" w:rsidR="005F4698" w:rsidRDefault="005F4698" w:rsidP="00B94254">
      <w:pPr>
        <w:rPr>
          <w:rFonts w:ascii="Times New Roman" w:hAnsi="Times New Roman" w:cs="Times New Roman"/>
          <w:b/>
          <w:bCs/>
        </w:rPr>
      </w:pPr>
    </w:p>
    <w:p w14:paraId="598DAFA3" w14:textId="68832FBE" w:rsidR="00B94254" w:rsidRDefault="00B94254" w:rsidP="00B94254">
      <w:pPr>
        <w:rPr>
          <w:rFonts w:ascii="Times New Roman" w:hAnsi="Times New Roman" w:cs="Times New Roman"/>
          <w:b/>
          <w:bCs/>
        </w:rPr>
      </w:pPr>
      <w:r w:rsidRPr="009659A8">
        <w:rPr>
          <w:rFonts w:ascii="Times New Roman" w:hAnsi="Times New Roman" w:cs="Times New Roman"/>
          <w:b/>
          <w:bCs/>
        </w:rPr>
        <w:lastRenderedPageBreak/>
        <w:t>Tables and Figures</w:t>
      </w:r>
    </w:p>
    <w:p w14:paraId="184D2B55" w14:textId="77777777" w:rsidR="00447605" w:rsidRDefault="00447605" w:rsidP="00B94254">
      <w:pPr>
        <w:rPr>
          <w:rFonts w:ascii="Times New Roman" w:hAnsi="Times New Roman" w:cs="Times New Roman"/>
          <w:b/>
          <w:bCs/>
        </w:rPr>
      </w:pPr>
    </w:p>
    <w:p w14:paraId="5D92B91D" w14:textId="3268E649" w:rsidR="00447605" w:rsidRPr="00447605" w:rsidRDefault="00447605" w:rsidP="00447605">
      <w:pPr>
        <w:spacing w:line="480" w:lineRule="auto"/>
        <w:rPr>
          <w:rFonts w:ascii="Times New Roman" w:hAnsi="Times New Roman" w:cs="Times New Roman"/>
        </w:rPr>
      </w:pPr>
      <w:r>
        <w:rPr>
          <w:rFonts w:ascii="Times New Roman" w:hAnsi="Times New Roman" w:cs="Times New Roman"/>
          <w:b/>
          <w:bCs/>
        </w:rPr>
        <w:t xml:space="preserve">Table S1 – </w:t>
      </w:r>
      <w:r>
        <w:rPr>
          <w:rFonts w:ascii="Times New Roman" w:hAnsi="Times New Roman" w:cs="Times New Roman"/>
        </w:rPr>
        <w:t xml:space="preserve">Ecological traits of study focal species. </w:t>
      </w:r>
    </w:p>
    <w:p w14:paraId="53B856AD" w14:textId="77777777" w:rsidR="005F4698" w:rsidRDefault="005F4698" w:rsidP="00B94254">
      <w:pPr>
        <w:rPr>
          <w:rFonts w:ascii="Times New Roman" w:hAnsi="Times New Roman" w:cs="Times New Roman"/>
          <w:b/>
          <w:bCs/>
        </w:rPr>
      </w:pPr>
    </w:p>
    <w:tbl>
      <w:tblPr>
        <w:tblStyle w:val="TableGrid1"/>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1440"/>
        <w:gridCol w:w="1440"/>
        <w:gridCol w:w="1165"/>
        <w:gridCol w:w="1486"/>
        <w:gridCol w:w="2745"/>
      </w:tblGrid>
      <w:tr w:rsidR="005F4698" w:rsidRPr="005F4698" w14:paraId="232B323E" w14:textId="77777777" w:rsidTr="005F4698">
        <w:tc>
          <w:tcPr>
            <w:tcW w:w="1440" w:type="dxa"/>
            <w:tcBorders>
              <w:top w:val="single" w:sz="4" w:space="0" w:color="auto"/>
              <w:bottom w:val="single" w:sz="4" w:space="0" w:color="auto"/>
            </w:tcBorders>
          </w:tcPr>
          <w:p w14:paraId="2D68A595" w14:textId="77777777" w:rsidR="005F4698" w:rsidRPr="005F4698" w:rsidRDefault="005F4698" w:rsidP="005F4698">
            <w:pPr>
              <w:spacing w:after="200" w:line="276" w:lineRule="auto"/>
              <w:jc w:val="center"/>
              <w:rPr>
                <w:rFonts w:ascii="Cambria" w:hAnsi="Cambria" w:cs="Times New Roman"/>
                <w:b/>
                <w:bCs/>
              </w:rPr>
            </w:pPr>
            <w:r w:rsidRPr="005F4698">
              <w:rPr>
                <w:rFonts w:ascii="Cambria" w:hAnsi="Cambria" w:cs="Times New Roman"/>
                <w:b/>
                <w:bCs/>
              </w:rPr>
              <w:t>Species</w:t>
            </w:r>
          </w:p>
        </w:tc>
        <w:tc>
          <w:tcPr>
            <w:tcW w:w="1440" w:type="dxa"/>
            <w:tcBorders>
              <w:top w:val="single" w:sz="4" w:space="0" w:color="auto"/>
              <w:bottom w:val="single" w:sz="4" w:space="0" w:color="auto"/>
            </w:tcBorders>
          </w:tcPr>
          <w:p w14:paraId="22A519A6" w14:textId="77777777" w:rsidR="005F4698" w:rsidRPr="005F4698" w:rsidRDefault="005F4698" w:rsidP="005F4698">
            <w:pPr>
              <w:spacing w:after="200" w:line="276" w:lineRule="auto"/>
              <w:jc w:val="center"/>
              <w:rPr>
                <w:rFonts w:ascii="Cambria" w:hAnsi="Cambria" w:cs="Times New Roman"/>
                <w:b/>
                <w:bCs/>
              </w:rPr>
            </w:pPr>
            <w:r w:rsidRPr="005F4698">
              <w:rPr>
                <w:rFonts w:ascii="Cambria" w:hAnsi="Cambria" w:cs="Times New Roman"/>
                <w:b/>
                <w:bCs/>
              </w:rPr>
              <w:t>Scientific Name</w:t>
            </w:r>
          </w:p>
        </w:tc>
        <w:tc>
          <w:tcPr>
            <w:tcW w:w="1440" w:type="dxa"/>
            <w:tcBorders>
              <w:top w:val="single" w:sz="4" w:space="0" w:color="auto"/>
              <w:bottom w:val="single" w:sz="4" w:space="0" w:color="auto"/>
            </w:tcBorders>
          </w:tcPr>
          <w:p w14:paraId="32D5CAF3" w14:textId="77777777" w:rsidR="005F4698" w:rsidRPr="005F4698" w:rsidRDefault="005F4698" w:rsidP="005F4698">
            <w:pPr>
              <w:spacing w:after="200" w:line="276" w:lineRule="auto"/>
              <w:jc w:val="center"/>
              <w:rPr>
                <w:rFonts w:ascii="Cambria" w:hAnsi="Cambria" w:cs="Times New Roman"/>
                <w:b/>
                <w:bCs/>
              </w:rPr>
            </w:pPr>
            <w:r w:rsidRPr="005F4698">
              <w:rPr>
                <w:rFonts w:ascii="Cambria" w:hAnsi="Cambria" w:cs="Times New Roman"/>
                <w:b/>
                <w:bCs/>
              </w:rPr>
              <w:t>Migration Strategy</w:t>
            </w:r>
          </w:p>
        </w:tc>
        <w:tc>
          <w:tcPr>
            <w:tcW w:w="1165" w:type="dxa"/>
            <w:tcBorders>
              <w:top w:val="single" w:sz="4" w:space="0" w:color="auto"/>
              <w:bottom w:val="single" w:sz="4" w:space="0" w:color="auto"/>
            </w:tcBorders>
          </w:tcPr>
          <w:p w14:paraId="4ED7975B" w14:textId="77777777" w:rsidR="005F4698" w:rsidRPr="005F4698" w:rsidRDefault="005F4698" w:rsidP="005F4698">
            <w:pPr>
              <w:spacing w:after="200" w:line="276" w:lineRule="auto"/>
              <w:jc w:val="center"/>
              <w:rPr>
                <w:rFonts w:ascii="Cambria" w:hAnsi="Cambria" w:cs="Times New Roman"/>
                <w:b/>
                <w:bCs/>
              </w:rPr>
            </w:pPr>
            <w:r w:rsidRPr="005F4698">
              <w:rPr>
                <w:rFonts w:ascii="Cambria" w:hAnsi="Cambria" w:cs="Times New Roman"/>
                <w:b/>
                <w:bCs/>
              </w:rPr>
              <w:t>Average Weight</w:t>
            </w:r>
          </w:p>
        </w:tc>
        <w:tc>
          <w:tcPr>
            <w:tcW w:w="1483" w:type="dxa"/>
            <w:tcBorders>
              <w:top w:val="single" w:sz="4" w:space="0" w:color="auto"/>
              <w:bottom w:val="single" w:sz="4" w:space="0" w:color="auto"/>
            </w:tcBorders>
          </w:tcPr>
          <w:p w14:paraId="3FD6580C" w14:textId="77777777" w:rsidR="005F4698" w:rsidRPr="005F4698" w:rsidRDefault="005F4698" w:rsidP="005F4698">
            <w:pPr>
              <w:spacing w:after="200" w:line="276" w:lineRule="auto"/>
              <w:jc w:val="center"/>
              <w:rPr>
                <w:rFonts w:ascii="Cambria" w:hAnsi="Cambria" w:cs="Times New Roman"/>
                <w:b/>
                <w:bCs/>
              </w:rPr>
            </w:pPr>
            <w:r w:rsidRPr="005F4698">
              <w:rPr>
                <w:rFonts w:ascii="Cambria" w:hAnsi="Cambria" w:cs="Times New Roman"/>
                <w:b/>
                <w:bCs/>
              </w:rPr>
              <w:t>Diet</w:t>
            </w:r>
          </w:p>
        </w:tc>
        <w:tc>
          <w:tcPr>
            <w:tcW w:w="2747" w:type="dxa"/>
            <w:tcBorders>
              <w:top w:val="single" w:sz="4" w:space="0" w:color="auto"/>
              <w:bottom w:val="single" w:sz="4" w:space="0" w:color="auto"/>
            </w:tcBorders>
          </w:tcPr>
          <w:p w14:paraId="1CFCA3F8" w14:textId="417B2920" w:rsidR="005F4698" w:rsidRPr="005F4698" w:rsidRDefault="005F4698" w:rsidP="005F4698">
            <w:pPr>
              <w:spacing w:after="200" w:line="276" w:lineRule="auto"/>
              <w:jc w:val="center"/>
              <w:rPr>
                <w:rFonts w:ascii="Cambria" w:hAnsi="Cambria" w:cs="Times New Roman"/>
                <w:b/>
                <w:bCs/>
              </w:rPr>
            </w:pPr>
            <w:r w:rsidRPr="005F4698">
              <w:rPr>
                <w:rFonts w:ascii="Cambria" w:hAnsi="Cambria" w:cs="Times New Roman"/>
                <w:b/>
                <w:bCs/>
              </w:rPr>
              <w:t xml:space="preserve">Foraging </w:t>
            </w:r>
            <w:proofErr w:type="spellStart"/>
            <w:r w:rsidRPr="005F4698">
              <w:rPr>
                <w:rFonts w:ascii="Cambria" w:hAnsi="Cambria" w:cs="Times New Roman"/>
                <w:b/>
                <w:bCs/>
              </w:rPr>
              <w:t>Behaviour</w:t>
            </w:r>
            <w:proofErr w:type="spellEnd"/>
          </w:p>
        </w:tc>
      </w:tr>
      <w:tr w:rsidR="005F4698" w:rsidRPr="005F4698" w14:paraId="4F1728AC" w14:textId="77777777" w:rsidTr="005F4698">
        <w:tc>
          <w:tcPr>
            <w:tcW w:w="1440" w:type="dxa"/>
            <w:tcBorders>
              <w:top w:val="single" w:sz="4" w:space="0" w:color="auto"/>
            </w:tcBorders>
            <w:vAlign w:val="center"/>
          </w:tcPr>
          <w:p w14:paraId="4B33437F"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Blue-headed Vireo</w:t>
            </w:r>
          </w:p>
        </w:tc>
        <w:tc>
          <w:tcPr>
            <w:tcW w:w="1440" w:type="dxa"/>
            <w:tcBorders>
              <w:top w:val="single" w:sz="4" w:space="0" w:color="auto"/>
            </w:tcBorders>
            <w:vAlign w:val="center"/>
          </w:tcPr>
          <w:p w14:paraId="08B14A37" w14:textId="77777777" w:rsidR="005F4698" w:rsidRPr="005F4698" w:rsidRDefault="005F4698" w:rsidP="005F4698">
            <w:pPr>
              <w:spacing w:after="200" w:line="276" w:lineRule="auto"/>
              <w:rPr>
                <w:rFonts w:ascii="Cambria" w:hAnsi="Cambria" w:cs="Times New Roman"/>
                <w:i/>
                <w:iCs/>
              </w:rPr>
            </w:pPr>
            <w:r w:rsidRPr="005F4698">
              <w:rPr>
                <w:rFonts w:ascii="Cambria" w:hAnsi="Cambria" w:cs="Times New Roman"/>
                <w:i/>
                <w:iCs/>
              </w:rPr>
              <w:t>Vireo solitarius</w:t>
            </w:r>
          </w:p>
        </w:tc>
        <w:tc>
          <w:tcPr>
            <w:tcW w:w="1440" w:type="dxa"/>
            <w:tcBorders>
              <w:top w:val="single" w:sz="4" w:space="0" w:color="auto"/>
            </w:tcBorders>
            <w:vAlign w:val="center"/>
          </w:tcPr>
          <w:p w14:paraId="1478C2C0"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Medium-distance migrant</w:t>
            </w:r>
          </w:p>
        </w:tc>
        <w:tc>
          <w:tcPr>
            <w:tcW w:w="1165" w:type="dxa"/>
            <w:tcBorders>
              <w:top w:val="single" w:sz="4" w:space="0" w:color="auto"/>
            </w:tcBorders>
            <w:vAlign w:val="center"/>
          </w:tcPr>
          <w:p w14:paraId="77D3FE03" w14:textId="129224CF" w:rsidR="005F4698" w:rsidRPr="005F4698" w:rsidRDefault="005F4698" w:rsidP="005F4698">
            <w:pPr>
              <w:spacing w:after="200" w:line="276" w:lineRule="auto"/>
              <w:rPr>
                <w:rFonts w:ascii="Cambria" w:hAnsi="Cambria" w:cs="Times New Roman"/>
              </w:rPr>
            </w:pPr>
            <w:r w:rsidRPr="005F4698">
              <w:rPr>
                <w:rFonts w:ascii="Cambria" w:hAnsi="Cambria" w:cs="Times New Roman"/>
              </w:rPr>
              <w:t>13–1</w:t>
            </w:r>
            <w:r w:rsidR="00447605">
              <w:rPr>
                <w:rFonts w:ascii="Cambria" w:hAnsi="Cambria" w:cs="Times New Roman"/>
              </w:rPr>
              <w:t>7</w:t>
            </w:r>
            <w:r w:rsidRPr="005F4698">
              <w:rPr>
                <w:rFonts w:ascii="Cambria" w:hAnsi="Cambria" w:cs="Times New Roman"/>
              </w:rPr>
              <w:t xml:space="preserve"> g</w:t>
            </w:r>
          </w:p>
        </w:tc>
        <w:tc>
          <w:tcPr>
            <w:tcW w:w="1483" w:type="dxa"/>
            <w:tcBorders>
              <w:top w:val="single" w:sz="4" w:space="0" w:color="auto"/>
            </w:tcBorders>
            <w:vAlign w:val="center"/>
          </w:tcPr>
          <w:p w14:paraId="1AC4B71F"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Insects, caterpillars, berries</w:t>
            </w:r>
          </w:p>
        </w:tc>
        <w:tc>
          <w:tcPr>
            <w:tcW w:w="2747" w:type="dxa"/>
            <w:tcBorders>
              <w:top w:val="single" w:sz="4" w:space="0" w:color="auto"/>
            </w:tcBorders>
          </w:tcPr>
          <w:p w14:paraId="07B1E7D2" w14:textId="4F039A70" w:rsidR="005F4698" w:rsidRPr="005F4698" w:rsidRDefault="005F4698" w:rsidP="005F4698">
            <w:pPr>
              <w:spacing w:after="200" w:line="276" w:lineRule="auto"/>
              <w:rPr>
                <w:rFonts w:ascii="Cambria" w:hAnsi="Cambria" w:cs="Times New Roman"/>
              </w:rPr>
            </w:pPr>
            <w:r w:rsidRPr="005F4698">
              <w:rPr>
                <w:rFonts w:ascii="Cambria" w:hAnsi="Cambria" w:cs="Times New Roman"/>
              </w:rPr>
              <w:t>Slow and deliberate foliage gleaner</w:t>
            </w:r>
            <w:r>
              <w:rPr>
                <w:rFonts w:ascii="Cambria" w:hAnsi="Cambria" w:cs="Times New Roman"/>
              </w:rPr>
              <w:t xml:space="preserve"> and frequent aerial sallying </w:t>
            </w:r>
            <w:r>
              <w:rPr>
                <w:rFonts w:ascii="Cambria" w:hAnsi="Cambria" w:cs="Times New Roman"/>
              </w:rPr>
              <w:fldChar w:fldCharType="begin"/>
            </w:r>
            <w:r w:rsidR="00C11D79">
              <w:rPr>
                <w:rFonts w:ascii="Cambria" w:hAnsi="Cambria" w:cs="Times New Roman"/>
              </w:rPr>
              <w:instrText xml:space="preserve"> ADDIN ZOTERO_ITEM CSL_CITATION {"citationID":"PO68NPTy","properties":{"unsorted":false,"formattedCitation":"[10]","plainCitation":"[10]","noteIndex":0},"citationItems":[{"id":45000,"uris":["http://zotero.org/users/7850714/items/73CGS4WR"],"itemData":{"id":45000,"type":"article-journal","abstract":"Species accounts for all the birds of the world.","container-title":"Birds of the World","DOI":"10.2173/bow.buhvir.01","ISSN":"2771-3105","language":"en","publisher":"Cornell Lab of Ornithology, Ithaca, NY, USA","source":"birdsoftheworld.org","title":"Blue-headed Vireo (Vireo solitarius), version 1.0","URL":"https://birdsoftheworld.org/bow/species/buhvir/cur/introduction","author":[{"family":"Morton","given":"Eugene S."},{"family":"James","given":"Ross D."}],"accessed":{"date-parts":[["2026",3,11]]},"issued":{"date-parts":[["2020"]]}}}],"schema":"https://github.com/citation-style-language/schema/raw/master/csl-citation.json"} </w:instrText>
            </w:r>
            <w:r>
              <w:rPr>
                <w:rFonts w:ascii="Cambria" w:hAnsi="Cambria" w:cs="Times New Roman"/>
              </w:rPr>
              <w:fldChar w:fldCharType="separate"/>
            </w:r>
            <w:r w:rsidR="00C11D79" w:rsidRPr="00C11D79">
              <w:rPr>
                <w:rFonts w:ascii="Cambria" w:hAnsi="Cambria"/>
              </w:rPr>
              <w:t>[10]</w:t>
            </w:r>
            <w:r>
              <w:rPr>
                <w:rFonts w:ascii="Cambria" w:hAnsi="Cambria" w:cs="Times New Roman"/>
              </w:rPr>
              <w:fldChar w:fldCharType="end"/>
            </w:r>
          </w:p>
        </w:tc>
      </w:tr>
      <w:tr w:rsidR="005F4698" w:rsidRPr="005F4698" w14:paraId="2D0ACBE3" w14:textId="77777777" w:rsidTr="005F4698">
        <w:tc>
          <w:tcPr>
            <w:tcW w:w="1440" w:type="dxa"/>
            <w:vAlign w:val="center"/>
          </w:tcPr>
          <w:p w14:paraId="46802FF7"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Yellow-rumped Warbler</w:t>
            </w:r>
          </w:p>
        </w:tc>
        <w:tc>
          <w:tcPr>
            <w:tcW w:w="1440" w:type="dxa"/>
            <w:vAlign w:val="center"/>
          </w:tcPr>
          <w:p w14:paraId="3EBCFCA2" w14:textId="77777777" w:rsidR="005F4698" w:rsidRPr="005F4698" w:rsidRDefault="005F4698" w:rsidP="005F4698">
            <w:pPr>
              <w:spacing w:after="200" w:line="276" w:lineRule="auto"/>
              <w:rPr>
                <w:rFonts w:ascii="Cambria" w:hAnsi="Cambria" w:cs="Times New Roman"/>
                <w:i/>
                <w:iCs/>
              </w:rPr>
            </w:pPr>
            <w:r w:rsidRPr="005F4698">
              <w:rPr>
                <w:rFonts w:ascii="Cambria" w:hAnsi="Cambria" w:cs="Times New Roman"/>
                <w:i/>
                <w:iCs/>
              </w:rPr>
              <w:t>Setophaga coronata</w:t>
            </w:r>
          </w:p>
        </w:tc>
        <w:tc>
          <w:tcPr>
            <w:tcW w:w="1440" w:type="dxa"/>
            <w:vAlign w:val="center"/>
          </w:tcPr>
          <w:p w14:paraId="7334ADE3"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Short- to medium-distance migrant</w:t>
            </w:r>
          </w:p>
        </w:tc>
        <w:tc>
          <w:tcPr>
            <w:tcW w:w="1165" w:type="dxa"/>
            <w:vAlign w:val="center"/>
          </w:tcPr>
          <w:p w14:paraId="46FFD1E7" w14:textId="5E8EAA99" w:rsidR="005F4698" w:rsidRPr="005F4698" w:rsidRDefault="005F4698" w:rsidP="005F4698">
            <w:pPr>
              <w:spacing w:after="200" w:line="276" w:lineRule="auto"/>
              <w:rPr>
                <w:rFonts w:ascii="Cambria" w:hAnsi="Cambria" w:cs="Times New Roman"/>
              </w:rPr>
            </w:pPr>
            <w:r w:rsidRPr="005F4698">
              <w:rPr>
                <w:rFonts w:ascii="Cambria" w:hAnsi="Cambria" w:cs="Times New Roman"/>
              </w:rPr>
              <w:t>1</w:t>
            </w:r>
            <w:r w:rsidR="00447605">
              <w:rPr>
                <w:rFonts w:ascii="Cambria" w:hAnsi="Cambria" w:cs="Times New Roman"/>
              </w:rPr>
              <w:t>0</w:t>
            </w:r>
            <w:r w:rsidRPr="005F4698">
              <w:rPr>
                <w:rFonts w:ascii="Cambria" w:hAnsi="Cambria" w:cs="Times New Roman"/>
              </w:rPr>
              <w:t>–1</w:t>
            </w:r>
            <w:r w:rsidR="00447605">
              <w:rPr>
                <w:rFonts w:ascii="Cambria" w:hAnsi="Cambria" w:cs="Times New Roman"/>
              </w:rPr>
              <w:t>6</w:t>
            </w:r>
            <w:r w:rsidRPr="005F4698">
              <w:rPr>
                <w:rFonts w:ascii="Cambria" w:hAnsi="Cambria" w:cs="Times New Roman"/>
              </w:rPr>
              <w:t xml:space="preserve"> g</w:t>
            </w:r>
          </w:p>
        </w:tc>
        <w:tc>
          <w:tcPr>
            <w:tcW w:w="1483" w:type="dxa"/>
            <w:vAlign w:val="center"/>
          </w:tcPr>
          <w:p w14:paraId="5F246F3F"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Insects, berries, wax-myrtle fruits</w:t>
            </w:r>
          </w:p>
        </w:tc>
        <w:tc>
          <w:tcPr>
            <w:tcW w:w="2747" w:type="dxa"/>
          </w:tcPr>
          <w:p w14:paraId="13CCA60C" w14:textId="4E3BAF7C" w:rsidR="005F4698" w:rsidRPr="005F4698" w:rsidRDefault="005F4698" w:rsidP="005F4698">
            <w:pPr>
              <w:spacing w:after="200" w:line="276" w:lineRule="auto"/>
              <w:rPr>
                <w:rFonts w:ascii="Cambria" w:hAnsi="Cambria" w:cs="Times New Roman"/>
              </w:rPr>
            </w:pPr>
            <w:r>
              <w:rPr>
                <w:rFonts w:ascii="Cambria" w:hAnsi="Cambria" w:cs="Times New Roman"/>
              </w:rPr>
              <w:t>Active</w:t>
            </w:r>
            <w:r w:rsidRPr="005F4698">
              <w:rPr>
                <w:rFonts w:ascii="Cambria" w:hAnsi="Cambria" w:cs="Times New Roman"/>
              </w:rPr>
              <w:t xml:space="preserve"> </w:t>
            </w:r>
            <w:r>
              <w:rPr>
                <w:rFonts w:ascii="Cambria" w:hAnsi="Cambria" w:cs="Times New Roman"/>
              </w:rPr>
              <w:t xml:space="preserve">generalist </w:t>
            </w:r>
            <w:r w:rsidRPr="005F4698">
              <w:rPr>
                <w:rFonts w:ascii="Cambria" w:hAnsi="Cambria" w:cs="Times New Roman"/>
              </w:rPr>
              <w:t>forager</w:t>
            </w:r>
            <w:r>
              <w:rPr>
                <w:rFonts w:ascii="Cambria" w:hAnsi="Cambria" w:cs="Times New Roman"/>
              </w:rPr>
              <w:t xml:space="preserve"> with some hawking; may switch to mainly fruit during migration </w:t>
            </w:r>
            <w:r>
              <w:rPr>
                <w:rFonts w:ascii="Cambria" w:hAnsi="Cambria" w:cs="Times New Roman"/>
              </w:rPr>
              <w:fldChar w:fldCharType="begin"/>
            </w:r>
            <w:r w:rsidR="00C11D79">
              <w:rPr>
                <w:rFonts w:ascii="Cambria" w:hAnsi="Cambria" w:cs="Times New Roman"/>
              </w:rPr>
              <w:instrText xml:space="preserve"> ADDIN ZOTERO_ITEM CSL_CITATION {"citationID":"N0idImpc","properties":{"unsorted":false,"formattedCitation":"[11]","plainCitation":"[11]","noteIndex":0},"citationItems":[{"id":40530,"uris":["http://zotero.org/users/7850714/items/GZ2ILN4Q"],"itemData":{"id":40530,"type":"article-journal","abstract":"Species accounts for all the birds of the world.","container-title":"Birds of the World","DOI":"10.2173/bow.yerwar.01","ISSN":"2771-3105","language":"en","publisher":"Cornell Lab of Ornithology, Ithaca, NY, USA","source":"birdsoftheworld.org","title":"Yellow-rumped Warbler (Setophaga coronata), version 1.0","URL":"https://birdsoftheworld.org/bow/species/yerwar/cur/introduction","author":[{"family":"Hunt","given":"Pamela D."},{"family":"Flaspohler","given":"David J."}],"accessed":{"date-parts":[["2025",4,4]]},"issued":{"date-parts":[["2020"]]}}}],"schema":"https://github.com/citation-style-language/schema/raw/master/csl-citation.json"} </w:instrText>
            </w:r>
            <w:r>
              <w:rPr>
                <w:rFonts w:ascii="Cambria" w:hAnsi="Cambria" w:cs="Times New Roman"/>
              </w:rPr>
              <w:fldChar w:fldCharType="separate"/>
            </w:r>
            <w:r w:rsidR="00C11D79" w:rsidRPr="00C11D79">
              <w:rPr>
                <w:rFonts w:ascii="Cambria" w:hAnsi="Cambria"/>
              </w:rPr>
              <w:t>[11]</w:t>
            </w:r>
            <w:r>
              <w:rPr>
                <w:rFonts w:ascii="Cambria" w:hAnsi="Cambria" w:cs="Times New Roman"/>
              </w:rPr>
              <w:fldChar w:fldCharType="end"/>
            </w:r>
          </w:p>
        </w:tc>
      </w:tr>
      <w:tr w:rsidR="005F4698" w:rsidRPr="005F4698" w14:paraId="76330241" w14:textId="77777777" w:rsidTr="005F4698">
        <w:tc>
          <w:tcPr>
            <w:tcW w:w="1440" w:type="dxa"/>
            <w:vAlign w:val="center"/>
          </w:tcPr>
          <w:p w14:paraId="123C9FC8"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Magnolia Warbler</w:t>
            </w:r>
          </w:p>
        </w:tc>
        <w:tc>
          <w:tcPr>
            <w:tcW w:w="1440" w:type="dxa"/>
            <w:vAlign w:val="center"/>
          </w:tcPr>
          <w:p w14:paraId="3ACA66BE" w14:textId="77777777" w:rsidR="005F4698" w:rsidRPr="005F4698" w:rsidRDefault="005F4698" w:rsidP="005F4698">
            <w:pPr>
              <w:spacing w:after="200" w:line="276" w:lineRule="auto"/>
              <w:rPr>
                <w:rFonts w:ascii="Cambria" w:hAnsi="Cambria" w:cs="Times New Roman"/>
                <w:i/>
                <w:iCs/>
              </w:rPr>
            </w:pPr>
            <w:r w:rsidRPr="005F4698">
              <w:rPr>
                <w:rFonts w:ascii="Cambria" w:hAnsi="Cambria" w:cs="Times New Roman"/>
                <w:i/>
                <w:iCs/>
              </w:rPr>
              <w:t>Setophaga magnolia</w:t>
            </w:r>
          </w:p>
        </w:tc>
        <w:tc>
          <w:tcPr>
            <w:tcW w:w="1440" w:type="dxa"/>
            <w:vAlign w:val="center"/>
          </w:tcPr>
          <w:p w14:paraId="01D44B83"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Long-distance migrant</w:t>
            </w:r>
          </w:p>
        </w:tc>
        <w:tc>
          <w:tcPr>
            <w:tcW w:w="1165" w:type="dxa"/>
            <w:vAlign w:val="center"/>
          </w:tcPr>
          <w:p w14:paraId="486194D1" w14:textId="0D1F0725" w:rsidR="005F4698" w:rsidRPr="005F4698" w:rsidRDefault="00447605" w:rsidP="005F4698">
            <w:pPr>
              <w:spacing w:after="200" w:line="276" w:lineRule="auto"/>
              <w:rPr>
                <w:rFonts w:ascii="Cambria" w:hAnsi="Cambria" w:cs="Times New Roman"/>
              </w:rPr>
            </w:pPr>
            <w:r>
              <w:rPr>
                <w:rFonts w:ascii="Cambria" w:hAnsi="Cambria" w:cs="Times New Roman"/>
              </w:rPr>
              <w:t>7</w:t>
            </w:r>
            <w:r w:rsidRPr="005F4698">
              <w:rPr>
                <w:rFonts w:ascii="Cambria" w:hAnsi="Cambria" w:cs="Times New Roman"/>
              </w:rPr>
              <w:t>–</w:t>
            </w:r>
            <w:r>
              <w:rPr>
                <w:rFonts w:ascii="Cambria" w:hAnsi="Cambria" w:cs="Times New Roman"/>
              </w:rPr>
              <w:t xml:space="preserve">9  </w:t>
            </w:r>
            <w:r w:rsidR="005F4698" w:rsidRPr="005F4698">
              <w:rPr>
                <w:rFonts w:ascii="Cambria" w:hAnsi="Cambria" w:cs="Times New Roman"/>
              </w:rPr>
              <w:t xml:space="preserve"> g</w:t>
            </w:r>
          </w:p>
        </w:tc>
        <w:tc>
          <w:tcPr>
            <w:tcW w:w="1483" w:type="dxa"/>
            <w:vAlign w:val="center"/>
          </w:tcPr>
          <w:p w14:paraId="6296E08E"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Insects, spiders, berries</w:t>
            </w:r>
          </w:p>
        </w:tc>
        <w:tc>
          <w:tcPr>
            <w:tcW w:w="2747" w:type="dxa"/>
          </w:tcPr>
          <w:p w14:paraId="51319521" w14:textId="56A95A0C" w:rsidR="005F4698" w:rsidRPr="005F4698" w:rsidRDefault="005F4698" w:rsidP="005F4698">
            <w:pPr>
              <w:spacing w:after="200" w:line="276" w:lineRule="auto"/>
              <w:rPr>
                <w:rFonts w:ascii="Cambria" w:hAnsi="Cambria" w:cs="Times New Roman"/>
              </w:rPr>
            </w:pPr>
            <w:r>
              <w:rPr>
                <w:rFonts w:ascii="Cambria" w:hAnsi="Cambria" w:cs="Times New Roman"/>
              </w:rPr>
              <w:t>Active</w:t>
            </w:r>
            <w:r w:rsidRPr="005F4698">
              <w:rPr>
                <w:rFonts w:ascii="Cambria" w:hAnsi="Cambria" w:cs="Times New Roman"/>
              </w:rPr>
              <w:t xml:space="preserve"> canopy forager</w:t>
            </w:r>
            <w:r>
              <w:rPr>
                <w:rFonts w:ascii="Cambria" w:hAnsi="Cambria" w:cs="Times New Roman"/>
              </w:rPr>
              <w:t xml:space="preserve"> primarily gleaning</w:t>
            </w:r>
            <w:r w:rsidR="00447605">
              <w:rPr>
                <w:rFonts w:ascii="Cambria" w:hAnsi="Cambria" w:cs="Times New Roman"/>
              </w:rPr>
              <w:t xml:space="preserve"> </w:t>
            </w:r>
            <w:r w:rsidR="00447605">
              <w:rPr>
                <w:rFonts w:ascii="Cambria" w:hAnsi="Cambria" w:cs="Times New Roman"/>
              </w:rPr>
              <w:fldChar w:fldCharType="begin"/>
            </w:r>
            <w:r w:rsidR="00C11D79">
              <w:rPr>
                <w:rFonts w:ascii="Cambria" w:hAnsi="Cambria" w:cs="Times New Roman"/>
              </w:rPr>
              <w:instrText xml:space="preserve"> ADDIN ZOTERO_ITEM CSL_CITATION {"citationID":"7dajGKJV","properties":{"unsorted":false,"formattedCitation":"[12]","plainCitation":"[12]","noteIndex":0},"citationItems":[{"id":45001,"uris":["http://zotero.org/users/7850714/items/DFGSUGEF"],"itemData":{"id":45001,"type":"article-journal","container-title":"Birds of the World","publisher":"Cornell Lab of Ornithology","publisher-place":"Ithaca, NY, USA","title":"Magnolia Warbler - Setophaga magnolia","URL":"https://birdsoftheworld.org/bow/species/magwar/cur/introduction","author":[{"family":"Dunn","given":"Erica H."},{"family":"Hall","given":"George A."}],"accessed":{"date-parts":[["2026",3,11]]},"issued":{"date-parts":[["2020"]]}}}],"schema":"https://github.com/citation-style-language/schema/raw/master/csl-citation.json"} </w:instrText>
            </w:r>
            <w:r w:rsidR="00447605">
              <w:rPr>
                <w:rFonts w:ascii="Cambria" w:hAnsi="Cambria" w:cs="Times New Roman"/>
              </w:rPr>
              <w:fldChar w:fldCharType="separate"/>
            </w:r>
            <w:r w:rsidR="00C11D79" w:rsidRPr="00C11D79">
              <w:rPr>
                <w:rFonts w:ascii="Cambria" w:hAnsi="Cambria"/>
              </w:rPr>
              <w:t>[12]</w:t>
            </w:r>
            <w:r w:rsidR="00447605">
              <w:rPr>
                <w:rFonts w:ascii="Cambria" w:hAnsi="Cambria" w:cs="Times New Roman"/>
              </w:rPr>
              <w:fldChar w:fldCharType="end"/>
            </w:r>
          </w:p>
        </w:tc>
      </w:tr>
      <w:tr w:rsidR="005F4698" w:rsidRPr="005F4698" w14:paraId="7CB636CD" w14:textId="77777777" w:rsidTr="005F4698">
        <w:tc>
          <w:tcPr>
            <w:tcW w:w="1440" w:type="dxa"/>
            <w:vAlign w:val="center"/>
          </w:tcPr>
          <w:p w14:paraId="1DEA6DB4"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Song Sparrow</w:t>
            </w:r>
          </w:p>
        </w:tc>
        <w:tc>
          <w:tcPr>
            <w:tcW w:w="1440" w:type="dxa"/>
            <w:vAlign w:val="center"/>
          </w:tcPr>
          <w:p w14:paraId="457F500E" w14:textId="77777777" w:rsidR="005F4698" w:rsidRPr="005F4698" w:rsidRDefault="005F4698" w:rsidP="005F4698">
            <w:pPr>
              <w:spacing w:after="200" w:line="276" w:lineRule="auto"/>
              <w:rPr>
                <w:rFonts w:ascii="Cambria" w:hAnsi="Cambria" w:cs="Times New Roman"/>
                <w:i/>
                <w:iCs/>
              </w:rPr>
            </w:pPr>
            <w:proofErr w:type="spellStart"/>
            <w:r w:rsidRPr="005F4698">
              <w:rPr>
                <w:rFonts w:ascii="Cambria" w:hAnsi="Cambria" w:cs="Times New Roman"/>
                <w:i/>
                <w:iCs/>
              </w:rPr>
              <w:t>Melospiza</w:t>
            </w:r>
            <w:proofErr w:type="spellEnd"/>
            <w:r w:rsidRPr="005F4698">
              <w:rPr>
                <w:rFonts w:ascii="Cambria" w:hAnsi="Cambria" w:cs="Times New Roman"/>
                <w:i/>
                <w:iCs/>
              </w:rPr>
              <w:t xml:space="preserve"> </w:t>
            </w:r>
            <w:proofErr w:type="spellStart"/>
            <w:r w:rsidRPr="005F4698">
              <w:rPr>
                <w:rFonts w:ascii="Cambria" w:hAnsi="Cambria" w:cs="Times New Roman"/>
                <w:i/>
                <w:iCs/>
              </w:rPr>
              <w:t>melodia</w:t>
            </w:r>
            <w:proofErr w:type="spellEnd"/>
          </w:p>
        </w:tc>
        <w:tc>
          <w:tcPr>
            <w:tcW w:w="1440" w:type="dxa"/>
            <w:vAlign w:val="center"/>
          </w:tcPr>
          <w:p w14:paraId="402F15BB" w14:textId="5EF2BFB5" w:rsidR="005F4698" w:rsidRPr="005F4698" w:rsidRDefault="005F4698" w:rsidP="005F4698">
            <w:pPr>
              <w:spacing w:after="200" w:line="276" w:lineRule="auto"/>
              <w:rPr>
                <w:rFonts w:ascii="Cambria" w:hAnsi="Cambria" w:cs="Times New Roman"/>
              </w:rPr>
            </w:pPr>
            <w:r>
              <w:rPr>
                <w:rFonts w:ascii="Cambria" w:hAnsi="Cambria" w:cs="Times New Roman"/>
              </w:rPr>
              <w:t>Short-distance migrant</w:t>
            </w:r>
          </w:p>
        </w:tc>
        <w:tc>
          <w:tcPr>
            <w:tcW w:w="1165" w:type="dxa"/>
            <w:vAlign w:val="center"/>
          </w:tcPr>
          <w:p w14:paraId="69618F4E" w14:textId="33558F34" w:rsidR="005F4698" w:rsidRPr="005F4698" w:rsidRDefault="005F4698" w:rsidP="005F4698">
            <w:pPr>
              <w:spacing w:after="200" w:line="276" w:lineRule="auto"/>
              <w:rPr>
                <w:rFonts w:ascii="Cambria" w:hAnsi="Cambria" w:cs="Times New Roman"/>
              </w:rPr>
            </w:pPr>
            <w:r w:rsidRPr="005F4698">
              <w:rPr>
                <w:rFonts w:ascii="Cambria" w:hAnsi="Cambria" w:cs="Times New Roman"/>
              </w:rPr>
              <w:t>20–</w:t>
            </w:r>
            <w:r w:rsidR="00447605">
              <w:rPr>
                <w:rFonts w:ascii="Cambria" w:hAnsi="Cambria" w:cs="Times New Roman"/>
              </w:rPr>
              <w:t>28</w:t>
            </w:r>
            <w:r w:rsidRPr="005F4698">
              <w:rPr>
                <w:rFonts w:ascii="Cambria" w:hAnsi="Cambria" w:cs="Times New Roman"/>
              </w:rPr>
              <w:t xml:space="preserve"> g</w:t>
            </w:r>
          </w:p>
        </w:tc>
        <w:tc>
          <w:tcPr>
            <w:tcW w:w="1483" w:type="dxa"/>
            <w:vAlign w:val="center"/>
          </w:tcPr>
          <w:p w14:paraId="5EC3A483"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Seeds, insects, fruits</w:t>
            </w:r>
          </w:p>
        </w:tc>
        <w:tc>
          <w:tcPr>
            <w:tcW w:w="2747" w:type="dxa"/>
          </w:tcPr>
          <w:p w14:paraId="128B1520" w14:textId="231618FA" w:rsidR="005F4698" w:rsidRPr="005F4698" w:rsidRDefault="005F4698" w:rsidP="005F4698">
            <w:pPr>
              <w:spacing w:after="200" w:line="276" w:lineRule="auto"/>
              <w:rPr>
                <w:rFonts w:ascii="Cambria" w:hAnsi="Cambria" w:cs="Times New Roman"/>
              </w:rPr>
            </w:pPr>
            <w:r w:rsidRPr="005F4698">
              <w:rPr>
                <w:rFonts w:ascii="Cambria" w:hAnsi="Cambria" w:cs="Times New Roman"/>
              </w:rPr>
              <w:t>Moderate-paced ground forager</w:t>
            </w:r>
            <w:r w:rsidR="00447605">
              <w:rPr>
                <w:rFonts w:ascii="Cambria" w:hAnsi="Cambria" w:cs="Times New Roman"/>
              </w:rPr>
              <w:t xml:space="preserve"> </w:t>
            </w:r>
            <w:r w:rsidR="00447605">
              <w:rPr>
                <w:rFonts w:ascii="Cambria" w:hAnsi="Cambria" w:cs="Times New Roman"/>
              </w:rPr>
              <w:fldChar w:fldCharType="begin"/>
            </w:r>
            <w:r w:rsidR="00C11D79">
              <w:rPr>
                <w:rFonts w:ascii="Cambria" w:hAnsi="Cambria" w:cs="Times New Roman"/>
              </w:rPr>
              <w:instrText xml:space="preserve"> ADDIN ZOTERO_ITEM CSL_CITATION {"citationID":"4PjGpTTr","properties":{"unsorted":false,"formattedCitation":"[13]","plainCitation":"[13]","noteIndex":0},"citationItems":[{"id":45061,"uris":["http://zotero.org/users/7850714/items/KJNRYGCM"],"itemData":{"id":45061,"type":"article-journal","abstract":"Species accounts for all the birds of the world.","container-title":"Birds of the World","DOI":"10.2173/bow.sonspa.01","ISSN":"2771-3105","language":"en","publisher":"Cornell Lab of Ornithology, Ithaca, NY, USA","source":"birdsoftheworld.org","title":"Song Sparrow (Melospiza melodia)","URL":"https://birdsoftheworld.org/bow/species/sonspa/cur/introduction","author":[{"family":"Arcese","given":"Peter"},{"family":"Sogge","given":"Mark K."},{"family":"Marr","given":"Amy B."},{"family":"Patten","given":"Michael A."}],"accessed":{"date-parts":[["2026",3,11]]},"issued":{"date-parts":[["2020"]]}}}],"schema":"https://github.com/citation-style-language/schema/raw/master/csl-citation.json"} </w:instrText>
            </w:r>
            <w:r w:rsidR="00447605">
              <w:rPr>
                <w:rFonts w:ascii="Cambria" w:hAnsi="Cambria" w:cs="Times New Roman"/>
              </w:rPr>
              <w:fldChar w:fldCharType="separate"/>
            </w:r>
            <w:r w:rsidR="00C11D79" w:rsidRPr="00C11D79">
              <w:rPr>
                <w:rFonts w:ascii="Cambria" w:hAnsi="Cambria"/>
              </w:rPr>
              <w:t>[13]</w:t>
            </w:r>
            <w:r w:rsidR="00447605">
              <w:rPr>
                <w:rFonts w:ascii="Cambria" w:hAnsi="Cambria" w:cs="Times New Roman"/>
              </w:rPr>
              <w:fldChar w:fldCharType="end"/>
            </w:r>
          </w:p>
        </w:tc>
      </w:tr>
      <w:tr w:rsidR="005F4698" w:rsidRPr="005F4698" w14:paraId="26607B63" w14:textId="77777777" w:rsidTr="005F4698">
        <w:tc>
          <w:tcPr>
            <w:tcW w:w="1440" w:type="dxa"/>
            <w:tcBorders>
              <w:bottom w:val="single" w:sz="4" w:space="0" w:color="auto"/>
            </w:tcBorders>
            <w:vAlign w:val="center"/>
          </w:tcPr>
          <w:p w14:paraId="75614FEE"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Hermit Thrush</w:t>
            </w:r>
          </w:p>
        </w:tc>
        <w:tc>
          <w:tcPr>
            <w:tcW w:w="1440" w:type="dxa"/>
            <w:tcBorders>
              <w:bottom w:val="single" w:sz="4" w:space="0" w:color="auto"/>
            </w:tcBorders>
            <w:vAlign w:val="center"/>
          </w:tcPr>
          <w:p w14:paraId="3144483C" w14:textId="77777777" w:rsidR="005F4698" w:rsidRPr="005F4698" w:rsidRDefault="005F4698" w:rsidP="005F4698">
            <w:pPr>
              <w:spacing w:after="200" w:line="276" w:lineRule="auto"/>
              <w:rPr>
                <w:rFonts w:ascii="Cambria" w:hAnsi="Cambria" w:cs="Times New Roman"/>
                <w:i/>
                <w:iCs/>
              </w:rPr>
            </w:pPr>
            <w:proofErr w:type="spellStart"/>
            <w:r w:rsidRPr="005F4698">
              <w:rPr>
                <w:rFonts w:ascii="Cambria" w:hAnsi="Cambria" w:cs="Times New Roman"/>
                <w:i/>
                <w:iCs/>
              </w:rPr>
              <w:t>Catharus</w:t>
            </w:r>
            <w:proofErr w:type="spellEnd"/>
            <w:r w:rsidRPr="005F4698">
              <w:rPr>
                <w:rFonts w:ascii="Cambria" w:hAnsi="Cambria" w:cs="Times New Roman"/>
                <w:i/>
                <w:iCs/>
              </w:rPr>
              <w:t xml:space="preserve"> guttatus</w:t>
            </w:r>
          </w:p>
        </w:tc>
        <w:tc>
          <w:tcPr>
            <w:tcW w:w="1440" w:type="dxa"/>
            <w:tcBorders>
              <w:bottom w:val="single" w:sz="4" w:space="0" w:color="auto"/>
            </w:tcBorders>
            <w:vAlign w:val="center"/>
          </w:tcPr>
          <w:p w14:paraId="2393F97E"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Medium-distance migrant</w:t>
            </w:r>
          </w:p>
        </w:tc>
        <w:tc>
          <w:tcPr>
            <w:tcW w:w="1165" w:type="dxa"/>
            <w:tcBorders>
              <w:bottom w:val="single" w:sz="4" w:space="0" w:color="auto"/>
            </w:tcBorders>
            <w:vAlign w:val="center"/>
          </w:tcPr>
          <w:p w14:paraId="7ED72C7D" w14:textId="180B9D7D" w:rsidR="005F4698" w:rsidRPr="005F4698" w:rsidRDefault="00447605" w:rsidP="005F4698">
            <w:pPr>
              <w:spacing w:after="200" w:line="276" w:lineRule="auto"/>
              <w:rPr>
                <w:rFonts w:ascii="Cambria" w:hAnsi="Cambria" w:cs="Times New Roman"/>
              </w:rPr>
            </w:pPr>
            <w:r>
              <w:rPr>
                <w:rFonts w:ascii="Cambria" w:hAnsi="Cambria" w:cs="Times New Roman"/>
              </w:rPr>
              <w:t>2</w:t>
            </w:r>
            <w:r w:rsidR="005F4698" w:rsidRPr="005F4698">
              <w:rPr>
                <w:rFonts w:ascii="Cambria" w:hAnsi="Cambria" w:cs="Times New Roman"/>
              </w:rPr>
              <w:t>8–37 g</w:t>
            </w:r>
          </w:p>
        </w:tc>
        <w:tc>
          <w:tcPr>
            <w:tcW w:w="1483" w:type="dxa"/>
            <w:tcBorders>
              <w:bottom w:val="single" w:sz="4" w:space="0" w:color="auto"/>
            </w:tcBorders>
            <w:vAlign w:val="center"/>
          </w:tcPr>
          <w:p w14:paraId="1FD2AFD2" w14:textId="77777777" w:rsidR="005F4698" w:rsidRPr="005F4698" w:rsidRDefault="005F4698" w:rsidP="005F4698">
            <w:pPr>
              <w:spacing w:after="200" w:line="276" w:lineRule="auto"/>
              <w:rPr>
                <w:rFonts w:ascii="Cambria" w:hAnsi="Cambria" w:cs="Times New Roman"/>
              </w:rPr>
            </w:pPr>
            <w:r w:rsidRPr="005F4698">
              <w:rPr>
                <w:rFonts w:ascii="Cambria" w:hAnsi="Cambria" w:cs="Times New Roman"/>
              </w:rPr>
              <w:t>Insects, berries, small invertebrates</w:t>
            </w:r>
          </w:p>
        </w:tc>
        <w:tc>
          <w:tcPr>
            <w:tcW w:w="2747" w:type="dxa"/>
            <w:tcBorders>
              <w:bottom w:val="single" w:sz="4" w:space="0" w:color="auto"/>
            </w:tcBorders>
          </w:tcPr>
          <w:p w14:paraId="70AFE13B" w14:textId="04D63251" w:rsidR="005F4698" w:rsidRPr="005F4698" w:rsidRDefault="005F4698" w:rsidP="005F4698">
            <w:pPr>
              <w:spacing w:after="200" w:line="276" w:lineRule="auto"/>
              <w:rPr>
                <w:rFonts w:ascii="Cambria" w:hAnsi="Cambria" w:cs="Times New Roman"/>
              </w:rPr>
            </w:pPr>
            <w:r w:rsidRPr="005F4698">
              <w:rPr>
                <w:rFonts w:ascii="Cambria" w:hAnsi="Cambria" w:cs="Times New Roman"/>
              </w:rPr>
              <w:t>Slow-to-moderate ground forager</w:t>
            </w:r>
            <w:r w:rsidR="00447605">
              <w:rPr>
                <w:rFonts w:ascii="Cambria" w:hAnsi="Cambria" w:cs="Times New Roman"/>
              </w:rPr>
              <w:t xml:space="preserve"> with frequent stops </w:t>
            </w:r>
            <w:r w:rsidR="00447605">
              <w:rPr>
                <w:rFonts w:ascii="Cambria" w:hAnsi="Cambria" w:cs="Times New Roman"/>
              </w:rPr>
              <w:fldChar w:fldCharType="begin"/>
            </w:r>
            <w:r w:rsidR="00C11D79">
              <w:rPr>
                <w:rFonts w:ascii="Cambria" w:hAnsi="Cambria" w:cs="Times New Roman"/>
              </w:rPr>
              <w:instrText xml:space="preserve"> ADDIN ZOTERO_ITEM CSL_CITATION {"citationID":"oIY0fnuZ","properties":{"unsorted":false,"formattedCitation":"[14]","plainCitation":"[14]","noteIndex":0},"citationItems":[{"id":45060,"uris":["http://zotero.org/users/7850714/items/NRY4NJ7C"],"itemData":{"id":45060,"type":"article-journal","container-title":"Birds of the World","publisher":"Cornell Lab of Ornithology","publisher-place":"Ithaca, NY, USA","title":"Hermit Thrush - Catharus guttatus","URL":"https://birdsoftheworld.org/bow/species/herthr/cur/introduction","author":[{"family":"Dellinger","given":"Rachel"},{"family":"Bohall Wood","given":"Petra"},{"family":"Jones","given":"Peter W"},{"family":"Donovan","given":"Therese M"}],"accessed":{"date-parts":[["2026",3,11]]},"issued":{"date-parts":[["2020"]]}}}],"schema":"https://github.com/citation-style-language/schema/raw/master/csl-citation.json"} </w:instrText>
            </w:r>
            <w:r w:rsidR="00447605">
              <w:rPr>
                <w:rFonts w:ascii="Cambria" w:hAnsi="Cambria" w:cs="Times New Roman"/>
              </w:rPr>
              <w:fldChar w:fldCharType="separate"/>
            </w:r>
            <w:r w:rsidR="00C11D79" w:rsidRPr="00C11D79">
              <w:rPr>
                <w:rFonts w:ascii="Cambria" w:hAnsi="Cambria"/>
              </w:rPr>
              <w:t>[14]</w:t>
            </w:r>
            <w:r w:rsidR="00447605">
              <w:rPr>
                <w:rFonts w:ascii="Cambria" w:hAnsi="Cambria" w:cs="Times New Roman"/>
              </w:rPr>
              <w:fldChar w:fldCharType="end"/>
            </w:r>
          </w:p>
        </w:tc>
      </w:tr>
    </w:tbl>
    <w:p w14:paraId="38AC50A9" w14:textId="77777777" w:rsidR="005F4698" w:rsidRDefault="005F4698" w:rsidP="00B94254">
      <w:pPr>
        <w:rPr>
          <w:rFonts w:ascii="Times New Roman" w:hAnsi="Times New Roman" w:cs="Times New Roman"/>
          <w:b/>
          <w:bCs/>
        </w:rPr>
      </w:pPr>
    </w:p>
    <w:p w14:paraId="069B93E4" w14:textId="77777777" w:rsidR="005F4698" w:rsidRDefault="005F4698" w:rsidP="00B94254">
      <w:pPr>
        <w:rPr>
          <w:rFonts w:ascii="Times New Roman" w:hAnsi="Times New Roman" w:cs="Times New Roman"/>
          <w:b/>
          <w:bCs/>
        </w:rPr>
      </w:pPr>
    </w:p>
    <w:p w14:paraId="2761E2CA" w14:textId="77777777" w:rsidR="005F4698" w:rsidRDefault="005F4698" w:rsidP="00B94254">
      <w:pPr>
        <w:rPr>
          <w:rFonts w:ascii="Times New Roman" w:hAnsi="Times New Roman" w:cs="Times New Roman"/>
          <w:b/>
          <w:bCs/>
        </w:rPr>
      </w:pPr>
    </w:p>
    <w:p w14:paraId="28D84D63" w14:textId="77777777" w:rsidR="005F4698" w:rsidRDefault="005F4698" w:rsidP="00B94254">
      <w:pPr>
        <w:rPr>
          <w:rFonts w:ascii="Times New Roman" w:hAnsi="Times New Roman" w:cs="Times New Roman"/>
          <w:b/>
          <w:bCs/>
        </w:rPr>
      </w:pPr>
    </w:p>
    <w:p w14:paraId="2D678A31" w14:textId="77777777" w:rsidR="00E22D73" w:rsidRDefault="00E22D73" w:rsidP="00B94254">
      <w:pPr>
        <w:rPr>
          <w:rFonts w:ascii="Times New Roman" w:hAnsi="Times New Roman" w:cs="Times New Roman"/>
          <w:b/>
          <w:bCs/>
        </w:rPr>
      </w:pPr>
    </w:p>
    <w:p w14:paraId="447E78EE" w14:textId="6B37D3C4" w:rsidR="00736745" w:rsidRPr="00E22D73" w:rsidRDefault="00E22D73" w:rsidP="00E22D73">
      <w:pPr>
        <w:spacing w:line="480" w:lineRule="auto"/>
        <w:rPr>
          <w:rFonts w:ascii="Times New Roman" w:hAnsi="Times New Roman" w:cs="Times New Roman"/>
        </w:rPr>
      </w:pPr>
      <w:r>
        <w:rPr>
          <w:rFonts w:ascii="Times New Roman" w:hAnsi="Times New Roman" w:cs="Times New Roman"/>
          <w:b/>
          <w:bCs/>
        </w:rPr>
        <w:lastRenderedPageBreak/>
        <w:t>Table S</w:t>
      </w:r>
      <w:r w:rsidR="00447605">
        <w:rPr>
          <w:rFonts w:ascii="Times New Roman" w:hAnsi="Times New Roman" w:cs="Times New Roman"/>
          <w:b/>
          <w:bCs/>
        </w:rPr>
        <w:t>2</w:t>
      </w:r>
      <w:r>
        <w:rPr>
          <w:rFonts w:ascii="Times New Roman" w:hAnsi="Times New Roman" w:cs="Times New Roman"/>
          <w:b/>
          <w:bCs/>
        </w:rPr>
        <w:t xml:space="preserve"> – </w:t>
      </w:r>
      <w:r>
        <w:rPr>
          <w:rFonts w:ascii="Times New Roman" w:hAnsi="Times New Roman" w:cs="Times New Roman"/>
        </w:rPr>
        <w:t xml:space="preserve">Activity onset and end (cessation) for migratory birds during stopover during </w:t>
      </w:r>
      <w:r>
        <w:rPr>
          <w:rFonts w:ascii="Times New Roman" w:eastAsia="Times New Roman" w:hAnsi="Times New Roman" w:cs="Times New Roman"/>
        </w:rPr>
        <w:t>the 2022-2023 fall migratory period in Montreal, Quebec, Canada</w:t>
      </w:r>
      <w:r>
        <w:rPr>
          <w:rFonts w:ascii="Times New Roman" w:hAnsi="Times New Roman" w:cs="Times New Roman"/>
        </w:rPr>
        <w:t xml:space="preserve">. Activity onset and end calculated using changepoint analysis for signal strength of telemetry tagged birds using Motus tags. </w:t>
      </w:r>
    </w:p>
    <w:p w14:paraId="5E57174A" w14:textId="77777777" w:rsidR="00613D2B" w:rsidRDefault="00613D2B" w:rsidP="00B94254">
      <w:pPr>
        <w:rPr>
          <w:rFonts w:ascii="Times New Roman" w:hAnsi="Times New Roman" w:cs="Times New Roman"/>
          <w:b/>
          <w:bCs/>
        </w:rPr>
      </w:pPr>
    </w:p>
    <w:tbl>
      <w:tblPr>
        <w:tblStyle w:val="TableGrid"/>
        <w:tblW w:w="100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013"/>
        <w:gridCol w:w="1356"/>
        <w:gridCol w:w="1480"/>
        <w:gridCol w:w="1790"/>
        <w:gridCol w:w="2160"/>
        <w:gridCol w:w="12"/>
      </w:tblGrid>
      <w:tr w:rsidR="00964FB8" w:rsidRPr="00964FB8" w14:paraId="70CC1757" w14:textId="77777777" w:rsidTr="00E22D73">
        <w:trPr>
          <w:trHeight w:val="651"/>
          <w:jc w:val="center"/>
        </w:trPr>
        <w:tc>
          <w:tcPr>
            <w:tcW w:w="1276" w:type="dxa"/>
            <w:tcBorders>
              <w:top w:val="single" w:sz="4" w:space="0" w:color="auto"/>
              <w:bottom w:val="single" w:sz="4" w:space="0" w:color="auto"/>
            </w:tcBorders>
            <w:vAlign w:val="center"/>
          </w:tcPr>
          <w:p w14:paraId="4365E82E" w14:textId="5CB3C332" w:rsidR="00613D2B" w:rsidRPr="00964FB8" w:rsidRDefault="00613D2B" w:rsidP="00E22D73">
            <w:pPr>
              <w:jc w:val="center"/>
              <w:rPr>
                <w:rFonts w:ascii="Times New Roman" w:hAnsi="Times New Roman" w:cs="Times New Roman"/>
                <w:b/>
                <w:bCs/>
                <w:sz w:val="22"/>
                <w:szCs w:val="22"/>
              </w:rPr>
            </w:pPr>
            <w:r w:rsidRPr="00964FB8">
              <w:rPr>
                <w:rFonts w:ascii="Times New Roman" w:hAnsi="Times New Roman" w:cs="Times New Roman"/>
                <w:b/>
                <w:bCs/>
                <w:sz w:val="22"/>
                <w:szCs w:val="22"/>
              </w:rPr>
              <w:t>Activity period</w:t>
            </w:r>
          </w:p>
        </w:tc>
        <w:tc>
          <w:tcPr>
            <w:tcW w:w="2013" w:type="dxa"/>
            <w:tcBorders>
              <w:top w:val="single" w:sz="4" w:space="0" w:color="auto"/>
              <w:bottom w:val="single" w:sz="4" w:space="0" w:color="auto"/>
            </w:tcBorders>
            <w:vAlign w:val="center"/>
          </w:tcPr>
          <w:p w14:paraId="53E34CAF" w14:textId="65A9EFEB" w:rsidR="00613D2B" w:rsidRPr="00964FB8" w:rsidRDefault="00613D2B" w:rsidP="00E22D73">
            <w:pPr>
              <w:jc w:val="center"/>
              <w:rPr>
                <w:rFonts w:ascii="Times New Roman" w:hAnsi="Times New Roman" w:cs="Times New Roman"/>
                <w:b/>
                <w:bCs/>
                <w:sz w:val="22"/>
                <w:szCs w:val="22"/>
              </w:rPr>
            </w:pPr>
            <w:r w:rsidRPr="00964FB8">
              <w:rPr>
                <w:rFonts w:ascii="Times New Roman" w:hAnsi="Times New Roman" w:cs="Times New Roman"/>
                <w:b/>
                <w:bCs/>
                <w:sz w:val="22"/>
                <w:szCs w:val="22"/>
              </w:rPr>
              <w:t>Species</w:t>
            </w:r>
          </w:p>
        </w:tc>
        <w:tc>
          <w:tcPr>
            <w:tcW w:w="1356" w:type="dxa"/>
            <w:tcBorders>
              <w:top w:val="single" w:sz="4" w:space="0" w:color="auto"/>
              <w:bottom w:val="single" w:sz="4" w:space="0" w:color="auto"/>
            </w:tcBorders>
            <w:vAlign w:val="center"/>
          </w:tcPr>
          <w:p w14:paraId="5201B615" w14:textId="1BCBB032" w:rsidR="00613D2B" w:rsidRPr="00964FB8" w:rsidRDefault="00613D2B" w:rsidP="00E22D73">
            <w:pPr>
              <w:jc w:val="center"/>
              <w:rPr>
                <w:rFonts w:ascii="Times New Roman" w:hAnsi="Times New Roman" w:cs="Times New Roman"/>
                <w:b/>
                <w:bCs/>
                <w:sz w:val="22"/>
                <w:szCs w:val="22"/>
              </w:rPr>
            </w:pPr>
            <w:r w:rsidRPr="00964FB8">
              <w:rPr>
                <w:rFonts w:ascii="Times New Roman" w:hAnsi="Times New Roman" w:cs="Times New Roman"/>
                <w:b/>
                <w:bCs/>
                <w:sz w:val="22"/>
                <w:szCs w:val="22"/>
              </w:rPr>
              <w:t># individuals</w:t>
            </w:r>
          </w:p>
        </w:tc>
        <w:tc>
          <w:tcPr>
            <w:tcW w:w="1480" w:type="dxa"/>
            <w:tcBorders>
              <w:top w:val="single" w:sz="4" w:space="0" w:color="auto"/>
              <w:bottom w:val="single" w:sz="4" w:space="0" w:color="auto"/>
            </w:tcBorders>
            <w:vAlign w:val="center"/>
          </w:tcPr>
          <w:p w14:paraId="26B31BAC" w14:textId="6D5F5A04" w:rsidR="00613D2B" w:rsidRPr="00964FB8" w:rsidRDefault="00613D2B" w:rsidP="00E22D73">
            <w:pPr>
              <w:jc w:val="center"/>
              <w:rPr>
                <w:rFonts w:ascii="Times New Roman" w:hAnsi="Times New Roman" w:cs="Times New Roman"/>
                <w:b/>
                <w:bCs/>
                <w:sz w:val="22"/>
                <w:szCs w:val="22"/>
              </w:rPr>
            </w:pPr>
            <w:r w:rsidRPr="00964FB8">
              <w:rPr>
                <w:rFonts w:ascii="Times New Roman" w:hAnsi="Times New Roman" w:cs="Times New Roman"/>
                <w:b/>
                <w:bCs/>
                <w:sz w:val="22"/>
                <w:szCs w:val="22"/>
              </w:rPr>
              <w:t># changepoints</w:t>
            </w:r>
          </w:p>
        </w:tc>
        <w:tc>
          <w:tcPr>
            <w:tcW w:w="3962" w:type="dxa"/>
            <w:gridSpan w:val="3"/>
            <w:tcBorders>
              <w:top w:val="single" w:sz="4" w:space="0" w:color="auto"/>
              <w:bottom w:val="single" w:sz="4" w:space="0" w:color="auto"/>
            </w:tcBorders>
            <w:vAlign w:val="center"/>
          </w:tcPr>
          <w:p w14:paraId="21730A14" w14:textId="6727CFF3" w:rsidR="00613D2B" w:rsidRPr="00964FB8" w:rsidRDefault="00613D2B" w:rsidP="00E22D73">
            <w:pPr>
              <w:jc w:val="center"/>
              <w:rPr>
                <w:rFonts w:ascii="Times New Roman" w:hAnsi="Times New Roman" w:cs="Times New Roman"/>
                <w:b/>
                <w:bCs/>
                <w:sz w:val="22"/>
                <w:szCs w:val="22"/>
              </w:rPr>
            </w:pPr>
            <w:r w:rsidRPr="00964FB8">
              <w:rPr>
                <w:rFonts w:ascii="Times New Roman" w:hAnsi="Times New Roman" w:cs="Times New Roman"/>
                <w:b/>
                <w:bCs/>
                <w:sz w:val="22"/>
                <w:szCs w:val="22"/>
              </w:rPr>
              <w:t>Activity onset/end relative to sunrise/sunset</w:t>
            </w:r>
          </w:p>
        </w:tc>
      </w:tr>
      <w:tr w:rsidR="00964FB8" w:rsidRPr="00964FB8" w14:paraId="0ACF2115" w14:textId="77777777" w:rsidTr="00E22D73">
        <w:trPr>
          <w:gridAfter w:val="1"/>
          <w:wAfter w:w="12" w:type="dxa"/>
          <w:trHeight w:val="331"/>
          <w:jc w:val="center"/>
        </w:trPr>
        <w:tc>
          <w:tcPr>
            <w:tcW w:w="1276" w:type="dxa"/>
            <w:tcBorders>
              <w:bottom w:val="single" w:sz="4" w:space="0" w:color="auto"/>
            </w:tcBorders>
          </w:tcPr>
          <w:p w14:paraId="212E857B" w14:textId="77777777" w:rsidR="00964FB8" w:rsidRPr="00964FB8" w:rsidRDefault="00964FB8" w:rsidP="00E22D73">
            <w:pPr>
              <w:rPr>
                <w:rFonts w:ascii="Times New Roman" w:hAnsi="Times New Roman" w:cs="Times New Roman"/>
                <w:b/>
                <w:bCs/>
                <w:sz w:val="22"/>
                <w:szCs w:val="22"/>
              </w:rPr>
            </w:pPr>
          </w:p>
        </w:tc>
        <w:tc>
          <w:tcPr>
            <w:tcW w:w="2013" w:type="dxa"/>
            <w:tcBorders>
              <w:bottom w:val="single" w:sz="4" w:space="0" w:color="auto"/>
            </w:tcBorders>
          </w:tcPr>
          <w:p w14:paraId="60A86541" w14:textId="37891670" w:rsidR="00964FB8" w:rsidRPr="00964FB8" w:rsidRDefault="00964FB8" w:rsidP="00E22D73">
            <w:pPr>
              <w:rPr>
                <w:rFonts w:ascii="Times New Roman" w:hAnsi="Times New Roman" w:cs="Times New Roman"/>
                <w:b/>
                <w:bCs/>
                <w:sz w:val="22"/>
                <w:szCs w:val="22"/>
              </w:rPr>
            </w:pPr>
          </w:p>
        </w:tc>
        <w:tc>
          <w:tcPr>
            <w:tcW w:w="1356" w:type="dxa"/>
            <w:tcBorders>
              <w:bottom w:val="single" w:sz="4" w:space="0" w:color="auto"/>
            </w:tcBorders>
          </w:tcPr>
          <w:p w14:paraId="37416A2C" w14:textId="77777777" w:rsidR="00964FB8" w:rsidRPr="00964FB8" w:rsidRDefault="00964FB8" w:rsidP="00E22D73">
            <w:pPr>
              <w:jc w:val="center"/>
              <w:rPr>
                <w:rFonts w:ascii="Times New Roman" w:hAnsi="Times New Roman" w:cs="Times New Roman"/>
                <w:b/>
                <w:bCs/>
                <w:sz w:val="22"/>
                <w:szCs w:val="22"/>
              </w:rPr>
            </w:pPr>
          </w:p>
        </w:tc>
        <w:tc>
          <w:tcPr>
            <w:tcW w:w="1480" w:type="dxa"/>
            <w:tcBorders>
              <w:bottom w:val="single" w:sz="4" w:space="0" w:color="auto"/>
            </w:tcBorders>
          </w:tcPr>
          <w:p w14:paraId="6392E19D" w14:textId="77777777" w:rsidR="00964FB8" w:rsidRPr="00964FB8" w:rsidRDefault="00964FB8" w:rsidP="00E22D73">
            <w:pPr>
              <w:jc w:val="center"/>
              <w:rPr>
                <w:rFonts w:ascii="Times New Roman" w:hAnsi="Times New Roman" w:cs="Times New Roman"/>
                <w:b/>
                <w:bCs/>
                <w:sz w:val="22"/>
                <w:szCs w:val="22"/>
              </w:rPr>
            </w:pPr>
          </w:p>
        </w:tc>
        <w:tc>
          <w:tcPr>
            <w:tcW w:w="1790" w:type="dxa"/>
            <w:tcBorders>
              <w:bottom w:val="single" w:sz="4" w:space="0" w:color="auto"/>
            </w:tcBorders>
          </w:tcPr>
          <w:p w14:paraId="74E5EF3F" w14:textId="186AAD33" w:rsidR="00964FB8" w:rsidRPr="00964FB8" w:rsidRDefault="00964FB8" w:rsidP="00E22D73">
            <w:pPr>
              <w:jc w:val="center"/>
              <w:rPr>
                <w:rFonts w:ascii="Times New Roman" w:hAnsi="Times New Roman" w:cs="Times New Roman"/>
                <w:b/>
                <w:bCs/>
                <w:sz w:val="22"/>
                <w:szCs w:val="22"/>
              </w:rPr>
            </w:pPr>
            <w:r w:rsidRPr="00964FB8">
              <w:rPr>
                <w:rFonts w:ascii="Times New Roman" w:hAnsi="Times New Roman" w:cs="Times New Roman"/>
                <w:b/>
                <w:bCs/>
                <w:sz w:val="22"/>
                <w:szCs w:val="22"/>
              </w:rPr>
              <w:t>Mean</w:t>
            </w:r>
          </w:p>
          <w:p w14:paraId="14E636C1" w14:textId="77777777" w:rsidR="00964FB8" w:rsidRPr="00964FB8" w:rsidRDefault="00964FB8" w:rsidP="00E22D73">
            <w:pPr>
              <w:jc w:val="center"/>
              <w:rPr>
                <w:rFonts w:ascii="Times New Roman" w:hAnsi="Times New Roman" w:cs="Times New Roman"/>
                <w:b/>
                <w:bCs/>
                <w:sz w:val="22"/>
                <w:szCs w:val="22"/>
              </w:rPr>
            </w:pPr>
          </w:p>
        </w:tc>
        <w:tc>
          <w:tcPr>
            <w:tcW w:w="2160" w:type="dxa"/>
            <w:tcBorders>
              <w:bottom w:val="single" w:sz="4" w:space="0" w:color="auto"/>
            </w:tcBorders>
          </w:tcPr>
          <w:p w14:paraId="238E6294" w14:textId="4F832AC9" w:rsidR="00964FB8" w:rsidRPr="00964FB8" w:rsidRDefault="00964FB8" w:rsidP="00E22D73">
            <w:pPr>
              <w:jc w:val="center"/>
              <w:rPr>
                <w:rFonts w:ascii="Times New Roman" w:hAnsi="Times New Roman" w:cs="Times New Roman"/>
                <w:b/>
                <w:bCs/>
                <w:sz w:val="22"/>
                <w:szCs w:val="22"/>
              </w:rPr>
            </w:pPr>
            <w:r w:rsidRPr="00964FB8">
              <w:rPr>
                <w:rFonts w:ascii="Times New Roman" w:hAnsi="Times New Roman" w:cs="Times New Roman"/>
                <w:b/>
                <w:bCs/>
                <w:sz w:val="22"/>
                <w:szCs w:val="22"/>
              </w:rPr>
              <w:t>Range</w:t>
            </w:r>
          </w:p>
          <w:p w14:paraId="5001B573" w14:textId="28688522" w:rsidR="00964FB8" w:rsidRPr="00964FB8" w:rsidRDefault="00964FB8" w:rsidP="00E22D73">
            <w:pPr>
              <w:jc w:val="center"/>
              <w:rPr>
                <w:rFonts w:ascii="Times New Roman" w:hAnsi="Times New Roman" w:cs="Times New Roman"/>
                <w:sz w:val="22"/>
                <w:szCs w:val="22"/>
              </w:rPr>
            </w:pPr>
            <w:r w:rsidRPr="00964FB8">
              <w:rPr>
                <w:rFonts w:ascii="Times New Roman" w:hAnsi="Times New Roman" w:cs="Times New Roman"/>
                <w:sz w:val="22"/>
                <w:szCs w:val="22"/>
              </w:rPr>
              <w:t>(min-max)</w:t>
            </w:r>
          </w:p>
        </w:tc>
      </w:tr>
      <w:tr w:rsidR="00964FB8" w:rsidRPr="00964FB8" w14:paraId="75E2DA02" w14:textId="77777777" w:rsidTr="00E22D73">
        <w:trPr>
          <w:gridAfter w:val="1"/>
          <w:wAfter w:w="12" w:type="dxa"/>
          <w:trHeight w:val="318"/>
          <w:jc w:val="center"/>
        </w:trPr>
        <w:tc>
          <w:tcPr>
            <w:tcW w:w="1276" w:type="dxa"/>
            <w:tcBorders>
              <w:top w:val="single" w:sz="4" w:space="0" w:color="auto"/>
            </w:tcBorders>
          </w:tcPr>
          <w:p w14:paraId="3661EF57" w14:textId="1278EC53"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Onset</w:t>
            </w:r>
          </w:p>
        </w:tc>
        <w:tc>
          <w:tcPr>
            <w:tcW w:w="2013" w:type="dxa"/>
            <w:tcBorders>
              <w:top w:val="single" w:sz="4" w:space="0" w:color="auto"/>
            </w:tcBorders>
          </w:tcPr>
          <w:p w14:paraId="4734E265" w14:textId="31DCDE9A"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Blue-headed Vireo</w:t>
            </w:r>
          </w:p>
        </w:tc>
        <w:tc>
          <w:tcPr>
            <w:tcW w:w="1356" w:type="dxa"/>
            <w:tcBorders>
              <w:top w:val="single" w:sz="4" w:space="0" w:color="auto"/>
            </w:tcBorders>
          </w:tcPr>
          <w:p w14:paraId="52DE0645" w14:textId="4D4D8D76"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3</w:t>
            </w:r>
          </w:p>
        </w:tc>
        <w:tc>
          <w:tcPr>
            <w:tcW w:w="1480" w:type="dxa"/>
            <w:tcBorders>
              <w:top w:val="single" w:sz="4" w:space="0" w:color="auto"/>
            </w:tcBorders>
          </w:tcPr>
          <w:p w14:paraId="2AA36D25" w14:textId="23C80A4A"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20</w:t>
            </w:r>
          </w:p>
        </w:tc>
        <w:tc>
          <w:tcPr>
            <w:tcW w:w="1790" w:type="dxa"/>
            <w:tcBorders>
              <w:top w:val="single" w:sz="4" w:space="0" w:color="auto"/>
            </w:tcBorders>
          </w:tcPr>
          <w:p w14:paraId="5A9EE361" w14:textId="210CB09A" w:rsidR="00964FB8" w:rsidRPr="00964FB8" w:rsidRDefault="00964FB8" w:rsidP="00E22D73">
            <w:pPr>
              <w:jc w:val="center"/>
              <w:rPr>
                <w:rFonts w:ascii="Times New Roman" w:hAnsi="Times New Roman" w:cs="Times New Roman"/>
                <w:sz w:val="22"/>
                <w:szCs w:val="22"/>
              </w:rPr>
            </w:pPr>
            <w:r w:rsidRPr="00964FB8">
              <w:rPr>
                <w:rFonts w:ascii="Times New Roman" w:hAnsi="Times New Roman" w:cs="Times New Roman"/>
                <w:sz w:val="22"/>
                <w:szCs w:val="22"/>
              </w:rPr>
              <w:t>12.4</w:t>
            </w:r>
          </w:p>
        </w:tc>
        <w:tc>
          <w:tcPr>
            <w:tcW w:w="2160" w:type="dxa"/>
            <w:tcBorders>
              <w:top w:val="single" w:sz="4" w:space="0" w:color="auto"/>
            </w:tcBorders>
          </w:tcPr>
          <w:p w14:paraId="595EDCA8" w14:textId="083533C8" w:rsidR="00964FB8" w:rsidRPr="00964FB8" w:rsidRDefault="00964FB8" w:rsidP="00E22D73">
            <w:pPr>
              <w:jc w:val="center"/>
              <w:rPr>
                <w:rFonts w:ascii="Times New Roman" w:hAnsi="Times New Roman" w:cs="Times New Roman"/>
                <w:sz w:val="22"/>
                <w:szCs w:val="22"/>
              </w:rPr>
            </w:pPr>
            <w:r>
              <w:rPr>
                <w:rFonts w:ascii="Times New Roman" w:hAnsi="Times New Roman" w:cs="Times New Roman"/>
                <w:sz w:val="22"/>
                <w:szCs w:val="22"/>
              </w:rPr>
              <w:t>-21.3 – 88.4</w:t>
            </w:r>
          </w:p>
        </w:tc>
      </w:tr>
      <w:tr w:rsidR="00964FB8" w:rsidRPr="00964FB8" w14:paraId="258E5A76" w14:textId="77777777" w:rsidTr="00E22D73">
        <w:trPr>
          <w:gridAfter w:val="1"/>
          <w:wAfter w:w="12" w:type="dxa"/>
          <w:trHeight w:val="331"/>
          <w:jc w:val="center"/>
        </w:trPr>
        <w:tc>
          <w:tcPr>
            <w:tcW w:w="1276" w:type="dxa"/>
          </w:tcPr>
          <w:p w14:paraId="1D8BF9B5" w14:textId="77777777" w:rsidR="00964FB8" w:rsidRPr="00964FB8" w:rsidRDefault="00964FB8" w:rsidP="00E22D73">
            <w:pPr>
              <w:rPr>
                <w:rFonts w:ascii="Times New Roman" w:hAnsi="Times New Roman" w:cs="Times New Roman"/>
                <w:sz w:val="22"/>
                <w:szCs w:val="22"/>
              </w:rPr>
            </w:pPr>
          </w:p>
        </w:tc>
        <w:tc>
          <w:tcPr>
            <w:tcW w:w="2013" w:type="dxa"/>
          </w:tcPr>
          <w:p w14:paraId="1AD26A40" w14:textId="7C8BC47F"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Hermit Thrush</w:t>
            </w:r>
          </w:p>
        </w:tc>
        <w:tc>
          <w:tcPr>
            <w:tcW w:w="1356" w:type="dxa"/>
          </w:tcPr>
          <w:p w14:paraId="1542E5E8" w14:textId="3B5772A0"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38</w:t>
            </w:r>
          </w:p>
        </w:tc>
        <w:tc>
          <w:tcPr>
            <w:tcW w:w="1480" w:type="dxa"/>
          </w:tcPr>
          <w:p w14:paraId="427AA1CA" w14:textId="0B6207DE"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306</w:t>
            </w:r>
          </w:p>
        </w:tc>
        <w:tc>
          <w:tcPr>
            <w:tcW w:w="1790" w:type="dxa"/>
          </w:tcPr>
          <w:p w14:paraId="759D982C" w14:textId="0F4B5F07" w:rsidR="00964FB8" w:rsidRPr="00964FB8" w:rsidRDefault="00964FB8" w:rsidP="00E22D73">
            <w:pPr>
              <w:jc w:val="center"/>
              <w:rPr>
                <w:rFonts w:ascii="Times New Roman" w:hAnsi="Times New Roman" w:cs="Times New Roman"/>
                <w:sz w:val="22"/>
                <w:szCs w:val="22"/>
              </w:rPr>
            </w:pPr>
            <w:r w:rsidRPr="00964FB8">
              <w:rPr>
                <w:rFonts w:ascii="Times New Roman" w:hAnsi="Times New Roman" w:cs="Times New Roman"/>
                <w:sz w:val="22"/>
                <w:szCs w:val="22"/>
              </w:rPr>
              <w:t>-28.1</w:t>
            </w:r>
          </w:p>
        </w:tc>
        <w:tc>
          <w:tcPr>
            <w:tcW w:w="2160" w:type="dxa"/>
          </w:tcPr>
          <w:p w14:paraId="7396F487" w14:textId="01950B42" w:rsidR="00964FB8" w:rsidRPr="00964FB8" w:rsidRDefault="00964FB8" w:rsidP="00E22D73">
            <w:pPr>
              <w:jc w:val="center"/>
              <w:rPr>
                <w:rFonts w:ascii="Times New Roman" w:hAnsi="Times New Roman" w:cs="Times New Roman"/>
                <w:sz w:val="22"/>
                <w:szCs w:val="22"/>
              </w:rPr>
            </w:pPr>
            <w:r>
              <w:rPr>
                <w:rFonts w:ascii="Times New Roman" w:hAnsi="Times New Roman" w:cs="Times New Roman"/>
                <w:sz w:val="22"/>
                <w:szCs w:val="22"/>
              </w:rPr>
              <w:t>-147.0 – 143.0</w:t>
            </w:r>
          </w:p>
        </w:tc>
      </w:tr>
      <w:tr w:rsidR="00964FB8" w:rsidRPr="00964FB8" w14:paraId="0E91608F" w14:textId="77777777" w:rsidTr="00E22D73">
        <w:trPr>
          <w:gridAfter w:val="1"/>
          <w:wAfter w:w="12" w:type="dxa"/>
          <w:trHeight w:val="331"/>
          <w:jc w:val="center"/>
        </w:trPr>
        <w:tc>
          <w:tcPr>
            <w:tcW w:w="1276" w:type="dxa"/>
          </w:tcPr>
          <w:p w14:paraId="35AE6DAC" w14:textId="77777777" w:rsidR="00964FB8" w:rsidRPr="00964FB8" w:rsidRDefault="00964FB8" w:rsidP="00E22D73">
            <w:pPr>
              <w:rPr>
                <w:rFonts w:ascii="Times New Roman" w:hAnsi="Times New Roman" w:cs="Times New Roman"/>
                <w:b/>
                <w:bCs/>
                <w:sz w:val="22"/>
                <w:szCs w:val="22"/>
              </w:rPr>
            </w:pPr>
          </w:p>
        </w:tc>
        <w:tc>
          <w:tcPr>
            <w:tcW w:w="2013" w:type="dxa"/>
          </w:tcPr>
          <w:p w14:paraId="61311491" w14:textId="37C5C209"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Magnolia Warbler</w:t>
            </w:r>
          </w:p>
        </w:tc>
        <w:tc>
          <w:tcPr>
            <w:tcW w:w="1356" w:type="dxa"/>
          </w:tcPr>
          <w:p w14:paraId="32EEF0C1" w14:textId="72DE1C18"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9</w:t>
            </w:r>
          </w:p>
        </w:tc>
        <w:tc>
          <w:tcPr>
            <w:tcW w:w="1480" w:type="dxa"/>
          </w:tcPr>
          <w:p w14:paraId="1396F7D4" w14:textId="7680FBEC"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29</w:t>
            </w:r>
          </w:p>
        </w:tc>
        <w:tc>
          <w:tcPr>
            <w:tcW w:w="1790" w:type="dxa"/>
          </w:tcPr>
          <w:p w14:paraId="21AE4015" w14:textId="5C9E6553" w:rsidR="00964FB8" w:rsidRPr="00964FB8" w:rsidRDefault="00964FB8" w:rsidP="00E22D73">
            <w:pPr>
              <w:jc w:val="center"/>
              <w:rPr>
                <w:rFonts w:ascii="Times New Roman" w:hAnsi="Times New Roman" w:cs="Times New Roman"/>
                <w:sz w:val="22"/>
                <w:szCs w:val="22"/>
              </w:rPr>
            </w:pPr>
            <w:r w:rsidRPr="00964FB8">
              <w:rPr>
                <w:rFonts w:ascii="Times New Roman" w:hAnsi="Times New Roman" w:cs="Times New Roman"/>
                <w:sz w:val="22"/>
                <w:szCs w:val="22"/>
              </w:rPr>
              <w:t>-16.6</w:t>
            </w:r>
          </w:p>
        </w:tc>
        <w:tc>
          <w:tcPr>
            <w:tcW w:w="2160" w:type="dxa"/>
          </w:tcPr>
          <w:p w14:paraId="22D67E70" w14:textId="4ABBFC79" w:rsidR="00964FB8" w:rsidRPr="00964FB8" w:rsidRDefault="00964FB8" w:rsidP="00E22D73">
            <w:pPr>
              <w:jc w:val="center"/>
              <w:rPr>
                <w:rFonts w:ascii="Times New Roman" w:hAnsi="Times New Roman" w:cs="Times New Roman"/>
                <w:sz w:val="22"/>
                <w:szCs w:val="22"/>
              </w:rPr>
            </w:pPr>
            <w:r>
              <w:rPr>
                <w:rFonts w:ascii="Times New Roman" w:hAnsi="Times New Roman" w:cs="Times New Roman"/>
                <w:sz w:val="22"/>
                <w:szCs w:val="22"/>
              </w:rPr>
              <w:t xml:space="preserve">-23.0 – 0 </w:t>
            </w:r>
          </w:p>
        </w:tc>
      </w:tr>
      <w:tr w:rsidR="00964FB8" w:rsidRPr="00964FB8" w14:paraId="7AAEDBB4" w14:textId="77777777" w:rsidTr="00E22D73">
        <w:trPr>
          <w:gridAfter w:val="1"/>
          <w:wAfter w:w="12" w:type="dxa"/>
          <w:trHeight w:val="318"/>
          <w:jc w:val="center"/>
        </w:trPr>
        <w:tc>
          <w:tcPr>
            <w:tcW w:w="1276" w:type="dxa"/>
          </w:tcPr>
          <w:p w14:paraId="70BE944F" w14:textId="77777777" w:rsidR="00964FB8" w:rsidRPr="00964FB8" w:rsidRDefault="00964FB8" w:rsidP="00E22D73">
            <w:pPr>
              <w:rPr>
                <w:rFonts w:ascii="Times New Roman" w:hAnsi="Times New Roman" w:cs="Times New Roman"/>
                <w:b/>
                <w:bCs/>
                <w:sz w:val="22"/>
                <w:szCs w:val="22"/>
              </w:rPr>
            </w:pPr>
          </w:p>
        </w:tc>
        <w:tc>
          <w:tcPr>
            <w:tcW w:w="2013" w:type="dxa"/>
          </w:tcPr>
          <w:p w14:paraId="7A3210EF" w14:textId="6A5D0A50"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Yellow-rumped Warbler</w:t>
            </w:r>
          </w:p>
        </w:tc>
        <w:tc>
          <w:tcPr>
            <w:tcW w:w="1356" w:type="dxa"/>
          </w:tcPr>
          <w:p w14:paraId="6DC0897F" w14:textId="7BE13A47"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23</w:t>
            </w:r>
          </w:p>
        </w:tc>
        <w:tc>
          <w:tcPr>
            <w:tcW w:w="1480" w:type="dxa"/>
          </w:tcPr>
          <w:p w14:paraId="0E67C3E7" w14:textId="66FF7FFE" w:rsidR="00964FB8" w:rsidRPr="00964FB8" w:rsidRDefault="00743493" w:rsidP="00E22D73">
            <w:pPr>
              <w:jc w:val="center"/>
              <w:rPr>
                <w:rFonts w:ascii="Times New Roman" w:hAnsi="Times New Roman" w:cs="Times New Roman"/>
                <w:sz w:val="22"/>
                <w:szCs w:val="22"/>
              </w:rPr>
            </w:pPr>
            <w:r>
              <w:rPr>
                <w:rFonts w:ascii="Times New Roman" w:hAnsi="Times New Roman" w:cs="Times New Roman"/>
                <w:sz w:val="22"/>
                <w:szCs w:val="22"/>
              </w:rPr>
              <w:t>141</w:t>
            </w:r>
          </w:p>
        </w:tc>
        <w:tc>
          <w:tcPr>
            <w:tcW w:w="1790" w:type="dxa"/>
          </w:tcPr>
          <w:p w14:paraId="3DD324A6" w14:textId="01D8827F" w:rsidR="00964FB8" w:rsidRPr="00964FB8" w:rsidRDefault="00964FB8" w:rsidP="00E22D73">
            <w:pPr>
              <w:jc w:val="center"/>
              <w:rPr>
                <w:rFonts w:ascii="Times New Roman" w:hAnsi="Times New Roman" w:cs="Times New Roman"/>
                <w:sz w:val="22"/>
                <w:szCs w:val="22"/>
              </w:rPr>
            </w:pPr>
            <w:r w:rsidRPr="00964FB8">
              <w:rPr>
                <w:rFonts w:ascii="Times New Roman" w:hAnsi="Times New Roman" w:cs="Times New Roman"/>
                <w:sz w:val="22"/>
                <w:szCs w:val="22"/>
              </w:rPr>
              <w:t>-14.9</w:t>
            </w:r>
          </w:p>
        </w:tc>
        <w:tc>
          <w:tcPr>
            <w:tcW w:w="2160" w:type="dxa"/>
          </w:tcPr>
          <w:p w14:paraId="580C26A4" w14:textId="0C8F498A" w:rsidR="00964FB8" w:rsidRPr="00964FB8" w:rsidRDefault="00964FB8" w:rsidP="00E22D73">
            <w:pPr>
              <w:jc w:val="center"/>
              <w:rPr>
                <w:rFonts w:ascii="Times New Roman" w:hAnsi="Times New Roman" w:cs="Times New Roman"/>
                <w:sz w:val="22"/>
                <w:szCs w:val="22"/>
              </w:rPr>
            </w:pPr>
            <w:r>
              <w:rPr>
                <w:rFonts w:ascii="Times New Roman" w:hAnsi="Times New Roman" w:cs="Times New Roman"/>
                <w:sz w:val="22"/>
                <w:szCs w:val="22"/>
              </w:rPr>
              <w:t>-125.0 – 88.8</w:t>
            </w:r>
          </w:p>
        </w:tc>
      </w:tr>
      <w:tr w:rsidR="00964FB8" w:rsidRPr="00964FB8" w14:paraId="2F48A402" w14:textId="77777777" w:rsidTr="00E22D73">
        <w:trPr>
          <w:gridAfter w:val="1"/>
          <w:wAfter w:w="12" w:type="dxa"/>
          <w:trHeight w:val="318"/>
          <w:jc w:val="center"/>
        </w:trPr>
        <w:tc>
          <w:tcPr>
            <w:tcW w:w="1276" w:type="dxa"/>
            <w:tcBorders>
              <w:bottom w:val="single" w:sz="4" w:space="0" w:color="auto"/>
            </w:tcBorders>
          </w:tcPr>
          <w:p w14:paraId="44E883CF" w14:textId="77777777" w:rsidR="00964FB8" w:rsidRPr="00964FB8" w:rsidRDefault="00964FB8" w:rsidP="00E22D73">
            <w:pPr>
              <w:rPr>
                <w:rFonts w:ascii="Times New Roman" w:hAnsi="Times New Roman" w:cs="Times New Roman"/>
                <w:b/>
                <w:bCs/>
                <w:sz w:val="22"/>
                <w:szCs w:val="22"/>
              </w:rPr>
            </w:pPr>
          </w:p>
        </w:tc>
        <w:tc>
          <w:tcPr>
            <w:tcW w:w="2013" w:type="dxa"/>
            <w:tcBorders>
              <w:bottom w:val="single" w:sz="4" w:space="0" w:color="auto"/>
            </w:tcBorders>
          </w:tcPr>
          <w:p w14:paraId="18322D68" w14:textId="4B322FBE"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Song Sparrow</w:t>
            </w:r>
          </w:p>
        </w:tc>
        <w:tc>
          <w:tcPr>
            <w:tcW w:w="1356" w:type="dxa"/>
            <w:tcBorders>
              <w:bottom w:val="single" w:sz="4" w:space="0" w:color="auto"/>
            </w:tcBorders>
          </w:tcPr>
          <w:p w14:paraId="5804A16E" w14:textId="4AA88619" w:rsidR="00964FB8" w:rsidRPr="00964FB8" w:rsidRDefault="00964FB8" w:rsidP="00E22D73">
            <w:pPr>
              <w:jc w:val="center"/>
              <w:rPr>
                <w:rFonts w:ascii="Times New Roman" w:hAnsi="Times New Roman" w:cs="Times New Roman"/>
                <w:sz w:val="22"/>
                <w:szCs w:val="22"/>
              </w:rPr>
            </w:pPr>
            <w:r>
              <w:rPr>
                <w:rFonts w:ascii="Times New Roman" w:hAnsi="Times New Roman" w:cs="Times New Roman"/>
                <w:sz w:val="22"/>
                <w:szCs w:val="22"/>
              </w:rPr>
              <w:t>13</w:t>
            </w:r>
          </w:p>
        </w:tc>
        <w:tc>
          <w:tcPr>
            <w:tcW w:w="1480" w:type="dxa"/>
            <w:tcBorders>
              <w:bottom w:val="single" w:sz="4" w:space="0" w:color="auto"/>
            </w:tcBorders>
          </w:tcPr>
          <w:p w14:paraId="44B1F112" w14:textId="4881C75A" w:rsidR="00964FB8" w:rsidRPr="00964FB8" w:rsidRDefault="00964FB8" w:rsidP="00E22D73">
            <w:pPr>
              <w:jc w:val="center"/>
              <w:rPr>
                <w:rFonts w:ascii="Times New Roman" w:hAnsi="Times New Roman" w:cs="Times New Roman"/>
                <w:sz w:val="22"/>
                <w:szCs w:val="22"/>
              </w:rPr>
            </w:pPr>
            <w:r>
              <w:rPr>
                <w:rFonts w:ascii="Times New Roman" w:hAnsi="Times New Roman" w:cs="Times New Roman"/>
                <w:sz w:val="22"/>
                <w:szCs w:val="22"/>
              </w:rPr>
              <w:t>128</w:t>
            </w:r>
          </w:p>
        </w:tc>
        <w:tc>
          <w:tcPr>
            <w:tcW w:w="1790" w:type="dxa"/>
            <w:tcBorders>
              <w:bottom w:val="single" w:sz="4" w:space="0" w:color="auto"/>
            </w:tcBorders>
          </w:tcPr>
          <w:p w14:paraId="797A1FE5" w14:textId="636824B5" w:rsidR="00964FB8" w:rsidRPr="00964FB8" w:rsidRDefault="00964FB8" w:rsidP="00E22D73">
            <w:pPr>
              <w:jc w:val="center"/>
              <w:rPr>
                <w:rFonts w:ascii="Times New Roman" w:hAnsi="Times New Roman" w:cs="Times New Roman"/>
                <w:sz w:val="22"/>
                <w:szCs w:val="22"/>
              </w:rPr>
            </w:pPr>
            <w:r w:rsidRPr="00964FB8">
              <w:rPr>
                <w:rFonts w:ascii="Times New Roman" w:hAnsi="Times New Roman" w:cs="Times New Roman"/>
                <w:sz w:val="22"/>
                <w:szCs w:val="22"/>
              </w:rPr>
              <w:t>-21.6</w:t>
            </w:r>
          </w:p>
        </w:tc>
        <w:tc>
          <w:tcPr>
            <w:tcW w:w="2160" w:type="dxa"/>
            <w:tcBorders>
              <w:bottom w:val="single" w:sz="4" w:space="0" w:color="auto"/>
            </w:tcBorders>
          </w:tcPr>
          <w:p w14:paraId="29BC1399" w14:textId="73D96948" w:rsidR="00964FB8" w:rsidRPr="00964FB8" w:rsidRDefault="00964FB8" w:rsidP="00E22D73">
            <w:pPr>
              <w:jc w:val="center"/>
              <w:rPr>
                <w:rFonts w:ascii="Times New Roman" w:hAnsi="Times New Roman" w:cs="Times New Roman"/>
                <w:sz w:val="22"/>
                <w:szCs w:val="22"/>
              </w:rPr>
            </w:pPr>
            <w:r>
              <w:rPr>
                <w:rFonts w:ascii="Times New Roman" w:hAnsi="Times New Roman" w:cs="Times New Roman"/>
                <w:sz w:val="22"/>
                <w:szCs w:val="22"/>
              </w:rPr>
              <w:t>-136.0 – 176.0</w:t>
            </w:r>
          </w:p>
        </w:tc>
      </w:tr>
      <w:tr w:rsidR="00964FB8" w:rsidRPr="00964FB8" w14:paraId="76195A11" w14:textId="77777777" w:rsidTr="00E22D73">
        <w:trPr>
          <w:gridAfter w:val="1"/>
          <w:wAfter w:w="12" w:type="dxa"/>
          <w:trHeight w:val="318"/>
          <w:jc w:val="center"/>
        </w:trPr>
        <w:tc>
          <w:tcPr>
            <w:tcW w:w="1276" w:type="dxa"/>
            <w:tcBorders>
              <w:top w:val="single" w:sz="4" w:space="0" w:color="auto"/>
            </w:tcBorders>
          </w:tcPr>
          <w:p w14:paraId="7AA96E78" w14:textId="723D670B"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End</w:t>
            </w:r>
          </w:p>
        </w:tc>
        <w:tc>
          <w:tcPr>
            <w:tcW w:w="2013" w:type="dxa"/>
            <w:tcBorders>
              <w:top w:val="single" w:sz="4" w:space="0" w:color="auto"/>
            </w:tcBorders>
          </w:tcPr>
          <w:p w14:paraId="6C835328" w14:textId="14029463"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Blue-headed Vireo</w:t>
            </w:r>
          </w:p>
        </w:tc>
        <w:tc>
          <w:tcPr>
            <w:tcW w:w="1356" w:type="dxa"/>
            <w:tcBorders>
              <w:top w:val="single" w:sz="4" w:space="0" w:color="auto"/>
            </w:tcBorders>
          </w:tcPr>
          <w:p w14:paraId="051A201E" w14:textId="28BF3BE1"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8</w:t>
            </w:r>
          </w:p>
        </w:tc>
        <w:tc>
          <w:tcPr>
            <w:tcW w:w="1480" w:type="dxa"/>
            <w:tcBorders>
              <w:top w:val="single" w:sz="4" w:space="0" w:color="auto"/>
            </w:tcBorders>
          </w:tcPr>
          <w:p w14:paraId="564ED8AB" w14:textId="13AD1D72"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34</w:t>
            </w:r>
          </w:p>
        </w:tc>
        <w:tc>
          <w:tcPr>
            <w:tcW w:w="1790" w:type="dxa"/>
            <w:tcBorders>
              <w:top w:val="single" w:sz="4" w:space="0" w:color="auto"/>
            </w:tcBorders>
          </w:tcPr>
          <w:p w14:paraId="29DAF3AF" w14:textId="5BB23DCD"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-36.0</w:t>
            </w:r>
          </w:p>
        </w:tc>
        <w:tc>
          <w:tcPr>
            <w:tcW w:w="2160" w:type="dxa"/>
            <w:tcBorders>
              <w:top w:val="single" w:sz="4" w:space="0" w:color="auto"/>
            </w:tcBorders>
          </w:tcPr>
          <w:p w14:paraId="143CA883" w14:textId="4077F279"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-119.0 – 7.37</w:t>
            </w:r>
          </w:p>
        </w:tc>
      </w:tr>
      <w:tr w:rsidR="00964FB8" w:rsidRPr="00964FB8" w14:paraId="32805563" w14:textId="77777777" w:rsidTr="00E22D73">
        <w:trPr>
          <w:gridAfter w:val="1"/>
          <w:wAfter w:w="12" w:type="dxa"/>
          <w:trHeight w:val="318"/>
          <w:jc w:val="center"/>
        </w:trPr>
        <w:tc>
          <w:tcPr>
            <w:tcW w:w="1276" w:type="dxa"/>
          </w:tcPr>
          <w:p w14:paraId="0536D8EF" w14:textId="77777777" w:rsidR="00964FB8" w:rsidRPr="00964FB8" w:rsidRDefault="00964FB8" w:rsidP="00E22D73">
            <w:pPr>
              <w:rPr>
                <w:rFonts w:ascii="Times New Roman" w:hAnsi="Times New Roman" w:cs="Times New Roman"/>
                <w:b/>
                <w:bCs/>
                <w:sz w:val="22"/>
                <w:szCs w:val="22"/>
              </w:rPr>
            </w:pPr>
          </w:p>
        </w:tc>
        <w:tc>
          <w:tcPr>
            <w:tcW w:w="2013" w:type="dxa"/>
          </w:tcPr>
          <w:p w14:paraId="63DCF994" w14:textId="42034413"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Hermit Thrush</w:t>
            </w:r>
          </w:p>
        </w:tc>
        <w:tc>
          <w:tcPr>
            <w:tcW w:w="1356" w:type="dxa"/>
          </w:tcPr>
          <w:p w14:paraId="2F5F8CB7" w14:textId="7AD3C1D0"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40</w:t>
            </w:r>
          </w:p>
        </w:tc>
        <w:tc>
          <w:tcPr>
            <w:tcW w:w="1480" w:type="dxa"/>
          </w:tcPr>
          <w:p w14:paraId="7FA61C2C" w14:textId="2B0625EC"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334</w:t>
            </w:r>
          </w:p>
        </w:tc>
        <w:tc>
          <w:tcPr>
            <w:tcW w:w="1790" w:type="dxa"/>
          </w:tcPr>
          <w:p w14:paraId="2293C011" w14:textId="5611B9BF"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10.6</w:t>
            </w:r>
          </w:p>
        </w:tc>
        <w:tc>
          <w:tcPr>
            <w:tcW w:w="2160" w:type="dxa"/>
          </w:tcPr>
          <w:p w14:paraId="32604693" w14:textId="53D1D2D3"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-93.6 – 77.5</w:t>
            </w:r>
          </w:p>
        </w:tc>
      </w:tr>
      <w:tr w:rsidR="00964FB8" w:rsidRPr="00964FB8" w14:paraId="1C6B1968" w14:textId="77777777" w:rsidTr="00E22D73">
        <w:trPr>
          <w:gridAfter w:val="1"/>
          <w:wAfter w:w="12" w:type="dxa"/>
          <w:trHeight w:val="318"/>
          <w:jc w:val="center"/>
        </w:trPr>
        <w:tc>
          <w:tcPr>
            <w:tcW w:w="1276" w:type="dxa"/>
          </w:tcPr>
          <w:p w14:paraId="6E247FC8" w14:textId="77777777" w:rsidR="00964FB8" w:rsidRPr="00964FB8" w:rsidRDefault="00964FB8" w:rsidP="00E22D73">
            <w:pPr>
              <w:rPr>
                <w:rFonts w:ascii="Times New Roman" w:hAnsi="Times New Roman" w:cs="Times New Roman"/>
                <w:b/>
                <w:bCs/>
                <w:sz w:val="22"/>
                <w:szCs w:val="22"/>
              </w:rPr>
            </w:pPr>
          </w:p>
        </w:tc>
        <w:tc>
          <w:tcPr>
            <w:tcW w:w="2013" w:type="dxa"/>
          </w:tcPr>
          <w:p w14:paraId="0946FB91" w14:textId="125769E4"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Magnolia Warbler</w:t>
            </w:r>
          </w:p>
        </w:tc>
        <w:tc>
          <w:tcPr>
            <w:tcW w:w="1356" w:type="dxa"/>
          </w:tcPr>
          <w:p w14:paraId="032DB056" w14:textId="25E98BBA"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8</w:t>
            </w:r>
          </w:p>
        </w:tc>
        <w:tc>
          <w:tcPr>
            <w:tcW w:w="1480" w:type="dxa"/>
          </w:tcPr>
          <w:p w14:paraId="0AD291BC" w14:textId="68862F62"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28</w:t>
            </w:r>
          </w:p>
        </w:tc>
        <w:tc>
          <w:tcPr>
            <w:tcW w:w="1790" w:type="dxa"/>
          </w:tcPr>
          <w:p w14:paraId="4B2D9F82" w14:textId="7E92EF14"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3.9</w:t>
            </w:r>
          </w:p>
        </w:tc>
        <w:tc>
          <w:tcPr>
            <w:tcW w:w="2160" w:type="dxa"/>
          </w:tcPr>
          <w:p w14:paraId="1775C74A" w14:textId="3E980086"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-8.2 – 24.7</w:t>
            </w:r>
          </w:p>
        </w:tc>
      </w:tr>
      <w:tr w:rsidR="00964FB8" w:rsidRPr="00964FB8" w14:paraId="6152510E" w14:textId="77777777" w:rsidTr="00E22D73">
        <w:trPr>
          <w:gridAfter w:val="1"/>
          <w:wAfter w:w="12" w:type="dxa"/>
          <w:trHeight w:val="318"/>
          <w:jc w:val="center"/>
        </w:trPr>
        <w:tc>
          <w:tcPr>
            <w:tcW w:w="1276" w:type="dxa"/>
          </w:tcPr>
          <w:p w14:paraId="0A4EFCBE" w14:textId="77777777" w:rsidR="00964FB8" w:rsidRPr="00964FB8" w:rsidRDefault="00964FB8" w:rsidP="00E22D73">
            <w:pPr>
              <w:rPr>
                <w:rFonts w:ascii="Times New Roman" w:hAnsi="Times New Roman" w:cs="Times New Roman"/>
                <w:b/>
                <w:bCs/>
                <w:sz w:val="22"/>
                <w:szCs w:val="22"/>
              </w:rPr>
            </w:pPr>
          </w:p>
        </w:tc>
        <w:tc>
          <w:tcPr>
            <w:tcW w:w="2013" w:type="dxa"/>
          </w:tcPr>
          <w:p w14:paraId="1342BC53" w14:textId="3E861344"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Yellow-rumped Warbler</w:t>
            </w:r>
          </w:p>
        </w:tc>
        <w:tc>
          <w:tcPr>
            <w:tcW w:w="1356" w:type="dxa"/>
          </w:tcPr>
          <w:p w14:paraId="023F7195" w14:textId="42E62EA5"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26</w:t>
            </w:r>
          </w:p>
        </w:tc>
        <w:tc>
          <w:tcPr>
            <w:tcW w:w="1480" w:type="dxa"/>
          </w:tcPr>
          <w:p w14:paraId="56F501CC" w14:textId="5F9A22D9"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164</w:t>
            </w:r>
          </w:p>
        </w:tc>
        <w:tc>
          <w:tcPr>
            <w:tcW w:w="1790" w:type="dxa"/>
          </w:tcPr>
          <w:p w14:paraId="1052D072" w14:textId="4E4C67E2"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4.9</w:t>
            </w:r>
          </w:p>
        </w:tc>
        <w:tc>
          <w:tcPr>
            <w:tcW w:w="2160" w:type="dxa"/>
          </w:tcPr>
          <w:p w14:paraId="08709009" w14:textId="32A26DE3"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-77.9 – 95.1</w:t>
            </w:r>
          </w:p>
        </w:tc>
      </w:tr>
      <w:tr w:rsidR="00964FB8" w:rsidRPr="00964FB8" w14:paraId="74C705AD" w14:textId="77777777" w:rsidTr="00E22D73">
        <w:trPr>
          <w:gridAfter w:val="1"/>
          <w:wAfter w:w="12" w:type="dxa"/>
          <w:trHeight w:val="318"/>
          <w:jc w:val="center"/>
        </w:trPr>
        <w:tc>
          <w:tcPr>
            <w:tcW w:w="1276" w:type="dxa"/>
            <w:tcBorders>
              <w:bottom w:val="single" w:sz="4" w:space="0" w:color="auto"/>
            </w:tcBorders>
          </w:tcPr>
          <w:p w14:paraId="0A434AFE" w14:textId="77777777" w:rsidR="00964FB8" w:rsidRPr="00964FB8" w:rsidRDefault="00964FB8" w:rsidP="00E22D73">
            <w:pPr>
              <w:rPr>
                <w:rFonts w:ascii="Times New Roman" w:hAnsi="Times New Roman" w:cs="Times New Roman"/>
                <w:b/>
                <w:bCs/>
                <w:sz w:val="22"/>
                <w:szCs w:val="22"/>
              </w:rPr>
            </w:pPr>
          </w:p>
        </w:tc>
        <w:tc>
          <w:tcPr>
            <w:tcW w:w="2013" w:type="dxa"/>
            <w:tcBorders>
              <w:bottom w:val="single" w:sz="4" w:space="0" w:color="auto"/>
            </w:tcBorders>
          </w:tcPr>
          <w:p w14:paraId="52A0A334" w14:textId="389DDD76" w:rsidR="00964FB8" w:rsidRPr="00964FB8" w:rsidRDefault="00964FB8" w:rsidP="00E22D73">
            <w:pPr>
              <w:rPr>
                <w:rFonts w:ascii="Times New Roman" w:hAnsi="Times New Roman" w:cs="Times New Roman"/>
                <w:sz w:val="22"/>
                <w:szCs w:val="22"/>
              </w:rPr>
            </w:pPr>
            <w:r w:rsidRPr="00964FB8">
              <w:rPr>
                <w:rFonts w:ascii="Times New Roman" w:hAnsi="Times New Roman" w:cs="Times New Roman"/>
                <w:sz w:val="22"/>
                <w:szCs w:val="22"/>
              </w:rPr>
              <w:t>Song Sparrow</w:t>
            </w:r>
          </w:p>
        </w:tc>
        <w:tc>
          <w:tcPr>
            <w:tcW w:w="1356" w:type="dxa"/>
            <w:tcBorders>
              <w:bottom w:val="single" w:sz="4" w:space="0" w:color="auto"/>
            </w:tcBorders>
          </w:tcPr>
          <w:p w14:paraId="77A1D851" w14:textId="74911828"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13</w:t>
            </w:r>
          </w:p>
        </w:tc>
        <w:tc>
          <w:tcPr>
            <w:tcW w:w="1480" w:type="dxa"/>
            <w:tcBorders>
              <w:bottom w:val="single" w:sz="4" w:space="0" w:color="auto"/>
            </w:tcBorders>
          </w:tcPr>
          <w:p w14:paraId="16F49C75" w14:textId="61B14DB6"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137</w:t>
            </w:r>
          </w:p>
        </w:tc>
        <w:tc>
          <w:tcPr>
            <w:tcW w:w="1790" w:type="dxa"/>
            <w:tcBorders>
              <w:bottom w:val="single" w:sz="4" w:space="0" w:color="auto"/>
            </w:tcBorders>
          </w:tcPr>
          <w:p w14:paraId="4122DFE3" w14:textId="2FC4F004"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17.1</w:t>
            </w:r>
          </w:p>
        </w:tc>
        <w:tc>
          <w:tcPr>
            <w:tcW w:w="2160" w:type="dxa"/>
            <w:tcBorders>
              <w:bottom w:val="single" w:sz="4" w:space="0" w:color="auto"/>
            </w:tcBorders>
          </w:tcPr>
          <w:p w14:paraId="351153C2" w14:textId="57126A2C" w:rsidR="00964FB8" w:rsidRPr="00964FB8" w:rsidRDefault="00F45A4B" w:rsidP="00E22D73">
            <w:pPr>
              <w:jc w:val="center"/>
              <w:rPr>
                <w:rFonts w:ascii="Times New Roman" w:hAnsi="Times New Roman" w:cs="Times New Roman"/>
                <w:sz w:val="22"/>
                <w:szCs w:val="22"/>
              </w:rPr>
            </w:pPr>
            <w:r>
              <w:rPr>
                <w:rFonts w:ascii="Times New Roman" w:hAnsi="Times New Roman" w:cs="Times New Roman"/>
                <w:sz w:val="22"/>
                <w:szCs w:val="22"/>
              </w:rPr>
              <w:t>-88.8 – 177.0</w:t>
            </w:r>
          </w:p>
        </w:tc>
      </w:tr>
    </w:tbl>
    <w:p w14:paraId="0B0A0506" w14:textId="77777777" w:rsidR="00613D2B" w:rsidRDefault="00613D2B" w:rsidP="00B94254">
      <w:pPr>
        <w:rPr>
          <w:rFonts w:ascii="Times New Roman" w:hAnsi="Times New Roman" w:cs="Times New Roman"/>
          <w:b/>
          <w:bCs/>
        </w:rPr>
      </w:pPr>
    </w:p>
    <w:p w14:paraId="41808801" w14:textId="77777777" w:rsidR="00613D2B" w:rsidRDefault="00613D2B" w:rsidP="00B94254">
      <w:pPr>
        <w:rPr>
          <w:rFonts w:ascii="Times New Roman" w:hAnsi="Times New Roman" w:cs="Times New Roman"/>
          <w:b/>
          <w:bCs/>
        </w:rPr>
      </w:pPr>
    </w:p>
    <w:p w14:paraId="2415679D" w14:textId="77777777" w:rsidR="00613D2B" w:rsidRDefault="00613D2B" w:rsidP="00B94254">
      <w:pPr>
        <w:rPr>
          <w:rFonts w:ascii="Times New Roman" w:hAnsi="Times New Roman" w:cs="Times New Roman"/>
          <w:b/>
          <w:bCs/>
        </w:rPr>
      </w:pPr>
    </w:p>
    <w:p w14:paraId="5353DD89" w14:textId="77777777" w:rsidR="00613D2B" w:rsidRDefault="00613D2B" w:rsidP="00B94254">
      <w:pPr>
        <w:rPr>
          <w:rFonts w:ascii="Times New Roman" w:hAnsi="Times New Roman" w:cs="Times New Roman"/>
          <w:b/>
          <w:bCs/>
        </w:rPr>
      </w:pPr>
    </w:p>
    <w:p w14:paraId="26FC19B4" w14:textId="77777777" w:rsidR="00613D2B" w:rsidRDefault="00613D2B" w:rsidP="00B94254">
      <w:pPr>
        <w:rPr>
          <w:rFonts w:ascii="Times New Roman" w:hAnsi="Times New Roman" w:cs="Times New Roman"/>
          <w:b/>
          <w:bCs/>
        </w:rPr>
      </w:pPr>
    </w:p>
    <w:p w14:paraId="4274FA6B" w14:textId="77777777" w:rsidR="00613D2B" w:rsidRDefault="00613D2B" w:rsidP="00B94254">
      <w:pPr>
        <w:rPr>
          <w:rFonts w:ascii="Times New Roman" w:hAnsi="Times New Roman" w:cs="Times New Roman"/>
          <w:b/>
          <w:bCs/>
        </w:rPr>
      </w:pPr>
    </w:p>
    <w:p w14:paraId="4D044E27" w14:textId="77777777" w:rsidR="00613D2B" w:rsidRDefault="00613D2B" w:rsidP="00B94254">
      <w:pPr>
        <w:rPr>
          <w:rFonts w:ascii="Times New Roman" w:hAnsi="Times New Roman" w:cs="Times New Roman"/>
          <w:b/>
          <w:bCs/>
        </w:rPr>
      </w:pPr>
    </w:p>
    <w:p w14:paraId="109F765D" w14:textId="77777777" w:rsidR="00613D2B" w:rsidRDefault="00613D2B" w:rsidP="00B94254">
      <w:pPr>
        <w:rPr>
          <w:rFonts w:ascii="Times New Roman" w:hAnsi="Times New Roman" w:cs="Times New Roman"/>
          <w:b/>
          <w:bCs/>
        </w:rPr>
      </w:pPr>
    </w:p>
    <w:p w14:paraId="3D1ECCC8" w14:textId="77777777" w:rsidR="00613D2B" w:rsidRDefault="00613D2B" w:rsidP="00B94254">
      <w:pPr>
        <w:rPr>
          <w:rFonts w:ascii="Times New Roman" w:hAnsi="Times New Roman" w:cs="Times New Roman"/>
          <w:b/>
          <w:bCs/>
        </w:rPr>
      </w:pPr>
    </w:p>
    <w:p w14:paraId="5A29D76E" w14:textId="77777777" w:rsidR="00613D2B" w:rsidRPr="009659A8" w:rsidRDefault="00613D2B" w:rsidP="00B94254">
      <w:pPr>
        <w:rPr>
          <w:rFonts w:ascii="Times New Roman" w:hAnsi="Times New Roman" w:cs="Times New Roman"/>
          <w:b/>
          <w:bCs/>
        </w:rPr>
      </w:pPr>
    </w:p>
    <w:p w14:paraId="48B16C1F" w14:textId="77777777" w:rsidR="00B94254" w:rsidRDefault="00B94254" w:rsidP="002370BC">
      <w:pPr>
        <w:ind w:firstLine="720"/>
        <w:rPr>
          <w:rFonts w:ascii="Times New Roman" w:eastAsia="Calibri" w:hAnsi="Times New Roman" w:cs="Times New Roman"/>
          <w:lang w:val="en-CA"/>
        </w:rPr>
      </w:pPr>
    </w:p>
    <w:p w14:paraId="17EEE917" w14:textId="77777777" w:rsidR="00832665" w:rsidRPr="002370BC" w:rsidRDefault="00832665">
      <w:pPr>
        <w:rPr>
          <w:rFonts w:ascii="Times New Roman" w:hAnsi="Times New Roman" w:cs="Times New Roman"/>
          <w:lang w:val="en-CA"/>
        </w:rPr>
      </w:pPr>
    </w:p>
    <w:p w14:paraId="589D99F6" w14:textId="77777777" w:rsidR="009659A8" w:rsidRDefault="009659A8">
      <w:pPr>
        <w:rPr>
          <w:rFonts w:ascii="Times New Roman" w:hAnsi="Times New Roman" w:cs="Times New Roman"/>
        </w:rPr>
      </w:pPr>
    </w:p>
    <w:p w14:paraId="6B41042C" w14:textId="59E21AFA" w:rsidR="009659A8" w:rsidRDefault="00B94254">
      <w:pPr>
        <w:rPr>
          <w:rFonts w:ascii="Times New Roman" w:hAnsi="Times New Roman" w:cs="Times New Roman"/>
        </w:rPr>
      </w:pPr>
      <w:r>
        <w:rPr>
          <w:rFonts w:ascii="Times New Roman" w:hAnsi="Times New Roman" w:cs="Times New Roman"/>
          <w:noProof/>
        </w:rPr>
        <w:drawing>
          <wp:inline distT="0" distB="0" distL="0" distR="0" wp14:anchorId="5C5D0009" wp14:editId="55AACFF5">
            <wp:extent cx="4178300" cy="3343533"/>
            <wp:effectExtent l="0" t="0" r="0" b="9525"/>
            <wp:docPr id="909988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83408" cy="3347620"/>
                    </a:xfrm>
                    <a:prstGeom prst="rect">
                      <a:avLst/>
                    </a:prstGeom>
                    <a:noFill/>
                    <a:ln>
                      <a:noFill/>
                    </a:ln>
                  </pic:spPr>
                </pic:pic>
              </a:graphicData>
            </a:graphic>
          </wp:inline>
        </w:drawing>
      </w:r>
    </w:p>
    <w:p w14:paraId="392C1EEF" w14:textId="48AB5C34" w:rsidR="00B94254" w:rsidRDefault="00B94254" w:rsidP="00B94254">
      <w:pPr>
        <w:spacing w:line="480" w:lineRule="auto"/>
        <w:rPr>
          <w:rFonts w:ascii="Times New Roman" w:eastAsia="Times New Roman" w:hAnsi="Times New Roman" w:cs="Times New Roman"/>
        </w:rPr>
      </w:pPr>
      <w:r w:rsidRPr="00B94254">
        <w:rPr>
          <w:rFonts w:ascii="Times New Roman" w:hAnsi="Times New Roman" w:cs="Times New Roman"/>
          <w:b/>
          <w:bCs/>
        </w:rPr>
        <w:t>Figure S</w:t>
      </w:r>
      <w:r w:rsidR="003C615A">
        <w:rPr>
          <w:rFonts w:ascii="Times New Roman" w:hAnsi="Times New Roman" w:cs="Times New Roman"/>
          <w:b/>
          <w:bCs/>
        </w:rPr>
        <w:t>1</w:t>
      </w:r>
      <w:r w:rsidRPr="00B94254">
        <w:rPr>
          <w:rFonts w:ascii="Times New Roman" w:hAnsi="Times New Roman" w:cs="Times New Roman"/>
          <w:b/>
          <w:bCs/>
        </w:rPr>
        <w:t>.</w:t>
      </w:r>
      <w:r>
        <w:rPr>
          <w:rFonts w:ascii="Times New Roman" w:hAnsi="Times New Roman" w:cs="Times New Roman"/>
        </w:rPr>
        <w:t xml:space="preserve"> Comparison of straightness index calculated from telemetry tracked individuals </w:t>
      </w:r>
      <w:r>
        <w:rPr>
          <w:rFonts w:ascii="Times New Roman" w:eastAsia="Times New Roman" w:hAnsi="Times New Roman" w:cs="Times New Roman"/>
        </w:rPr>
        <w:t xml:space="preserve">during the 2022-2023 fall migratory period in Montreal, Quebec, Canada. (BHVI = Blue-headed Vireo; HETH = Hermit Thrush; MAWA = Magnolia Warbler; MYWA = Yellow-rumped (Myrtle) Warbler; SOSP = Song Sparrow). </w:t>
      </w:r>
    </w:p>
    <w:p w14:paraId="6731598E" w14:textId="77777777" w:rsidR="00800A16" w:rsidRDefault="00800A16" w:rsidP="00B94254">
      <w:pPr>
        <w:spacing w:line="480" w:lineRule="auto"/>
        <w:rPr>
          <w:rFonts w:ascii="Times New Roman" w:eastAsia="Times New Roman" w:hAnsi="Times New Roman" w:cs="Times New Roman"/>
        </w:rPr>
      </w:pPr>
    </w:p>
    <w:p w14:paraId="655568D1" w14:textId="77777777" w:rsidR="00800A16" w:rsidRDefault="00800A16" w:rsidP="00B94254">
      <w:pPr>
        <w:spacing w:line="480" w:lineRule="auto"/>
        <w:rPr>
          <w:rFonts w:ascii="Times New Roman" w:eastAsia="Times New Roman" w:hAnsi="Times New Roman" w:cs="Times New Roman"/>
        </w:rPr>
      </w:pPr>
    </w:p>
    <w:p w14:paraId="407F6014" w14:textId="77777777" w:rsidR="00800A16" w:rsidRDefault="00800A16" w:rsidP="00B94254">
      <w:pPr>
        <w:spacing w:line="480" w:lineRule="auto"/>
        <w:rPr>
          <w:rFonts w:ascii="Times New Roman" w:eastAsia="Times New Roman" w:hAnsi="Times New Roman" w:cs="Times New Roman"/>
        </w:rPr>
      </w:pPr>
    </w:p>
    <w:p w14:paraId="1932C3BD" w14:textId="77777777" w:rsidR="00800A16" w:rsidRDefault="00800A16" w:rsidP="00B94254">
      <w:pPr>
        <w:spacing w:line="480" w:lineRule="auto"/>
        <w:rPr>
          <w:rFonts w:ascii="Times New Roman" w:eastAsia="Times New Roman" w:hAnsi="Times New Roman" w:cs="Times New Roman"/>
        </w:rPr>
      </w:pPr>
    </w:p>
    <w:p w14:paraId="53F3A83E" w14:textId="77777777" w:rsidR="00800A16" w:rsidRDefault="00800A16" w:rsidP="00B94254">
      <w:pPr>
        <w:spacing w:line="480" w:lineRule="auto"/>
        <w:rPr>
          <w:rFonts w:ascii="Times New Roman" w:eastAsia="Times New Roman" w:hAnsi="Times New Roman" w:cs="Times New Roman"/>
        </w:rPr>
      </w:pPr>
    </w:p>
    <w:p w14:paraId="61CBF255" w14:textId="1A6F582C" w:rsidR="00800A16" w:rsidRDefault="00800A16" w:rsidP="00B94254">
      <w:pPr>
        <w:spacing w:line="480" w:lineRule="auto"/>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B82E70C" wp14:editId="3EBF9E6B">
            <wp:extent cx="5245100" cy="4197201"/>
            <wp:effectExtent l="0" t="0" r="0" b="0"/>
            <wp:docPr id="1337419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0158" cy="4201248"/>
                    </a:xfrm>
                    <a:prstGeom prst="rect">
                      <a:avLst/>
                    </a:prstGeom>
                    <a:noFill/>
                    <a:ln>
                      <a:noFill/>
                    </a:ln>
                  </pic:spPr>
                </pic:pic>
              </a:graphicData>
            </a:graphic>
          </wp:inline>
        </w:drawing>
      </w:r>
    </w:p>
    <w:p w14:paraId="3B4FDB73" w14:textId="77777777" w:rsidR="002133F9" w:rsidRDefault="002133F9" w:rsidP="00B94254">
      <w:pPr>
        <w:spacing w:line="480" w:lineRule="auto"/>
        <w:rPr>
          <w:rFonts w:ascii="Times New Roman" w:eastAsia="Times New Roman" w:hAnsi="Times New Roman" w:cs="Times New Roman"/>
        </w:rPr>
      </w:pPr>
    </w:p>
    <w:p w14:paraId="2DBD8925" w14:textId="37946650" w:rsidR="00800A16" w:rsidRDefault="00800A16" w:rsidP="00800A16">
      <w:pPr>
        <w:spacing w:line="480" w:lineRule="auto"/>
        <w:rPr>
          <w:rFonts w:ascii="Times New Roman" w:eastAsia="Times New Roman" w:hAnsi="Times New Roman" w:cs="Times New Roman"/>
        </w:rPr>
      </w:pPr>
      <w:r w:rsidRPr="00B94254">
        <w:rPr>
          <w:rFonts w:ascii="Times New Roman" w:hAnsi="Times New Roman" w:cs="Times New Roman"/>
          <w:b/>
          <w:bCs/>
        </w:rPr>
        <w:t>Figure S</w:t>
      </w:r>
      <w:r w:rsidR="003C615A">
        <w:rPr>
          <w:rFonts w:ascii="Times New Roman" w:hAnsi="Times New Roman" w:cs="Times New Roman"/>
          <w:b/>
          <w:bCs/>
        </w:rPr>
        <w:t>2</w:t>
      </w:r>
      <w:r w:rsidRPr="00B94254">
        <w:rPr>
          <w:rFonts w:ascii="Times New Roman" w:hAnsi="Times New Roman" w:cs="Times New Roman"/>
          <w:b/>
          <w:bCs/>
        </w:rPr>
        <w:t>.</w:t>
      </w:r>
      <w:r>
        <w:rPr>
          <w:rFonts w:ascii="Times New Roman" w:hAnsi="Times New Roman" w:cs="Times New Roman"/>
        </w:rPr>
        <w:t xml:space="preserve"> Comparison of median step length calculated from telemetry tracked individuals </w:t>
      </w:r>
      <w:r>
        <w:rPr>
          <w:rFonts w:ascii="Times New Roman" w:eastAsia="Times New Roman" w:hAnsi="Times New Roman" w:cs="Times New Roman"/>
        </w:rPr>
        <w:t xml:space="preserve">during the 2022-2023 fall migratory period in Montreal, Quebec, Canada. (BHVI = Blue-headed Vireo; HETH = Hermit Thrush; MAWA = Magnolia Warbler; MYWA = Yellow-rumped (Myrtle) Warbler; SOSP = Song Sparrow). </w:t>
      </w:r>
    </w:p>
    <w:p w14:paraId="58DF8411" w14:textId="77777777" w:rsidR="002133F9" w:rsidRDefault="002133F9" w:rsidP="00B94254">
      <w:pPr>
        <w:spacing w:line="480" w:lineRule="auto"/>
        <w:rPr>
          <w:rFonts w:ascii="Times New Roman" w:eastAsia="Times New Roman" w:hAnsi="Times New Roman" w:cs="Times New Roman"/>
        </w:rPr>
      </w:pPr>
    </w:p>
    <w:p w14:paraId="70C6CA31" w14:textId="77777777" w:rsidR="00B94254" w:rsidRDefault="00B94254" w:rsidP="00B94254">
      <w:pPr>
        <w:spacing w:line="480" w:lineRule="auto"/>
        <w:rPr>
          <w:rFonts w:ascii="Times New Roman" w:eastAsia="Times New Roman" w:hAnsi="Times New Roman" w:cs="Times New Roman"/>
        </w:rPr>
      </w:pPr>
    </w:p>
    <w:p w14:paraId="795345BA" w14:textId="77777777" w:rsidR="00B94254" w:rsidRDefault="00B94254" w:rsidP="00B94254">
      <w:pPr>
        <w:spacing w:line="480" w:lineRule="auto"/>
        <w:rPr>
          <w:rFonts w:ascii="Times New Roman" w:eastAsia="Times New Roman" w:hAnsi="Times New Roman" w:cs="Times New Roman"/>
        </w:rPr>
      </w:pPr>
    </w:p>
    <w:p w14:paraId="42C5BE5D" w14:textId="77777777" w:rsidR="00B94254" w:rsidRDefault="00B94254" w:rsidP="00B94254">
      <w:pPr>
        <w:spacing w:line="480" w:lineRule="auto"/>
        <w:rPr>
          <w:rFonts w:ascii="Times New Roman" w:eastAsia="Times New Roman" w:hAnsi="Times New Roman" w:cs="Times New Roman"/>
        </w:rPr>
      </w:pPr>
    </w:p>
    <w:p w14:paraId="17C2BB61" w14:textId="1DC75131" w:rsidR="00B94254" w:rsidRDefault="00B94254" w:rsidP="00B94254">
      <w:pPr>
        <w:spacing w:line="480" w:lineRule="auto"/>
        <w:rPr>
          <w:rFonts w:ascii="Times New Roman" w:eastAsia="Times New Roman" w:hAnsi="Times New Roman" w:cs="Times New Roman"/>
          <w:i/>
        </w:rPr>
      </w:pPr>
      <w:r>
        <w:rPr>
          <w:rFonts w:ascii="Times New Roman" w:eastAsia="Times New Roman" w:hAnsi="Times New Roman" w:cs="Times New Roman"/>
          <w:noProof/>
        </w:rPr>
        <w:lastRenderedPageBreak/>
        <w:drawing>
          <wp:inline distT="0" distB="0" distL="0" distR="0" wp14:anchorId="38D02793" wp14:editId="19DD30EE">
            <wp:extent cx="5943600" cy="4756150"/>
            <wp:effectExtent l="0" t="0" r="0" b="6350"/>
            <wp:docPr id="2028860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2757A5E5" w14:textId="6F4CC947" w:rsidR="00B94254" w:rsidRDefault="00B94254" w:rsidP="00C11D79">
      <w:pPr>
        <w:spacing w:line="480" w:lineRule="auto"/>
        <w:rPr>
          <w:rFonts w:ascii="Times New Roman" w:eastAsia="Times New Roman" w:hAnsi="Times New Roman" w:cs="Times New Roman"/>
        </w:rPr>
      </w:pPr>
      <w:r w:rsidRPr="003C615A">
        <w:rPr>
          <w:rFonts w:ascii="Times New Roman" w:hAnsi="Times New Roman" w:cs="Times New Roman"/>
          <w:b/>
          <w:bCs/>
        </w:rPr>
        <w:t>Figure S</w:t>
      </w:r>
      <w:r w:rsidR="003C615A" w:rsidRPr="003C615A">
        <w:rPr>
          <w:rFonts w:ascii="Times New Roman" w:hAnsi="Times New Roman" w:cs="Times New Roman"/>
          <w:b/>
          <w:bCs/>
        </w:rPr>
        <w:t>3</w:t>
      </w:r>
      <w:r w:rsidRPr="003C615A">
        <w:rPr>
          <w:rFonts w:ascii="Times New Roman" w:hAnsi="Times New Roman" w:cs="Times New Roman"/>
          <w:b/>
          <w:bCs/>
        </w:rPr>
        <w:t xml:space="preserve">. </w:t>
      </w:r>
      <w:r w:rsidRPr="003C615A">
        <w:rPr>
          <w:rFonts w:ascii="Times New Roman" w:hAnsi="Times New Roman" w:cs="Times New Roman"/>
        </w:rPr>
        <w:t xml:space="preserve">Predicted activity onset (minutes relative to sunrise) as a function of days to departure from stopover site based on Motus tagged individuals and changepoint analysis </w:t>
      </w:r>
      <w:r w:rsidRPr="003C615A">
        <w:rPr>
          <w:rFonts w:ascii="Times New Roman" w:eastAsia="Times New Roman" w:hAnsi="Times New Roman" w:cs="Times New Roman"/>
        </w:rPr>
        <w:t>during the 2022-2023 fall migratory period in Montreal, Quebec, Canada using GAMMs. Blue lines indicate a significant relationship with negative values of activity onset being activity starting before sunrise and positive values of activity onset being activity starting after sunrise.</w:t>
      </w:r>
      <w:r>
        <w:rPr>
          <w:rFonts w:ascii="Times New Roman" w:eastAsia="Times New Roman" w:hAnsi="Times New Roman" w:cs="Times New Roman"/>
        </w:rPr>
        <w:t xml:space="preserve"> </w:t>
      </w:r>
    </w:p>
    <w:p w14:paraId="3DF14E1C" w14:textId="77777777" w:rsidR="002133F9" w:rsidRDefault="002133F9">
      <w:pPr>
        <w:rPr>
          <w:rFonts w:ascii="Times New Roman" w:eastAsia="Times New Roman" w:hAnsi="Times New Roman" w:cs="Times New Roman"/>
        </w:rPr>
      </w:pPr>
    </w:p>
    <w:p w14:paraId="7F042EF1" w14:textId="77777777" w:rsidR="002133F9" w:rsidRPr="005B11B0" w:rsidRDefault="002133F9" w:rsidP="002133F9">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711F5EE" wp14:editId="371492B7">
            <wp:extent cx="3475697" cy="2781300"/>
            <wp:effectExtent l="0" t="0" r="0" b="0"/>
            <wp:docPr id="1966922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6452" cy="2781904"/>
                    </a:xfrm>
                    <a:prstGeom prst="rect">
                      <a:avLst/>
                    </a:prstGeom>
                    <a:noFill/>
                    <a:ln>
                      <a:noFill/>
                    </a:ln>
                  </pic:spPr>
                </pic:pic>
              </a:graphicData>
            </a:graphic>
          </wp:inline>
        </w:drawing>
      </w:r>
    </w:p>
    <w:p w14:paraId="5E89C9DC" w14:textId="7E066343" w:rsidR="002133F9" w:rsidRDefault="002133F9" w:rsidP="002133F9">
      <w:pPr>
        <w:spacing w:line="480" w:lineRule="auto"/>
        <w:rPr>
          <w:rFonts w:ascii="Times New Roman" w:eastAsia="Times New Roman" w:hAnsi="Times New Roman" w:cs="Times New Roman"/>
          <w:i/>
        </w:rPr>
      </w:pPr>
      <w:r w:rsidRPr="003C615A">
        <w:rPr>
          <w:rFonts w:ascii="Times New Roman" w:eastAsia="Times New Roman" w:hAnsi="Times New Roman" w:cs="Times New Roman"/>
          <w:b/>
        </w:rPr>
        <w:t>Figure S</w:t>
      </w:r>
      <w:r w:rsidR="003C615A" w:rsidRPr="003C615A">
        <w:rPr>
          <w:rFonts w:ascii="Times New Roman" w:eastAsia="Times New Roman" w:hAnsi="Times New Roman" w:cs="Times New Roman"/>
          <w:b/>
        </w:rPr>
        <w:t>4</w:t>
      </w:r>
      <w:r w:rsidRPr="003C615A">
        <w:rPr>
          <w:rFonts w:ascii="Times New Roman" w:eastAsia="Times New Roman" w:hAnsi="Times New Roman" w:cs="Times New Roman"/>
          <w:b/>
        </w:rPr>
        <w:t xml:space="preserve">. </w:t>
      </w:r>
      <w:r w:rsidRPr="003C615A">
        <w:rPr>
          <w:rFonts w:ascii="Times New Roman" w:eastAsia="Times New Roman" w:hAnsi="Times New Roman" w:cs="Times New Roman"/>
        </w:rPr>
        <w:t xml:space="preserve"> Predicted</w:t>
      </w:r>
      <w:r w:rsidRPr="00676F08">
        <w:rPr>
          <w:rFonts w:ascii="Times New Roman" w:eastAsia="Times New Roman" w:hAnsi="Times New Roman" w:cs="Times New Roman"/>
        </w:rPr>
        <w:t xml:space="preserve"> </w:t>
      </w:r>
      <w:r>
        <w:rPr>
          <w:rFonts w:ascii="Times New Roman" w:eastAsia="Times New Roman" w:hAnsi="Times New Roman" w:cs="Times New Roman"/>
        </w:rPr>
        <w:t>activity onset (minutes relative to sunrise) as a function of seasonality (day of year) for migratory birds during the 2022-2023 fall stopover period in Montreal, Quebec, Canada, using GAMMs. Increase in activity onset means later morning activity starts.</w:t>
      </w:r>
    </w:p>
    <w:p w14:paraId="71F92B6F" w14:textId="77777777" w:rsidR="002133F9" w:rsidRDefault="002133F9">
      <w:pPr>
        <w:rPr>
          <w:rFonts w:ascii="Times New Roman" w:hAnsi="Times New Roman" w:cs="Times New Roman"/>
        </w:rPr>
      </w:pPr>
    </w:p>
    <w:p w14:paraId="130FCC91" w14:textId="38A74FCD" w:rsidR="00C937F8" w:rsidRDefault="00C937F8">
      <w:pPr>
        <w:rPr>
          <w:rFonts w:ascii="Times New Roman" w:hAnsi="Times New Roman" w:cs="Times New Roman"/>
        </w:rPr>
      </w:pPr>
      <w:r>
        <w:rPr>
          <w:noProof/>
        </w:rPr>
        <w:lastRenderedPageBreak/>
        <w:drawing>
          <wp:inline distT="0" distB="0" distL="0" distR="0" wp14:anchorId="7939DC17" wp14:editId="0A4FC3E7">
            <wp:extent cx="5943600" cy="4754880"/>
            <wp:effectExtent l="0" t="0" r="0" b="7620"/>
            <wp:docPr id="10805985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708B06CB" w14:textId="77777777" w:rsidR="00C937F8" w:rsidRDefault="00C937F8">
      <w:pPr>
        <w:rPr>
          <w:rFonts w:ascii="Times New Roman" w:hAnsi="Times New Roman" w:cs="Times New Roman"/>
        </w:rPr>
      </w:pPr>
    </w:p>
    <w:p w14:paraId="0BF6BA9F" w14:textId="07FB7215" w:rsidR="00C937F8" w:rsidRDefault="00C937F8" w:rsidP="00C11D79">
      <w:pPr>
        <w:spacing w:line="480" w:lineRule="auto"/>
        <w:rPr>
          <w:rFonts w:ascii="Times New Roman" w:eastAsia="Times New Roman" w:hAnsi="Times New Roman" w:cs="Times New Roman"/>
        </w:rPr>
      </w:pPr>
      <w:r w:rsidRPr="005410AD">
        <w:rPr>
          <w:rFonts w:ascii="Times New Roman" w:hAnsi="Times New Roman" w:cs="Times New Roman"/>
          <w:b/>
          <w:bCs/>
        </w:rPr>
        <w:t>Figure S</w:t>
      </w:r>
      <w:r w:rsidR="005410AD" w:rsidRPr="005410AD">
        <w:rPr>
          <w:rFonts w:ascii="Times New Roman" w:hAnsi="Times New Roman" w:cs="Times New Roman"/>
          <w:b/>
          <w:bCs/>
        </w:rPr>
        <w:t>5</w:t>
      </w:r>
      <w:r w:rsidRPr="005410AD">
        <w:rPr>
          <w:rFonts w:ascii="Times New Roman" w:hAnsi="Times New Roman" w:cs="Times New Roman"/>
          <w:b/>
          <w:bCs/>
        </w:rPr>
        <w:t xml:space="preserve">. </w:t>
      </w:r>
      <w:r w:rsidRPr="005410AD">
        <w:rPr>
          <w:rFonts w:ascii="Times New Roman" w:hAnsi="Times New Roman" w:cs="Times New Roman"/>
        </w:rPr>
        <w:t>Predicted</w:t>
      </w:r>
      <w:r>
        <w:rPr>
          <w:rFonts w:ascii="Times New Roman" w:hAnsi="Times New Roman" w:cs="Times New Roman"/>
        </w:rPr>
        <w:t xml:space="preserve"> activity end (minutes relative to sunset) as a function of days to departure from stopover site based on Motus tagged individuals and changepoint analysis </w:t>
      </w:r>
      <w:r>
        <w:rPr>
          <w:rFonts w:ascii="Times New Roman" w:eastAsia="Times New Roman" w:hAnsi="Times New Roman" w:cs="Times New Roman"/>
        </w:rPr>
        <w:t xml:space="preserve">during the 2022-2023 fall migratory period in Montreal, Quebec, Canada using GAMMs. Blue lines indicate a significant relationship with negative values </w:t>
      </w:r>
      <w:r w:rsidR="005410AD">
        <w:rPr>
          <w:rFonts w:ascii="Times New Roman" w:eastAsia="Times New Roman" w:hAnsi="Times New Roman" w:cs="Times New Roman"/>
        </w:rPr>
        <w:t>being activity</w:t>
      </w:r>
      <w:r>
        <w:rPr>
          <w:rFonts w:ascii="Times New Roman" w:eastAsia="Times New Roman" w:hAnsi="Times New Roman" w:cs="Times New Roman"/>
        </w:rPr>
        <w:t xml:space="preserve"> ending before sunset and positive values being activity ending after sunset. </w:t>
      </w:r>
    </w:p>
    <w:p w14:paraId="698947CC" w14:textId="77777777" w:rsidR="00305303" w:rsidRDefault="00305303" w:rsidP="00C937F8">
      <w:pPr>
        <w:rPr>
          <w:rFonts w:ascii="Times New Roman" w:eastAsia="Times New Roman" w:hAnsi="Times New Roman" w:cs="Times New Roman"/>
        </w:rPr>
      </w:pPr>
    </w:p>
    <w:p w14:paraId="1E2BF600" w14:textId="77777777" w:rsidR="00305303" w:rsidRDefault="00305303" w:rsidP="00C937F8">
      <w:pPr>
        <w:rPr>
          <w:rFonts w:ascii="Times New Roman" w:eastAsia="Times New Roman" w:hAnsi="Times New Roman" w:cs="Times New Roman"/>
        </w:rPr>
      </w:pPr>
    </w:p>
    <w:p w14:paraId="01283EB8" w14:textId="77777777" w:rsidR="00305303" w:rsidRDefault="00305303" w:rsidP="00C937F8">
      <w:pPr>
        <w:rPr>
          <w:rFonts w:ascii="Times New Roman" w:eastAsia="Times New Roman" w:hAnsi="Times New Roman" w:cs="Times New Roman"/>
        </w:rPr>
      </w:pPr>
    </w:p>
    <w:p w14:paraId="5423EFF6" w14:textId="77777777" w:rsidR="00305303" w:rsidRDefault="00305303" w:rsidP="00C937F8">
      <w:pPr>
        <w:rPr>
          <w:rFonts w:ascii="Times New Roman" w:eastAsia="Times New Roman" w:hAnsi="Times New Roman" w:cs="Times New Roman"/>
        </w:rPr>
      </w:pPr>
    </w:p>
    <w:p w14:paraId="464E210C" w14:textId="77777777" w:rsidR="00305303" w:rsidRDefault="00305303" w:rsidP="00C937F8">
      <w:pPr>
        <w:rPr>
          <w:rFonts w:ascii="Times New Roman" w:eastAsia="Times New Roman" w:hAnsi="Times New Roman" w:cs="Times New Roman"/>
        </w:rPr>
      </w:pPr>
    </w:p>
    <w:p w14:paraId="1B66D3B9" w14:textId="77777777" w:rsidR="00305303" w:rsidRDefault="00305303" w:rsidP="00C937F8">
      <w:pPr>
        <w:rPr>
          <w:rFonts w:ascii="Times New Roman" w:eastAsia="Times New Roman" w:hAnsi="Times New Roman" w:cs="Times New Roman"/>
        </w:rPr>
      </w:pPr>
    </w:p>
    <w:p w14:paraId="5712A7B2" w14:textId="77777777" w:rsidR="00305303" w:rsidRDefault="00305303" w:rsidP="00C937F8">
      <w:pPr>
        <w:rPr>
          <w:rFonts w:ascii="Times New Roman" w:eastAsia="Times New Roman" w:hAnsi="Times New Roman" w:cs="Times New Roman"/>
        </w:rPr>
      </w:pPr>
    </w:p>
    <w:p w14:paraId="160768BB" w14:textId="319D11F6" w:rsidR="00305303" w:rsidRDefault="00305303" w:rsidP="00C937F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2185356" wp14:editId="13767B82">
            <wp:extent cx="5943600" cy="4756150"/>
            <wp:effectExtent l="0" t="0" r="0" b="6350"/>
            <wp:docPr id="632301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756150"/>
                    </a:xfrm>
                    <a:prstGeom prst="rect">
                      <a:avLst/>
                    </a:prstGeom>
                    <a:noFill/>
                    <a:ln>
                      <a:noFill/>
                    </a:ln>
                  </pic:spPr>
                </pic:pic>
              </a:graphicData>
            </a:graphic>
          </wp:inline>
        </w:drawing>
      </w:r>
    </w:p>
    <w:p w14:paraId="6EE231D5" w14:textId="5D81AFA9" w:rsidR="00305303" w:rsidRDefault="00305303" w:rsidP="00305303">
      <w:pPr>
        <w:spacing w:line="480" w:lineRule="auto"/>
        <w:rPr>
          <w:rFonts w:ascii="Times New Roman" w:eastAsia="Times New Roman" w:hAnsi="Times New Roman" w:cs="Times New Roman"/>
        </w:rPr>
      </w:pPr>
      <w:r w:rsidRPr="001526C0">
        <w:rPr>
          <w:rFonts w:ascii="Times New Roman" w:hAnsi="Times New Roman" w:cs="Times New Roman"/>
          <w:b/>
          <w:bCs/>
        </w:rPr>
        <w:t>Figure S</w:t>
      </w:r>
      <w:r w:rsidR="001526C0" w:rsidRPr="001526C0">
        <w:rPr>
          <w:rFonts w:ascii="Times New Roman" w:hAnsi="Times New Roman" w:cs="Times New Roman"/>
          <w:b/>
          <w:bCs/>
        </w:rPr>
        <w:t>6</w:t>
      </w:r>
      <w:r w:rsidRPr="001526C0">
        <w:rPr>
          <w:rFonts w:ascii="Times New Roman" w:hAnsi="Times New Roman" w:cs="Times New Roman"/>
          <w:b/>
          <w:bCs/>
        </w:rPr>
        <w:t>.</w:t>
      </w:r>
      <w:r w:rsidRPr="001526C0">
        <w:rPr>
          <w:rFonts w:ascii="Times New Roman" w:hAnsi="Times New Roman" w:cs="Times New Roman"/>
        </w:rPr>
        <w:t xml:space="preserve"> Predicted</w:t>
      </w:r>
      <w:r>
        <w:rPr>
          <w:rFonts w:ascii="Times New Roman" w:hAnsi="Times New Roman" w:cs="Times New Roman"/>
        </w:rPr>
        <w:t xml:space="preserve"> use probabilities of habitat covariates from general additive models (GAMs) of resource selection functions for Motus-tagged Blue-headed </w:t>
      </w:r>
      <w:proofErr w:type="spellStart"/>
      <w:r>
        <w:rPr>
          <w:rFonts w:ascii="Times New Roman" w:hAnsi="Times New Roman" w:cs="Times New Roman"/>
        </w:rPr>
        <w:t>Vieros</w:t>
      </w:r>
      <w:proofErr w:type="spellEnd"/>
      <w:r>
        <w:rPr>
          <w:rFonts w:ascii="Times New Roman" w:hAnsi="Times New Roman" w:cs="Times New Roman"/>
        </w:rPr>
        <w:t xml:space="preserve"> during the </w:t>
      </w:r>
      <w:r>
        <w:rPr>
          <w:rFonts w:ascii="Times New Roman" w:eastAsia="Times New Roman" w:hAnsi="Times New Roman" w:cs="Times New Roman"/>
        </w:rPr>
        <w:t>2022-2023 fall stopover period in Montreal, Quebec, Canada. Blue lines and 95% confidence intervals show statistically significant relationships (α = 0.05); grey lines and 95% confidence intervals show non-statistically significant relationships.</w:t>
      </w:r>
    </w:p>
    <w:p w14:paraId="0B3A8A3A" w14:textId="77777777" w:rsidR="00C11D79" w:rsidRDefault="00C11D79" w:rsidP="00305303">
      <w:pPr>
        <w:spacing w:line="480" w:lineRule="auto"/>
        <w:rPr>
          <w:rFonts w:ascii="Times New Roman" w:eastAsia="Times New Roman" w:hAnsi="Times New Roman" w:cs="Times New Roman"/>
        </w:rPr>
      </w:pPr>
    </w:p>
    <w:p w14:paraId="27EF408A" w14:textId="32FDD759" w:rsidR="00C11D79" w:rsidRPr="00C11D79" w:rsidRDefault="00C11D79" w:rsidP="00C11D79">
      <w:pPr>
        <w:spacing w:line="480" w:lineRule="auto"/>
        <w:rPr>
          <w:rFonts w:ascii="Times New Roman" w:hAnsi="Times New Roman" w:cs="Times New Roman"/>
          <w:b/>
          <w:bCs/>
        </w:rPr>
      </w:pPr>
      <w:r w:rsidRPr="00C11D79">
        <w:rPr>
          <w:rFonts w:ascii="Times New Roman" w:hAnsi="Times New Roman" w:cs="Times New Roman"/>
          <w:b/>
          <w:bCs/>
        </w:rPr>
        <w:lastRenderedPageBreak/>
        <w:t>Literature Cited</w:t>
      </w:r>
    </w:p>
    <w:p w14:paraId="0EA898C6"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fldChar w:fldCharType="begin"/>
      </w:r>
      <w:r w:rsidRPr="00C11D79">
        <w:rPr>
          <w:rFonts w:ascii="Times New Roman" w:hAnsi="Times New Roman" w:cs="Times New Roman"/>
        </w:rPr>
        <w:instrText xml:space="preserve"> ADDIN ZOTERO_BIBL {"uncited":[],"omitted":[],"custom":[]} CSL_BIBLIOGRAPHY </w:instrText>
      </w:r>
      <w:r w:rsidRPr="00C11D79">
        <w:rPr>
          <w:rFonts w:ascii="Times New Roman" w:hAnsi="Times New Roman" w:cs="Times New Roman"/>
        </w:rPr>
        <w:fldChar w:fldCharType="separate"/>
      </w:r>
      <w:r w:rsidRPr="00C11D79">
        <w:rPr>
          <w:rFonts w:ascii="Times New Roman" w:hAnsi="Times New Roman" w:cs="Times New Roman"/>
        </w:rPr>
        <w:t xml:space="preserve">1. Bardo L, Goulet L, Hibbert A, Lukasik V, Poitras K. Ecological assessment of the </w:t>
      </w:r>
      <w:proofErr w:type="spellStart"/>
      <w:r w:rsidRPr="00C11D79">
        <w:rPr>
          <w:rFonts w:ascii="Times New Roman" w:hAnsi="Times New Roman" w:cs="Times New Roman"/>
        </w:rPr>
        <w:t>Stoneycroft</w:t>
      </w:r>
      <w:proofErr w:type="spellEnd"/>
      <w:r w:rsidRPr="00C11D79">
        <w:rPr>
          <w:rFonts w:ascii="Times New Roman" w:hAnsi="Times New Roman" w:cs="Times New Roman"/>
        </w:rPr>
        <w:t xml:space="preserve"> Wildlife Area. Internal Report. Department of Natural Resource Sciences, McGill University. 2003. </w:t>
      </w:r>
    </w:p>
    <w:p w14:paraId="74F99634" w14:textId="77777777" w:rsidR="00C11D79" w:rsidRPr="00C11D79" w:rsidRDefault="00C11D79" w:rsidP="00C11D79">
      <w:pPr>
        <w:pStyle w:val="Bibliography"/>
        <w:spacing w:line="480" w:lineRule="auto"/>
        <w:rPr>
          <w:rFonts w:ascii="Times New Roman" w:hAnsi="Times New Roman" w:cs="Times New Roman"/>
          <w:lang w:val="fr-CA"/>
        </w:rPr>
      </w:pPr>
      <w:r w:rsidRPr="00C11D79">
        <w:rPr>
          <w:rFonts w:ascii="Times New Roman" w:hAnsi="Times New Roman" w:cs="Times New Roman"/>
        </w:rPr>
        <w:t xml:space="preserve">2. Jarjour C, Frei B, Elliott KH. Associations between sex, age and species-specific climate sensitivity in migration. </w:t>
      </w:r>
      <w:r w:rsidRPr="00C11D79">
        <w:rPr>
          <w:rFonts w:ascii="Times New Roman" w:hAnsi="Times New Roman" w:cs="Times New Roman"/>
          <w:lang w:val="fr-CA"/>
        </w:rPr>
        <w:t xml:space="preserve">Animal Migration. De </w:t>
      </w:r>
      <w:proofErr w:type="spellStart"/>
      <w:r w:rsidRPr="00C11D79">
        <w:rPr>
          <w:rFonts w:ascii="Times New Roman" w:hAnsi="Times New Roman" w:cs="Times New Roman"/>
          <w:lang w:val="fr-CA"/>
        </w:rPr>
        <w:t>Gruyter</w:t>
      </w:r>
      <w:proofErr w:type="spellEnd"/>
      <w:r w:rsidRPr="00C11D79">
        <w:rPr>
          <w:rFonts w:ascii="Times New Roman" w:hAnsi="Times New Roman" w:cs="Times New Roman"/>
          <w:lang w:val="fr-CA"/>
        </w:rPr>
        <w:t>; 2017;4:23–36. https://doi.org/https://doi.org/10.1515/ami-2017-0004</w:t>
      </w:r>
    </w:p>
    <w:p w14:paraId="26044486"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 xml:space="preserve">3. Junda JH, Duval S, Gahbauer MA. Use of discrete molting grounds by migrant passerines undergoing </w:t>
      </w:r>
      <w:proofErr w:type="spellStart"/>
      <w:r w:rsidRPr="00C11D79">
        <w:rPr>
          <w:rFonts w:ascii="Times New Roman" w:hAnsi="Times New Roman" w:cs="Times New Roman"/>
        </w:rPr>
        <w:t>prebasic</w:t>
      </w:r>
      <w:proofErr w:type="spellEnd"/>
      <w:r w:rsidRPr="00C11D79">
        <w:rPr>
          <w:rFonts w:ascii="Times New Roman" w:hAnsi="Times New Roman" w:cs="Times New Roman"/>
        </w:rPr>
        <w:t xml:space="preserve"> molt in southern Quebec. The Wilson Journal of Ornithology. </w:t>
      </w:r>
      <w:proofErr w:type="gramStart"/>
      <w:r w:rsidRPr="00C11D79">
        <w:rPr>
          <w:rFonts w:ascii="Times New Roman" w:hAnsi="Times New Roman" w:cs="Times New Roman"/>
        </w:rPr>
        <w:t>2020;132:72</w:t>
      </w:r>
      <w:proofErr w:type="gramEnd"/>
      <w:r w:rsidRPr="00C11D79">
        <w:rPr>
          <w:rFonts w:ascii="Times New Roman" w:hAnsi="Times New Roman" w:cs="Times New Roman"/>
        </w:rPr>
        <w:t>. https://doi.org/10.1676/1559-4491-132.1.72</w:t>
      </w:r>
    </w:p>
    <w:p w14:paraId="0CC5976F"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 xml:space="preserve">4. Morales A, Frei B, Mitchell GW, Bégin-Marchand C, Elliott KH. Reduced diurnal activity and increased stopover duration by molting Swainson’s Thrushes. Ornithology. </w:t>
      </w:r>
      <w:proofErr w:type="gramStart"/>
      <w:r w:rsidRPr="00C11D79">
        <w:rPr>
          <w:rFonts w:ascii="Times New Roman" w:hAnsi="Times New Roman" w:cs="Times New Roman"/>
        </w:rPr>
        <w:t>2022;ukab</w:t>
      </w:r>
      <w:proofErr w:type="gramEnd"/>
      <w:r w:rsidRPr="00C11D79">
        <w:rPr>
          <w:rFonts w:ascii="Times New Roman" w:hAnsi="Times New Roman" w:cs="Times New Roman"/>
        </w:rPr>
        <w:t>083. https://doi.org/10.1093/ornithology/ukab083</w:t>
      </w:r>
    </w:p>
    <w:p w14:paraId="134F2D22"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 xml:space="preserve">5. Poirier V, Frei B, Lefvert M, Morales A, Elliott KH. </w:t>
      </w:r>
      <w:proofErr w:type="spellStart"/>
      <w:r w:rsidRPr="00C11D79">
        <w:rPr>
          <w:rFonts w:ascii="Times New Roman" w:hAnsi="Times New Roman" w:cs="Times New Roman"/>
        </w:rPr>
        <w:t>Moult</w:t>
      </w:r>
      <w:proofErr w:type="spellEnd"/>
      <w:r w:rsidRPr="00C11D79">
        <w:rPr>
          <w:rFonts w:ascii="Times New Roman" w:hAnsi="Times New Roman" w:cs="Times New Roman"/>
        </w:rPr>
        <w:t xml:space="preserve"> migrant Tennessee Warblers undergo extensive </w:t>
      </w:r>
      <w:proofErr w:type="gramStart"/>
      <w:r w:rsidRPr="00C11D79">
        <w:rPr>
          <w:rFonts w:ascii="Times New Roman" w:hAnsi="Times New Roman" w:cs="Times New Roman"/>
        </w:rPr>
        <w:t>stopover</w:t>
      </w:r>
      <w:proofErr w:type="gramEnd"/>
      <w:r w:rsidRPr="00C11D79">
        <w:rPr>
          <w:rFonts w:ascii="Times New Roman" w:hAnsi="Times New Roman" w:cs="Times New Roman"/>
        </w:rPr>
        <w:t xml:space="preserve"> in peri-urban forests of southern Quebec. Can J </w:t>
      </w:r>
      <w:proofErr w:type="spellStart"/>
      <w:r w:rsidRPr="00C11D79">
        <w:rPr>
          <w:rFonts w:ascii="Times New Roman" w:hAnsi="Times New Roman" w:cs="Times New Roman"/>
        </w:rPr>
        <w:t>Zool</w:t>
      </w:r>
      <w:proofErr w:type="spellEnd"/>
      <w:r w:rsidRPr="00C11D79">
        <w:rPr>
          <w:rFonts w:ascii="Times New Roman" w:hAnsi="Times New Roman" w:cs="Times New Roman"/>
        </w:rPr>
        <w:t xml:space="preserve"> [Internet]. NRC Research Press; 2023 [cited 2024 Feb 1]; https://doi.org/10.1139/cjz-2023-0109</w:t>
      </w:r>
    </w:p>
    <w:p w14:paraId="5F83207B"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 xml:space="preserve">6. Poirier V, Elliott KH, Frei B. Peri-urban forest margins are important stopover sites for </w:t>
      </w:r>
      <w:proofErr w:type="spellStart"/>
      <w:r w:rsidRPr="00C11D79">
        <w:rPr>
          <w:rFonts w:ascii="Times New Roman" w:hAnsi="Times New Roman" w:cs="Times New Roman"/>
        </w:rPr>
        <w:t>moult</w:t>
      </w:r>
      <w:proofErr w:type="spellEnd"/>
      <w:r w:rsidRPr="00C11D79">
        <w:rPr>
          <w:rFonts w:ascii="Times New Roman" w:hAnsi="Times New Roman" w:cs="Times New Roman"/>
        </w:rPr>
        <w:t>-migrating songbirds. Journal for Nature Conservation. 2023;126539. https://doi.org/10.1016/j.jnc.2023.126539</w:t>
      </w:r>
    </w:p>
    <w:p w14:paraId="4481F230"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 xml:space="preserve">7. Owen JC, Moore FR. Seasonal Differences in Immunological Condition of Three Species of Thrushes. The Condor. American Ornithological Society; </w:t>
      </w:r>
      <w:proofErr w:type="gramStart"/>
      <w:r w:rsidRPr="00C11D79">
        <w:rPr>
          <w:rFonts w:ascii="Times New Roman" w:hAnsi="Times New Roman" w:cs="Times New Roman"/>
        </w:rPr>
        <w:t>2006;108:389</w:t>
      </w:r>
      <w:proofErr w:type="gramEnd"/>
      <w:r w:rsidRPr="00C11D79">
        <w:rPr>
          <w:rFonts w:ascii="Times New Roman" w:hAnsi="Times New Roman" w:cs="Times New Roman"/>
        </w:rPr>
        <w:t xml:space="preserve">–98. </w:t>
      </w:r>
    </w:p>
    <w:p w14:paraId="4834FDAB"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lastRenderedPageBreak/>
        <w:t>8. De Zwaan DR, Huang A, McCallum Q, Owen K, Lamont M, Easton W. Mass gain and stopover dynamics among migrating songbirds are linked to seasonal, environmental, and life-history effects. Ornithology. 2022;</w:t>
      </w:r>
      <w:proofErr w:type="gramStart"/>
      <w:r w:rsidRPr="00C11D79">
        <w:rPr>
          <w:rFonts w:ascii="Times New Roman" w:hAnsi="Times New Roman" w:cs="Times New Roman"/>
        </w:rPr>
        <w:t>139:ukac</w:t>
      </w:r>
      <w:proofErr w:type="gramEnd"/>
      <w:r w:rsidRPr="00C11D79">
        <w:rPr>
          <w:rFonts w:ascii="Times New Roman" w:hAnsi="Times New Roman" w:cs="Times New Roman"/>
        </w:rPr>
        <w:t>027. https://doi.org/10.1093/ornithology/ukac027</w:t>
      </w:r>
    </w:p>
    <w:p w14:paraId="33F467FB"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 xml:space="preserve">9. Morbey YE, Beauchamp AT, Bonner SJ, Mitchell GW. Evening locomotor activity during </w:t>
      </w:r>
      <w:proofErr w:type="gramStart"/>
      <w:r w:rsidRPr="00C11D79">
        <w:rPr>
          <w:rFonts w:ascii="Times New Roman" w:hAnsi="Times New Roman" w:cs="Times New Roman"/>
        </w:rPr>
        <w:t>stopover</w:t>
      </w:r>
      <w:proofErr w:type="gramEnd"/>
      <w:r w:rsidRPr="00C11D79">
        <w:rPr>
          <w:rFonts w:ascii="Times New Roman" w:hAnsi="Times New Roman" w:cs="Times New Roman"/>
        </w:rPr>
        <w:t xml:space="preserve"> differs on pre-departure and departure days in free-living songbirds. Journal of Avian Biology [Internet]. 2020 [cited 2020 Nov 23];51. https://doi.org/https://doi.org/10.1111/jav.02448</w:t>
      </w:r>
    </w:p>
    <w:p w14:paraId="4245E060"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10. Morton ES, James RD. Blue-headed Vireo (Vireo solitarius), version 1.0. Birds of the World [Internet]. Cornell Lab of Ornithology, Ithaca, NY, USA; 2020 [cited 2026 Mar 11]; https://doi.org/10.2173/bow.buhvir.01</w:t>
      </w:r>
    </w:p>
    <w:p w14:paraId="0DBD94B3"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11. Hunt PD, Flaspohler DJ. Yellow-rumped Warbler (Setophaga coronata), version 1.0. Birds of the World [Internet]. Cornell Lab of Ornithology, Ithaca, NY, USA; 2020 [cited 2025 Apr 4]; https://doi.org/10.2173/bow.yerwar.01</w:t>
      </w:r>
    </w:p>
    <w:p w14:paraId="3CFE57FE"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12. Dunn EH, Hall GA. Magnolia Warbler - Setophaga magnolia. Birds of the World [Internet]. Ithaca, NY, USA: Cornell Lab of Ornithology; 2020 [cited 2026 Mar 11]; https://birdsoftheworld.org/bow/species/magwar/cur/introduction. Accessed 11 Mar 2026</w:t>
      </w:r>
    </w:p>
    <w:p w14:paraId="04827143"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13. Arcese P, Sogge MK, Marr AB, Patten MA. Song Sparrow (</w:t>
      </w:r>
      <w:proofErr w:type="spellStart"/>
      <w:r w:rsidRPr="00C11D79">
        <w:rPr>
          <w:rFonts w:ascii="Times New Roman" w:hAnsi="Times New Roman" w:cs="Times New Roman"/>
        </w:rPr>
        <w:t>Melospiza</w:t>
      </w:r>
      <w:proofErr w:type="spellEnd"/>
      <w:r w:rsidRPr="00C11D79">
        <w:rPr>
          <w:rFonts w:ascii="Times New Roman" w:hAnsi="Times New Roman" w:cs="Times New Roman"/>
        </w:rPr>
        <w:t xml:space="preserve"> </w:t>
      </w:r>
      <w:proofErr w:type="spellStart"/>
      <w:r w:rsidRPr="00C11D79">
        <w:rPr>
          <w:rFonts w:ascii="Times New Roman" w:hAnsi="Times New Roman" w:cs="Times New Roman"/>
        </w:rPr>
        <w:t>melodia</w:t>
      </w:r>
      <w:proofErr w:type="spellEnd"/>
      <w:r w:rsidRPr="00C11D79">
        <w:rPr>
          <w:rFonts w:ascii="Times New Roman" w:hAnsi="Times New Roman" w:cs="Times New Roman"/>
        </w:rPr>
        <w:t>). Birds of the World [Internet]. Cornell Lab of Ornithology, Ithaca, NY, USA; 2020 [cited 2026 Mar 11]; https://doi.org/10.2173/bow.sonspa.01</w:t>
      </w:r>
    </w:p>
    <w:p w14:paraId="1B3FBD7B" w14:textId="77777777" w:rsidR="00C11D79" w:rsidRPr="00C11D79" w:rsidRDefault="00C11D79" w:rsidP="00C11D79">
      <w:pPr>
        <w:pStyle w:val="Bibliography"/>
        <w:spacing w:line="480" w:lineRule="auto"/>
        <w:rPr>
          <w:rFonts w:ascii="Times New Roman" w:hAnsi="Times New Roman" w:cs="Times New Roman"/>
        </w:rPr>
      </w:pPr>
      <w:r w:rsidRPr="00C11D79">
        <w:rPr>
          <w:rFonts w:ascii="Times New Roman" w:hAnsi="Times New Roman" w:cs="Times New Roman"/>
        </w:rPr>
        <w:t xml:space="preserve">14. Dellinger R, Bohall Wood P, Jones PW, Donovan TM. Hermit Thrush - </w:t>
      </w:r>
      <w:proofErr w:type="spellStart"/>
      <w:r w:rsidRPr="00C11D79">
        <w:rPr>
          <w:rFonts w:ascii="Times New Roman" w:hAnsi="Times New Roman" w:cs="Times New Roman"/>
        </w:rPr>
        <w:t>Catharus</w:t>
      </w:r>
      <w:proofErr w:type="spellEnd"/>
      <w:r w:rsidRPr="00C11D79">
        <w:rPr>
          <w:rFonts w:ascii="Times New Roman" w:hAnsi="Times New Roman" w:cs="Times New Roman"/>
        </w:rPr>
        <w:t xml:space="preserve"> guttatus. Birds of the World [Internet]. Ithaca, NY, USA: Cornell Lab of Ornithology; 2020 [cited 2026 Mar 11]; https://birdsoftheworld.org/bow/species/herthr/cur/introduction. Accessed 11 Mar 2026</w:t>
      </w:r>
    </w:p>
    <w:p w14:paraId="41A691A8" w14:textId="6012B5AA" w:rsidR="00C11D79" w:rsidRPr="00C11D79" w:rsidRDefault="00C11D79" w:rsidP="00C11D79">
      <w:pPr>
        <w:pStyle w:val="Bibliography"/>
        <w:spacing w:line="480" w:lineRule="auto"/>
        <w:rPr>
          <w:rFonts w:ascii="Times New Roman" w:hAnsi="Times New Roman" w:cs="Times New Roman"/>
          <w:kern w:val="0"/>
        </w:rPr>
      </w:pPr>
      <w:r w:rsidRPr="00C11D79">
        <w:rPr>
          <w:rFonts w:ascii="Times New Roman" w:hAnsi="Times New Roman" w:cs="Times New Roman"/>
          <w:kern w:val="0"/>
        </w:rPr>
        <w:lastRenderedPageBreak/>
        <w:fldChar w:fldCharType="end"/>
      </w:r>
    </w:p>
    <w:p w14:paraId="54633CFE" w14:textId="25CA3BD3" w:rsidR="00C11D79" w:rsidRPr="00C11D79" w:rsidRDefault="00C11D79" w:rsidP="00C11D79">
      <w:pPr>
        <w:spacing w:line="480" w:lineRule="auto"/>
        <w:rPr>
          <w:rFonts w:ascii="Times New Roman" w:eastAsia="Times New Roman" w:hAnsi="Times New Roman" w:cs="Times New Roman"/>
        </w:rPr>
      </w:pPr>
    </w:p>
    <w:p w14:paraId="620243FA" w14:textId="77777777" w:rsidR="00C937F8" w:rsidRPr="00B94254" w:rsidRDefault="00C937F8" w:rsidP="00C11D79">
      <w:pPr>
        <w:spacing w:line="480" w:lineRule="auto"/>
        <w:rPr>
          <w:rFonts w:ascii="Times New Roman" w:hAnsi="Times New Roman" w:cs="Times New Roman"/>
        </w:rPr>
      </w:pPr>
    </w:p>
    <w:sectPr w:rsidR="00C937F8" w:rsidRPr="00B9425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86C9F" w14:textId="77777777" w:rsidR="00CC5EC7" w:rsidRDefault="00CC5EC7" w:rsidP="00C11D79">
      <w:pPr>
        <w:spacing w:after="0" w:line="240" w:lineRule="auto"/>
      </w:pPr>
      <w:r>
        <w:separator/>
      </w:r>
    </w:p>
  </w:endnote>
  <w:endnote w:type="continuationSeparator" w:id="0">
    <w:p w14:paraId="16959D4D" w14:textId="77777777" w:rsidR="00CC5EC7" w:rsidRDefault="00CC5EC7" w:rsidP="00C11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25BE4" w14:textId="77777777" w:rsidR="00C11D79" w:rsidRDefault="00C11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3ADAF" w14:textId="77777777" w:rsidR="00C11D79" w:rsidRDefault="00C11D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4D994" w14:textId="77777777" w:rsidR="00C11D79" w:rsidRDefault="00C11D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43D7" w14:textId="77777777" w:rsidR="00CC5EC7" w:rsidRDefault="00CC5EC7" w:rsidP="00C11D79">
      <w:pPr>
        <w:spacing w:after="0" w:line="240" w:lineRule="auto"/>
      </w:pPr>
      <w:r>
        <w:separator/>
      </w:r>
    </w:p>
  </w:footnote>
  <w:footnote w:type="continuationSeparator" w:id="0">
    <w:p w14:paraId="32736670" w14:textId="77777777" w:rsidR="00CC5EC7" w:rsidRDefault="00CC5EC7" w:rsidP="00C11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93DC" w14:textId="77777777" w:rsidR="00C11D79" w:rsidRDefault="00C11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2D95" w14:textId="77777777" w:rsidR="00C11D79" w:rsidRDefault="00C11D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C1302" w14:textId="77777777" w:rsidR="00C11D79" w:rsidRDefault="00C11D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60A"/>
    <w:rsid w:val="00004716"/>
    <w:rsid w:val="00014E80"/>
    <w:rsid w:val="0005056D"/>
    <w:rsid w:val="00085F9A"/>
    <w:rsid w:val="000868E9"/>
    <w:rsid w:val="00100C94"/>
    <w:rsid w:val="001526C0"/>
    <w:rsid w:val="001539C2"/>
    <w:rsid w:val="001554AE"/>
    <w:rsid w:val="00203E2B"/>
    <w:rsid w:val="002133F9"/>
    <w:rsid w:val="002370BC"/>
    <w:rsid w:val="002627E1"/>
    <w:rsid w:val="00264809"/>
    <w:rsid w:val="00271D30"/>
    <w:rsid w:val="00305303"/>
    <w:rsid w:val="00367A5B"/>
    <w:rsid w:val="00373740"/>
    <w:rsid w:val="00390853"/>
    <w:rsid w:val="003925A9"/>
    <w:rsid w:val="003C17BD"/>
    <w:rsid w:val="003C4EC2"/>
    <w:rsid w:val="003C615A"/>
    <w:rsid w:val="003F13D4"/>
    <w:rsid w:val="003F4852"/>
    <w:rsid w:val="00447605"/>
    <w:rsid w:val="00450504"/>
    <w:rsid w:val="004C28D8"/>
    <w:rsid w:val="0050360A"/>
    <w:rsid w:val="005347AE"/>
    <w:rsid w:val="00537284"/>
    <w:rsid w:val="005410AD"/>
    <w:rsid w:val="005C10BF"/>
    <w:rsid w:val="005F4698"/>
    <w:rsid w:val="00600FDB"/>
    <w:rsid w:val="00613D2B"/>
    <w:rsid w:val="00621E09"/>
    <w:rsid w:val="00631755"/>
    <w:rsid w:val="006A2260"/>
    <w:rsid w:val="006F3A5A"/>
    <w:rsid w:val="006F50CE"/>
    <w:rsid w:val="0071527F"/>
    <w:rsid w:val="00736745"/>
    <w:rsid w:val="00743493"/>
    <w:rsid w:val="00762AB1"/>
    <w:rsid w:val="0079484D"/>
    <w:rsid w:val="007B0043"/>
    <w:rsid w:val="00800A16"/>
    <w:rsid w:val="00825D15"/>
    <w:rsid w:val="00826F64"/>
    <w:rsid w:val="00832665"/>
    <w:rsid w:val="008A0624"/>
    <w:rsid w:val="009264BA"/>
    <w:rsid w:val="0093670D"/>
    <w:rsid w:val="00964FB8"/>
    <w:rsid w:val="009659A8"/>
    <w:rsid w:val="009F098A"/>
    <w:rsid w:val="009F4E62"/>
    <w:rsid w:val="00A055CB"/>
    <w:rsid w:val="00A50269"/>
    <w:rsid w:val="00A64117"/>
    <w:rsid w:val="00B06239"/>
    <w:rsid w:val="00B10E1C"/>
    <w:rsid w:val="00B475D8"/>
    <w:rsid w:val="00B94254"/>
    <w:rsid w:val="00BA61EF"/>
    <w:rsid w:val="00BB1784"/>
    <w:rsid w:val="00BC4717"/>
    <w:rsid w:val="00BE69D0"/>
    <w:rsid w:val="00C11D79"/>
    <w:rsid w:val="00C66544"/>
    <w:rsid w:val="00C7638A"/>
    <w:rsid w:val="00C82CF8"/>
    <w:rsid w:val="00C937F8"/>
    <w:rsid w:val="00CC5EC7"/>
    <w:rsid w:val="00CD2BD5"/>
    <w:rsid w:val="00CF5581"/>
    <w:rsid w:val="00D4064C"/>
    <w:rsid w:val="00D722C7"/>
    <w:rsid w:val="00DC17EF"/>
    <w:rsid w:val="00DD4564"/>
    <w:rsid w:val="00E22D73"/>
    <w:rsid w:val="00E43772"/>
    <w:rsid w:val="00E878D7"/>
    <w:rsid w:val="00EC0BE7"/>
    <w:rsid w:val="00EC6953"/>
    <w:rsid w:val="00EF1DB8"/>
    <w:rsid w:val="00F45A4B"/>
    <w:rsid w:val="00F6511B"/>
    <w:rsid w:val="00F75922"/>
    <w:rsid w:val="00F75DB7"/>
    <w:rsid w:val="00FA18A3"/>
    <w:rsid w:val="00FE3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AC1EB"/>
  <w15:chartTrackingRefBased/>
  <w15:docId w15:val="{224B5F27-CC24-47C0-ACDD-3D8C7691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D79"/>
  </w:style>
  <w:style w:type="paragraph" w:styleId="Heading1">
    <w:name w:val="heading 1"/>
    <w:basedOn w:val="Normal"/>
    <w:next w:val="Normal"/>
    <w:link w:val="Heading1Char"/>
    <w:uiPriority w:val="9"/>
    <w:qFormat/>
    <w:rsid w:val="00503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6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6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6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6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6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6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6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6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6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6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6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6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60A"/>
    <w:rPr>
      <w:rFonts w:eastAsiaTheme="majorEastAsia" w:cstheme="majorBidi"/>
      <w:color w:val="272727" w:themeColor="text1" w:themeTint="D8"/>
    </w:rPr>
  </w:style>
  <w:style w:type="paragraph" w:styleId="Title">
    <w:name w:val="Title"/>
    <w:basedOn w:val="Normal"/>
    <w:next w:val="Normal"/>
    <w:link w:val="TitleChar"/>
    <w:uiPriority w:val="10"/>
    <w:qFormat/>
    <w:rsid w:val="00503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6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60A"/>
    <w:pPr>
      <w:spacing w:before="160"/>
      <w:jc w:val="center"/>
    </w:pPr>
    <w:rPr>
      <w:i/>
      <w:iCs/>
      <w:color w:val="404040" w:themeColor="text1" w:themeTint="BF"/>
    </w:rPr>
  </w:style>
  <w:style w:type="character" w:customStyle="1" w:styleId="QuoteChar">
    <w:name w:val="Quote Char"/>
    <w:basedOn w:val="DefaultParagraphFont"/>
    <w:link w:val="Quote"/>
    <w:uiPriority w:val="29"/>
    <w:rsid w:val="0050360A"/>
    <w:rPr>
      <w:i/>
      <w:iCs/>
      <w:color w:val="404040" w:themeColor="text1" w:themeTint="BF"/>
    </w:rPr>
  </w:style>
  <w:style w:type="paragraph" w:styleId="ListParagraph">
    <w:name w:val="List Paragraph"/>
    <w:basedOn w:val="Normal"/>
    <w:uiPriority w:val="34"/>
    <w:qFormat/>
    <w:rsid w:val="0050360A"/>
    <w:pPr>
      <w:ind w:left="720"/>
      <w:contextualSpacing/>
    </w:pPr>
  </w:style>
  <w:style w:type="character" w:styleId="IntenseEmphasis">
    <w:name w:val="Intense Emphasis"/>
    <w:basedOn w:val="DefaultParagraphFont"/>
    <w:uiPriority w:val="21"/>
    <w:qFormat/>
    <w:rsid w:val="0050360A"/>
    <w:rPr>
      <w:i/>
      <w:iCs/>
      <w:color w:val="0F4761" w:themeColor="accent1" w:themeShade="BF"/>
    </w:rPr>
  </w:style>
  <w:style w:type="paragraph" w:styleId="IntenseQuote">
    <w:name w:val="Intense Quote"/>
    <w:basedOn w:val="Normal"/>
    <w:next w:val="Normal"/>
    <w:link w:val="IntenseQuoteChar"/>
    <w:uiPriority w:val="30"/>
    <w:qFormat/>
    <w:rsid w:val="00503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60A"/>
    <w:rPr>
      <w:i/>
      <w:iCs/>
      <w:color w:val="0F4761" w:themeColor="accent1" w:themeShade="BF"/>
    </w:rPr>
  </w:style>
  <w:style w:type="character" w:styleId="IntenseReference">
    <w:name w:val="Intense Reference"/>
    <w:basedOn w:val="DefaultParagraphFont"/>
    <w:uiPriority w:val="32"/>
    <w:qFormat/>
    <w:rsid w:val="0050360A"/>
    <w:rPr>
      <w:b/>
      <w:bCs/>
      <w:smallCaps/>
      <w:color w:val="0F4761" w:themeColor="accent1" w:themeShade="BF"/>
      <w:spacing w:val="5"/>
    </w:rPr>
  </w:style>
  <w:style w:type="table" w:styleId="TableGrid">
    <w:name w:val="Table Grid"/>
    <w:basedOn w:val="TableNormal"/>
    <w:uiPriority w:val="39"/>
    <w:rsid w:val="00EF1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F4698"/>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11D79"/>
    <w:pPr>
      <w:spacing w:after="240" w:line="240" w:lineRule="auto"/>
    </w:pPr>
  </w:style>
  <w:style w:type="paragraph" w:styleId="Header">
    <w:name w:val="header"/>
    <w:basedOn w:val="Normal"/>
    <w:link w:val="HeaderChar"/>
    <w:uiPriority w:val="99"/>
    <w:unhideWhenUsed/>
    <w:rsid w:val="00C11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D79"/>
  </w:style>
  <w:style w:type="paragraph" w:styleId="Footer">
    <w:name w:val="footer"/>
    <w:basedOn w:val="Normal"/>
    <w:link w:val="FooterChar"/>
    <w:uiPriority w:val="99"/>
    <w:unhideWhenUsed/>
    <w:rsid w:val="00C11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1732">
      <w:bodyDiv w:val="1"/>
      <w:marLeft w:val="0"/>
      <w:marRight w:val="0"/>
      <w:marTop w:val="0"/>
      <w:marBottom w:val="0"/>
      <w:divBdr>
        <w:top w:val="none" w:sz="0" w:space="0" w:color="auto"/>
        <w:left w:val="none" w:sz="0" w:space="0" w:color="auto"/>
        <w:bottom w:val="none" w:sz="0" w:space="0" w:color="auto"/>
        <w:right w:val="none" w:sz="0" w:space="0" w:color="auto"/>
      </w:divBdr>
    </w:div>
    <w:div w:id="782964095">
      <w:bodyDiv w:val="1"/>
      <w:marLeft w:val="0"/>
      <w:marRight w:val="0"/>
      <w:marTop w:val="0"/>
      <w:marBottom w:val="0"/>
      <w:divBdr>
        <w:top w:val="none" w:sz="0" w:space="0" w:color="auto"/>
        <w:left w:val="none" w:sz="0" w:space="0" w:color="auto"/>
        <w:bottom w:val="none" w:sz="0" w:space="0" w:color="auto"/>
        <w:right w:val="none" w:sz="0" w:space="0" w:color="auto"/>
      </w:divBdr>
    </w:div>
    <w:div w:id="1086731277">
      <w:bodyDiv w:val="1"/>
      <w:marLeft w:val="0"/>
      <w:marRight w:val="0"/>
      <w:marTop w:val="0"/>
      <w:marBottom w:val="0"/>
      <w:divBdr>
        <w:top w:val="none" w:sz="0" w:space="0" w:color="auto"/>
        <w:left w:val="none" w:sz="0" w:space="0" w:color="auto"/>
        <w:bottom w:val="none" w:sz="0" w:space="0" w:color="auto"/>
        <w:right w:val="none" w:sz="0" w:space="0" w:color="auto"/>
      </w:divBdr>
    </w:div>
    <w:div w:id="152359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5588B-2E89-43B2-8489-D6418367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6227</Words>
  <Characters>35495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Environment and Climate Change Canada</Company>
  <LinksUpToDate>false</LinksUpToDate>
  <CharactersWithSpaces>41639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Frei,Barbara (elle | she, her) (ECCC)</dc:creator>
  <cp:keywords/>
  <dc:description/>
  <cp:lastModifiedBy>Frei,Barbara (elle | she, her) (ECCC)</cp:lastModifiedBy>
  <cp:revision>2</cp:revision>
  <dcterms:created xsi:type="dcterms:W3CDTF">2026-05-25T11:08:00Z</dcterms:created>
  <dcterms:modified xsi:type="dcterms:W3CDTF">2026-05-25T11:08:00Z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id="IgPky2X2"/&gt;&lt;style id="http://www.zotero.org/styles/movement-ecology" hasBibliography="1" bibliographyStyleHasBeenSet="1"/&gt;&lt;prefs&gt;&lt;pref name="fieldType" value="Field"/&gt;&lt;/prefs&gt;&lt;/data&gt;</vt:lpwstr>
  </property>
</Properties>
</file>