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AD97" w14:textId="77777777" w:rsidR="00F214C2" w:rsidRDefault="00000000">
      <w:pPr>
        <w:spacing w:after="240"/>
        <w:jc w:val="center"/>
      </w:pPr>
      <w:r>
        <w:rPr>
          <w:b/>
          <w:color w:val="000000"/>
        </w:rPr>
        <w:t>Instruments</w:t>
      </w:r>
    </w:p>
    <w:p w14:paraId="60EE4D8C" w14:textId="77777777" w:rsidR="00F214C2" w:rsidRDefault="00000000">
      <w:pPr>
        <w:ind w:firstLine="720"/>
      </w:pPr>
      <w:r>
        <w:rPr>
          <w:color w:val="000000"/>
        </w:rPr>
        <w:t>To support the quantitative and qualitative findings, five study instruments were developed and used. The instruments were aligned with the Script-Distance-Responsive (SDR) framework so that script ecology, linguistic control, genre awareness, writing performance, learner reflections, and classroom processes could be captured systematically. The instruments included a learner background and script-ecology questionnaire, parallel genre-based writing tasks, an analytic Arabic L2 writing rubric, a semi-structured interview protocol, and a classroom observation memo template.</w:t>
      </w:r>
    </w:p>
    <w:p w14:paraId="3121EFF1" w14:textId="77777777" w:rsidR="00F214C2" w:rsidRDefault="00000000">
      <w:pPr>
        <w:ind w:firstLine="720"/>
      </w:pPr>
      <w:r>
        <w:rPr>
          <w:color w:val="000000"/>
        </w:rPr>
        <w:t>The questionnaire included categorical profile items and Likert-type difficulty items. The writing rubric was treated as an ordinal analytic rating instrument with anchored descriptors rather than as a Likert questionnaire. The interview and observation tools were used to triangulate the quantitative trends and to explain how learners experienced script distance, cognitive load, feedback, and genre-based scaffolding.</w:t>
      </w:r>
    </w:p>
    <w:p w14:paraId="7DFEC298" w14:textId="77777777" w:rsidR="00F214C2" w:rsidRDefault="00000000">
      <w:pPr>
        <w:spacing w:before="120"/>
      </w:pPr>
      <w:r>
        <w:rPr>
          <w:b/>
          <w:color w:val="000000"/>
        </w:rPr>
        <w:t>Instrument 1. Learner Background and Script-Ecology Questionnaire (LBSQ)</w:t>
      </w:r>
    </w:p>
    <w:p w14:paraId="317C3D73" w14:textId="77777777" w:rsidR="00F214C2" w:rsidRDefault="00000000">
      <w:pPr>
        <w:ind w:firstLine="720"/>
      </w:pPr>
      <w:r>
        <w:rPr>
          <w:color w:val="000000"/>
        </w:rPr>
        <w:t>The LBSQ was designed to verify learners’ script-ecology profiles and to support the calculation of Simpson’s Diversity Index. It collected demographic, language background, literacy-history, Arabic-exposure, and self-perceived difficulty data. The Likert-type section measured perceived difficulty in core script and paragraph-level processes.</w:t>
      </w:r>
    </w:p>
    <w:p w14:paraId="064E44EA" w14:textId="77777777" w:rsidR="00F214C2" w:rsidRDefault="00000000">
      <w:pPr>
        <w:spacing w:before="120" w:after="0"/>
      </w:pPr>
      <w:r>
        <w:rPr>
          <w:b/>
          <w:color w:val="000000"/>
        </w:rPr>
        <w:t>Table 1</w:t>
      </w:r>
    </w:p>
    <w:p w14:paraId="03B67A36" w14:textId="77777777" w:rsidR="00F214C2" w:rsidRDefault="00000000">
      <w:r>
        <w:rPr>
          <w:i/>
          <w:color w:val="000000"/>
        </w:rPr>
        <w:t>Learner Background and Script-Ecology Questionnaire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701"/>
        <w:gridCol w:w="4035"/>
        <w:gridCol w:w="2686"/>
      </w:tblGrid>
      <w:tr w:rsidR="00F214C2" w14:paraId="2F3C92A7" w14:textId="77777777">
        <w:trPr>
          <w:tblHeader/>
          <w:jc w:val="center"/>
        </w:trPr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7B1BBF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Section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E435B8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Item</w:t>
            </w:r>
          </w:p>
        </w:tc>
        <w:tc>
          <w:tcPr>
            <w:tcW w:w="432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EDAAAF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Question and response format</w:t>
            </w:r>
          </w:p>
        </w:tc>
        <w:tc>
          <w:tcPr>
            <w:tcW w:w="2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B9E96C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Analytic purpose</w:t>
            </w:r>
          </w:p>
        </w:tc>
      </w:tr>
      <w:tr w:rsidR="00F214C2" w14:paraId="4A1568D6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D2CFE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A. Demographic profile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7EDCC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E9CFC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Nationality — open response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D4282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Classify learner background and country of origin.</w:t>
            </w:r>
          </w:p>
        </w:tc>
      </w:tr>
      <w:tr w:rsidR="00F214C2" w14:paraId="3AA17962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63BF9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A. Demographic profile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B9181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DEBC5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Native language (L1) — open response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ED45F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Identify the learner’s primary linguistic background.</w:t>
            </w:r>
          </w:p>
        </w:tc>
      </w:tr>
      <w:tr w:rsidR="00F214C2" w14:paraId="78F4487E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BA72F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A. Demographic profile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D9BA8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D4F75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Language of schooling (primary/secondary) — open response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210CC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Determine prior literacy medium and educational language exposure.</w:t>
            </w:r>
          </w:p>
        </w:tc>
      </w:tr>
      <w:tr w:rsidR="00F214C2" w14:paraId="360CF40E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8E031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lastRenderedPageBreak/>
              <w:t>A. Demographic profile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19197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F2C61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Additional languages known — open response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A654B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Document multilingual experience relevant to script ecology.</w:t>
            </w:r>
          </w:p>
        </w:tc>
      </w:tr>
      <w:tr w:rsidR="00F214C2" w14:paraId="28030DCF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FB956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B. Literacy history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A0565B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1DC02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Writing system(s) used in previous education — multiple response: Latin; Arabic/Arabic-adjacent; logographic; other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61122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Classify previous script experience and estimate script distance.</w:t>
            </w:r>
          </w:p>
        </w:tc>
      </w:tr>
      <w:tr w:rsidR="00F214C2" w14:paraId="3BF79C43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35805D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B. Literacy history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8A322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B3994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Prior Arabic exposure — multiple response: none; religious/Quranic literacy only; weekend/community school; formal university study with duration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0C03B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Differentiate formal, informal, and religious literacy exposure.</w:t>
            </w:r>
          </w:p>
        </w:tc>
      </w:tr>
      <w:tr w:rsidR="00F214C2" w14:paraId="592D1B54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3277D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C. Self-perceived difficulty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2BD06B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7a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E7488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Connecting Arabic letters — five-point Likert-type scale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D62A9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Measure perceived difficulty with letter connectivity.</w:t>
            </w:r>
          </w:p>
        </w:tc>
      </w:tr>
      <w:tr w:rsidR="00F214C2" w14:paraId="69D974A0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7E470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C. Self-perceived difficulty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768A8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7b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ADAB2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Placing dots and vowels — five-point Likert-type scale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8C850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Measure perceived difficulty with diacritics, dotting, and orthographic precision.</w:t>
            </w:r>
          </w:p>
        </w:tc>
      </w:tr>
      <w:tr w:rsidR="00F214C2" w14:paraId="151DC49B" w14:textId="77777777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5C18B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C. Self-perceived difficulty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2CB7E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7c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975B0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Organizing a whole paragraph — five-point Likert-type scale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8BF40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Measure perceived difficulty with paragraph-level organization.</w:t>
            </w:r>
          </w:p>
        </w:tc>
      </w:tr>
    </w:tbl>
    <w:p w14:paraId="320C1ECA" w14:textId="77777777" w:rsidR="00F214C2" w:rsidRDefault="00000000">
      <w:pPr>
        <w:spacing w:before="60"/>
      </w:pPr>
      <w:r>
        <w:rPr>
          <w:i/>
          <w:color w:val="000000"/>
        </w:rPr>
        <w:t xml:space="preserve">Note. </w:t>
      </w:r>
      <w:r>
        <w:rPr>
          <w:color w:val="000000"/>
        </w:rPr>
        <w:t>LBSQ = Learner Background and Script-Ecology Questionnaire. Multiple-response items allowed participants to select all applicable options.</w:t>
      </w:r>
    </w:p>
    <w:p w14:paraId="1605F2DE" w14:textId="77777777" w:rsidR="00F214C2" w:rsidRDefault="00000000">
      <w:pPr>
        <w:spacing w:before="120" w:after="0"/>
      </w:pPr>
      <w:r>
        <w:rPr>
          <w:b/>
          <w:color w:val="000000"/>
        </w:rPr>
        <w:t>Table 2</w:t>
      </w:r>
    </w:p>
    <w:p w14:paraId="7D42ED0F" w14:textId="77777777" w:rsidR="00F214C2" w:rsidRDefault="00000000">
      <w:r>
        <w:rPr>
          <w:i/>
          <w:color w:val="000000"/>
        </w:rPr>
        <w:t>Likert-Type Response Scale for Self-Perceived Difficulty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2058"/>
        <w:gridCol w:w="6053"/>
      </w:tblGrid>
      <w:tr w:rsidR="00F214C2" w14:paraId="68A49EB2" w14:textId="77777777">
        <w:trPr>
          <w:tblHeader/>
          <w:jc w:val="center"/>
        </w:trPr>
        <w:tc>
          <w:tcPr>
            <w:tcW w:w="14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8D646B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Scale point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521C09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Anchor</w:t>
            </w:r>
          </w:p>
        </w:tc>
        <w:tc>
          <w:tcPr>
            <w:tcW w:w="64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0A63D4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Interpretation</w:t>
            </w:r>
          </w:p>
        </w:tc>
      </w:tr>
      <w:tr w:rsidR="00F214C2" w14:paraId="06010930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68F4F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8AB3EB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Very easy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2538C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Minimal difficulty with the skill.</w:t>
            </w:r>
          </w:p>
        </w:tc>
      </w:tr>
      <w:tr w:rsidR="00F214C2" w14:paraId="023745E9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CA1B7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8C00A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Easy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0162C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Limited difficulty.</w:t>
            </w:r>
          </w:p>
        </w:tc>
      </w:tr>
      <w:tr w:rsidR="00F214C2" w14:paraId="217C30A6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81B86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8C79E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Moderate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2D50A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Manageable but noticeable difficulty.</w:t>
            </w:r>
          </w:p>
        </w:tc>
      </w:tr>
      <w:tr w:rsidR="00F214C2" w14:paraId="02A46AE6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630E4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274F3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Difficult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17159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Substantial difficulty.</w:t>
            </w:r>
          </w:p>
        </w:tc>
      </w:tr>
      <w:tr w:rsidR="00F214C2" w14:paraId="30421E37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A5A4A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A9EC1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Very difficult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D2137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Severe difficulty requiring sustained support.</w:t>
            </w:r>
          </w:p>
        </w:tc>
      </w:tr>
    </w:tbl>
    <w:p w14:paraId="738DF739" w14:textId="77777777" w:rsidR="00F214C2" w:rsidRDefault="00000000">
      <w:pPr>
        <w:spacing w:before="60"/>
      </w:pPr>
      <w:r>
        <w:rPr>
          <w:i/>
          <w:color w:val="000000"/>
        </w:rPr>
        <w:t xml:space="preserve">Note. </w:t>
      </w:r>
      <w:r>
        <w:rPr>
          <w:color w:val="000000"/>
        </w:rPr>
        <w:t>The response scale was directionally consistent across the three self-perceived difficulty items: higher scores indicated greater perceived difficulty.</w:t>
      </w:r>
    </w:p>
    <w:p w14:paraId="28523E58" w14:textId="77777777" w:rsidR="00F214C2" w:rsidRDefault="00000000">
      <w:pPr>
        <w:spacing w:before="120"/>
      </w:pPr>
      <w:r>
        <w:rPr>
          <w:b/>
          <w:color w:val="000000"/>
        </w:rPr>
        <w:t>Instrument 2. Genre-Based Writing Tasks (Parallel Forms)</w:t>
      </w:r>
    </w:p>
    <w:p w14:paraId="762E7A86" w14:textId="77777777" w:rsidR="00F214C2" w:rsidRDefault="00000000">
      <w:pPr>
        <w:ind w:firstLine="720"/>
      </w:pPr>
      <w:r>
        <w:rPr>
          <w:color w:val="000000"/>
        </w:rPr>
        <w:t xml:space="preserve">Two parallel descriptive writing tasks were used to generate pre-test and post-test writing samples. Both tasks required learners to produce a short descriptive text under the same timing </w:t>
      </w:r>
      <w:r>
        <w:rPr>
          <w:color w:val="000000"/>
        </w:rPr>
        <w:lastRenderedPageBreak/>
        <w:t>and support conditions. The prompts were parallel in genre, length, and communicative purpose, but differed in topic to reduce repetition effects.</w:t>
      </w:r>
    </w:p>
    <w:p w14:paraId="701F6E99" w14:textId="77777777" w:rsidR="00F214C2" w:rsidRDefault="00000000">
      <w:pPr>
        <w:spacing w:before="120" w:after="0"/>
      </w:pPr>
      <w:r>
        <w:rPr>
          <w:b/>
          <w:color w:val="000000"/>
        </w:rPr>
        <w:t>Table 3</w:t>
      </w:r>
    </w:p>
    <w:p w14:paraId="00E2D09B" w14:textId="77777777" w:rsidR="00F214C2" w:rsidRDefault="00000000">
      <w:r>
        <w:rPr>
          <w:i/>
          <w:color w:val="000000"/>
        </w:rPr>
        <w:t>Parallel Genre-Based Writing Tasks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4074"/>
        <w:gridCol w:w="1523"/>
        <w:gridCol w:w="2472"/>
      </w:tblGrid>
      <w:tr w:rsidR="00F214C2" w14:paraId="69E4DF95" w14:textId="77777777">
        <w:trPr>
          <w:tblHeader/>
          <w:jc w:val="center"/>
        </w:trPr>
        <w:tc>
          <w:tcPr>
            <w:tcW w:w="14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6988E0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Assessment point</w:t>
            </w:r>
          </w:p>
        </w:tc>
        <w:tc>
          <w:tcPr>
            <w:tcW w:w="446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B4C68E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Prompt</w:t>
            </w:r>
          </w:p>
        </w:tc>
        <w:tc>
          <w:tcPr>
            <w:tcW w:w="158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31F802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Minimum length</w:t>
            </w:r>
          </w:p>
        </w:tc>
        <w:tc>
          <w:tcPr>
            <w:tcW w:w="259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0452AF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Administration conditions</w:t>
            </w:r>
          </w:p>
        </w:tc>
      </w:tr>
      <w:tr w:rsidR="00F214C2" w14:paraId="14785C6D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62596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Pre-test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0DA5E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Describe your favorite place in your home country for a friend who has never visited. Include details about the sights, smells, and sounds.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A3748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At least 6–8 sentences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BB1DF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40 minutes; no dictionaries or translation devices; handwritten on a lined response sheet.</w:t>
            </w:r>
          </w:p>
        </w:tc>
      </w:tr>
      <w:tr w:rsidR="00F214C2" w14:paraId="376ECE7E" w14:textId="77777777">
        <w:trPr>
          <w:cantSplit/>
          <w:jc w:val="center"/>
        </w:trPr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7E8C1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Post-test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D0A3D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Describe a traditional market (souq) or a famous landmark in a city you know well for a travel blog. Focus on describing the atmosphere and the people.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2B7C3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At least 6–8 sentences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498B3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40 minutes; no dictionaries or translation devices; handwritten on a lined response sheet.</w:t>
            </w:r>
          </w:p>
        </w:tc>
      </w:tr>
    </w:tbl>
    <w:p w14:paraId="30F487E0" w14:textId="77777777" w:rsidR="00F214C2" w:rsidRDefault="00000000">
      <w:pPr>
        <w:spacing w:before="60"/>
      </w:pPr>
      <w:r>
        <w:rPr>
          <w:i/>
          <w:color w:val="000000"/>
        </w:rPr>
        <w:t xml:space="preserve">Note. </w:t>
      </w:r>
      <w:r>
        <w:rPr>
          <w:color w:val="000000"/>
        </w:rPr>
        <w:t>Both tasks were descriptive-genre prompts and were handwritten to allow raters to assess orthographic connectivity, directionality, spacing, and related script-level features.</w:t>
      </w:r>
    </w:p>
    <w:p w14:paraId="300D6D86" w14:textId="77777777" w:rsidR="00F214C2" w:rsidRDefault="00000000">
      <w:pPr>
        <w:spacing w:before="120"/>
      </w:pPr>
      <w:r>
        <w:rPr>
          <w:b/>
          <w:color w:val="000000"/>
        </w:rPr>
        <w:t>Instrument 3. Analytic Arabic L2 Writing Rubric</w:t>
      </w:r>
    </w:p>
    <w:p w14:paraId="0E2F7CA8" w14:textId="77777777" w:rsidR="00F214C2" w:rsidRDefault="00000000">
      <w:pPr>
        <w:ind w:firstLine="720"/>
      </w:pPr>
      <w:r>
        <w:rPr>
          <w:color w:val="000000"/>
        </w:rPr>
        <w:t>The analytic Arabic L2 writing rubric was used by trained raters to score written performance for quantitative analysis. It assessed four dimensions: orthographic accuracy, morphosyntactic control, cohesion, and genre organization. The rubric used anchored descriptors at three performance levels: high performance, mid-level performance, and low performance.</w:t>
      </w:r>
    </w:p>
    <w:p w14:paraId="4ECDFDBD" w14:textId="77777777" w:rsidR="00F214C2" w:rsidRDefault="00000000">
      <w:pPr>
        <w:spacing w:before="120" w:after="0"/>
      </w:pPr>
      <w:r>
        <w:rPr>
          <w:b/>
          <w:color w:val="000000"/>
        </w:rPr>
        <w:t>Table 4</w:t>
      </w:r>
    </w:p>
    <w:p w14:paraId="4F8C2B27" w14:textId="77777777" w:rsidR="00F214C2" w:rsidRDefault="00000000">
      <w:r>
        <w:rPr>
          <w:i/>
          <w:color w:val="000000"/>
        </w:rPr>
        <w:t>Analytic Arabic L2 Writing Rubric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040"/>
        <w:gridCol w:w="2871"/>
        <w:gridCol w:w="4794"/>
      </w:tblGrid>
      <w:tr w:rsidR="00F214C2" w14:paraId="3A476477" w14:textId="77777777">
        <w:trPr>
          <w:tblHeader/>
          <w:jc w:val="center"/>
        </w:trPr>
        <w:tc>
          <w:tcPr>
            <w:tcW w:w="79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605BCC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Score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AE78C7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Level</w:t>
            </w:r>
          </w:p>
        </w:tc>
        <w:tc>
          <w:tcPr>
            <w:tcW w:w="302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5C31B3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Criterion</w:t>
            </w:r>
          </w:p>
        </w:tc>
        <w:tc>
          <w:tcPr>
            <w:tcW w:w="518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EB7DD6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Descriptor</w:t>
            </w:r>
          </w:p>
        </w:tc>
      </w:tr>
      <w:tr w:rsidR="00F214C2" w14:paraId="7A78171C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E60E6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C2A7A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Expert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A7B58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Orthographic accuracy (script)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EAA99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Connectivity, directionality, and dotting are accurate; hamza and vowels are used appropriately.</w:t>
            </w:r>
          </w:p>
        </w:tc>
      </w:tr>
      <w:tr w:rsidR="00F214C2" w14:paraId="1CC1BA38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1B7B8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5F4C6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Expert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02DB3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Morphosyntactic control (grammar)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A0B80D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Gender/number agreement, definiteness, and verb forms are controlled accurately.</w:t>
            </w:r>
          </w:p>
        </w:tc>
      </w:tr>
      <w:tr w:rsidR="00F214C2" w14:paraId="56CF7626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11B49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4A9C5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Expert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5C7D0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Cohesion (linking)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34B9F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Cohesive devices such as wa, thumma, and lakin are used effectively; reference is clear.</w:t>
            </w:r>
          </w:p>
        </w:tc>
      </w:tr>
      <w:tr w:rsidR="00F214C2" w14:paraId="355D889C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F470D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99A43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Expert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3D061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Genre organization (staging)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1F070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The text has a clear opening, developed descriptive body, and concluding evaluative move.</w:t>
            </w:r>
          </w:p>
        </w:tc>
      </w:tr>
      <w:tr w:rsidR="00F214C2" w14:paraId="0292E9CF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4EA62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4A26ED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Mid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C4215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Orthographic accuracy (script)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411A1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Minor errors appear in connectivity, spacing, or dot placement, but the text remains generally legible.</w:t>
            </w:r>
          </w:p>
        </w:tc>
      </w:tr>
      <w:tr w:rsidR="00F214C2" w14:paraId="51CBD946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204A9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D9888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Mid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566F9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Morphosyntactic control (grammar)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03CC9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Agreement is inconsistent, and occasional errors occur in noun-adjective strings and related structures.</w:t>
            </w:r>
          </w:p>
        </w:tc>
      </w:tr>
      <w:tr w:rsidR="00F214C2" w14:paraId="03957C51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5B434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309D0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Mid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053C7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Cohesion (linking)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EE2F3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Cohesion relies heavily on repeated wa, and some sentences remain weakly connected.</w:t>
            </w:r>
          </w:p>
        </w:tc>
      </w:tr>
      <w:tr w:rsidR="00F214C2" w14:paraId="39392052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CED92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6DDA6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Mid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60797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Genre organization (staging)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2067C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The expected stages are recognizable, but transitions are abrupt or formulaic.</w:t>
            </w:r>
          </w:p>
        </w:tc>
      </w:tr>
      <w:tr w:rsidR="00F214C2" w14:paraId="486B71AA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99AF0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DC4CBA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Low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78435B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Orthographic accuracy (script)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BCADFD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Directionality errors are frequent; letters are often unconnected, distorted, or difficult to read.</w:t>
            </w:r>
          </w:p>
        </w:tc>
      </w:tr>
      <w:tr w:rsidR="00F214C2" w14:paraId="1CE8CB8E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F46DC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24887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Low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9526C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Morphosyntactic control (grammar)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FCCA4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Word order and agreement errors are severe, and basic morphosyntactic control is largely absent.</w:t>
            </w:r>
          </w:p>
        </w:tc>
      </w:tr>
      <w:tr w:rsidR="00F214C2" w14:paraId="7C3BEB0D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D5BE2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EDE26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Low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12336C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Cohesion (linking)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4B991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Linking words are absent or ineffective, and the text reads as disconnected fragments.</w:t>
            </w:r>
          </w:p>
        </w:tc>
      </w:tr>
      <w:tr w:rsidR="00F214C2" w14:paraId="616A9B93" w14:textId="77777777">
        <w:trPr>
          <w:cantSplit/>
          <w:jc w:val="center"/>
        </w:trPr>
        <w:tc>
          <w:tcPr>
            <w:tcW w:w="79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B555D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AA3C1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Low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D13B2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Genre organization (staging)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D6B1A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The text lacks clear staging and does not adequately fulfill the descriptive genre purpose.</w:t>
            </w:r>
          </w:p>
        </w:tc>
      </w:tr>
    </w:tbl>
    <w:p w14:paraId="51DF47EB" w14:textId="77777777" w:rsidR="00F214C2" w:rsidRDefault="00000000">
      <w:pPr>
        <w:spacing w:before="60"/>
      </w:pPr>
      <w:r>
        <w:rPr>
          <w:i/>
          <w:color w:val="000000"/>
        </w:rPr>
        <w:t xml:space="preserve">Note. </w:t>
      </w:r>
      <w:r>
        <w:rPr>
          <w:color w:val="000000"/>
        </w:rPr>
        <w:t>The rubric is an ordinal analytic scoring instrument. The displayed anchors are 1, 3, and 5; intermediate scores should be used only if the study scoring protocol explicitly permitted them.</w:t>
      </w:r>
    </w:p>
    <w:p w14:paraId="7DD6E353" w14:textId="77777777" w:rsidR="00F214C2" w:rsidRDefault="00000000">
      <w:pPr>
        <w:spacing w:before="120"/>
      </w:pPr>
      <w:r>
        <w:rPr>
          <w:b/>
          <w:color w:val="000000"/>
        </w:rPr>
        <w:t>Instrument 4. Semi-Structured Interview Protocol</w:t>
      </w:r>
    </w:p>
    <w:p w14:paraId="37DBE901" w14:textId="77777777" w:rsidR="00F214C2" w:rsidRDefault="00000000">
      <w:pPr>
        <w:ind w:firstLine="720"/>
      </w:pPr>
      <w:r>
        <w:rPr>
          <w:color w:val="000000"/>
        </w:rPr>
        <w:t>The semi-structured interview protocol was used to generate qualitative data explaining learners’ experiences of Arabic script learning, genre-based writing, cognitive load, feedback uptake, and script distance. The questions were open-ended to allow participants to describe changes in their own learning process while preserving comparability across interviews.</w:t>
      </w:r>
    </w:p>
    <w:p w14:paraId="0A869CF7" w14:textId="77777777" w:rsidR="00F214C2" w:rsidRDefault="00000000">
      <w:pPr>
        <w:spacing w:before="120" w:after="0"/>
      </w:pPr>
      <w:r>
        <w:rPr>
          <w:b/>
          <w:color w:val="000000"/>
        </w:rPr>
        <w:t>Table 5</w:t>
      </w:r>
    </w:p>
    <w:p w14:paraId="69405BC9" w14:textId="77777777" w:rsidR="00F214C2" w:rsidRDefault="00000000">
      <w:r>
        <w:rPr>
          <w:i/>
          <w:color w:val="000000"/>
        </w:rPr>
        <w:t>Semi-Structured Interview Protocol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4690"/>
        <w:gridCol w:w="2861"/>
      </w:tblGrid>
      <w:tr w:rsidR="00F214C2" w14:paraId="5EBC5683" w14:textId="77777777">
        <w:trPr>
          <w:tblHeader/>
          <w:jc w:val="center"/>
        </w:trPr>
        <w:tc>
          <w:tcPr>
            <w:tcW w:w="201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0E26BA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Domain</w:t>
            </w:r>
          </w:p>
        </w:tc>
        <w:tc>
          <w:tcPr>
            <w:tcW w:w="50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F09F4F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Guiding question</w:t>
            </w:r>
          </w:p>
        </w:tc>
        <w:tc>
          <w:tcPr>
            <w:tcW w:w="302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1C8F90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Qualitative focus</w:t>
            </w:r>
          </w:p>
        </w:tc>
      </w:tr>
      <w:tr w:rsidR="00F214C2" w14:paraId="7661BA02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4FB93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Script experience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80E30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When you first started writing this semester, what was the most difficult thing about the Arabic letters? Has that changed?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921CA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Tracks perceived change in script-level difficulty and orthographic confidence.</w:t>
            </w:r>
          </w:p>
        </w:tc>
      </w:tr>
      <w:tr w:rsidR="00F214C2" w14:paraId="2DC99BDD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29D77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Genre awareness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3AAF24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Before this class, how did you decide how to start and end an Arabic paragraph? How did the model texts change your approach?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5DCE8B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Explores awareness of genre staging and the influence of model texts.</w:t>
            </w:r>
          </w:p>
        </w:tc>
      </w:tr>
      <w:tr w:rsidR="00F214C2" w14:paraId="7D201CC5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6D404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lastRenderedPageBreak/>
              <w:t>Cognitive load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48D41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Do you feel you spend more time thinking about how to write a word, such as spelling and dots, or about what to say, such as meaning? Describe that feeling.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FC60F3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Examines the distribution of attention between script production and meaning construction.</w:t>
            </w:r>
          </w:p>
        </w:tc>
      </w:tr>
      <w:tr w:rsidR="00F214C2" w14:paraId="0F476B08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FCB13E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Feedback uptake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28852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When the teacher used the analytic rubric to give you feedback, which category, such as cohesion or orthography, did you find most helpful for your revision? Why?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88AC5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Identifies which rubric dimensions supported revision most clearly.</w:t>
            </w:r>
          </w:p>
        </w:tc>
      </w:tr>
      <w:tr w:rsidR="00F214C2" w14:paraId="1A98D31B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E1CFF2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Script distance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F3600B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For non-Arabic script users: Does your first language help you or confuse you when you try to organize your ideas in Arabic?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B8336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Captures perceived transfer, interference, or support from the learner’s first language and script background.</w:t>
            </w:r>
          </w:p>
        </w:tc>
      </w:tr>
    </w:tbl>
    <w:p w14:paraId="73E780BB" w14:textId="77777777" w:rsidR="00F214C2" w:rsidRDefault="00000000">
      <w:pPr>
        <w:spacing w:before="60"/>
      </w:pPr>
      <w:r>
        <w:rPr>
          <w:i/>
          <w:color w:val="000000"/>
        </w:rPr>
        <w:t xml:space="preserve">Note. </w:t>
      </w:r>
      <w:r>
        <w:rPr>
          <w:color w:val="000000"/>
        </w:rPr>
        <w:t>Questions could be followed by neutral probes such as “Can you give an example?” or “What happened during revision?” to clarify participants’ responses without leading them.</w:t>
      </w:r>
    </w:p>
    <w:p w14:paraId="1342828B" w14:textId="77777777" w:rsidR="00F214C2" w:rsidRDefault="00000000">
      <w:pPr>
        <w:spacing w:before="120"/>
      </w:pPr>
      <w:r>
        <w:rPr>
          <w:b/>
          <w:color w:val="000000"/>
        </w:rPr>
        <w:t>Instrument 5. Classroom Observation Memo Template</w:t>
      </w:r>
    </w:p>
    <w:p w14:paraId="7996C4AB" w14:textId="77777777" w:rsidR="00F214C2" w:rsidRDefault="00000000">
      <w:pPr>
        <w:ind w:firstLine="720"/>
      </w:pPr>
      <w:r>
        <w:rPr>
          <w:color w:val="000000"/>
        </w:rPr>
        <w:t>The classroom observation memo template was used to triangulate writing gains and interview themes with instructional practice. The template focused on instructional phase, critical incidents, engagement patterns across script-ecology groups, and the explicitness of feedback delivery.</w:t>
      </w:r>
    </w:p>
    <w:p w14:paraId="2803BA7A" w14:textId="77777777" w:rsidR="00F214C2" w:rsidRDefault="00000000">
      <w:pPr>
        <w:spacing w:before="120" w:after="0"/>
      </w:pPr>
      <w:r>
        <w:rPr>
          <w:b/>
          <w:color w:val="000000"/>
        </w:rPr>
        <w:t>Table 6</w:t>
      </w:r>
    </w:p>
    <w:p w14:paraId="32159298" w14:textId="77777777" w:rsidR="00F214C2" w:rsidRDefault="00000000">
      <w:r>
        <w:rPr>
          <w:i/>
          <w:color w:val="000000"/>
        </w:rPr>
        <w:t>Classroom Observation Memo Template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4166"/>
        <w:gridCol w:w="3378"/>
      </w:tblGrid>
      <w:tr w:rsidR="00F214C2" w14:paraId="17B00967" w14:textId="77777777">
        <w:trPr>
          <w:tblHeader/>
          <w:jc w:val="center"/>
        </w:trPr>
        <w:tc>
          <w:tcPr>
            <w:tcW w:w="201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A59482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Field</w:t>
            </w:r>
          </w:p>
        </w:tc>
        <w:tc>
          <w:tcPr>
            <w:tcW w:w="446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3EF70C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Recording prompt/format</w:t>
            </w:r>
          </w:p>
        </w:tc>
        <w:tc>
          <w:tcPr>
            <w:tcW w:w="360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986D8F" w14:textId="77777777" w:rsidR="00F214C2" w:rsidRDefault="00000000">
            <w:pPr>
              <w:spacing w:after="0" w:line="276" w:lineRule="auto"/>
            </w:pPr>
            <w:r>
              <w:rPr>
                <w:b/>
                <w:color w:val="000000"/>
                <w:sz w:val="22"/>
              </w:rPr>
              <w:t>Analytic purpose</w:t>
            </w:r>
          </w:p>
        </w:tc>
      </w:tr>
      <w:tr w:rsidR="00F214C2" w14:paraId="3124139C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6570F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Date/level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AB5E3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Date and learner level or class section.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4A3D7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Contextualizes the observation and links it to the instructional sequence.</w:t>
            </w:r>
          </w:p>
        </w:tc>
      </w:tr>
      <w:tr w:rsidR="00F214C2" w14:paraId="6D866A16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110F6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Instructional phase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87CF8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Select one: model analysis; joint construction; independent writing.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327A3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Identifies where the observed episode occurred in the genre-based instructional cycle.</w:t>
            </w:r>
          </w:p>
        </w:tc>
      </w:tr>
      <w:tr w:rsidR="00F214C2" w14:paraId="6AA44CA6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A0C859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Critical incidents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32F000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Record salient episodes, such as multiple students struggling with ta marbutah during the descriptive task.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2DF887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Documents recurring difficulty points or moments of visible learning.</w:t>
            </w:r>
          </w:p>
        </w:tc>
      </w:tr>
      <w:tr w:rsidR="00F214C2" w14:paraId="761095A8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1D74F1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Learner engagement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1C05F6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Describe how learners from different script-ecology groups responded to orthographic scaffolding.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1D81FD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Supports comparison across learner profiles and script-distance groups.</w:t>
            </w:r>
          </w:p>
        </w:tc>
      </w:tr>
      <w:tr w:rsidR="00F214C2" w14:paraId="3427FC7D" w14:textId="77777777"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4A4A8F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lastRenderedPageBreak/>
              <w:t>Feedback delivery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1B4BF5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Record whether the instructor explicitly linked a grammar point to a genre move.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3DC128" w14:textId="77777777" w:rsidR="00F214C2" w:rsidRDefault="00000000">
            <w:pPr>
              <w:spacing w:after="0" w:line="276" w:lineRule="auto"/>
            </w:pPr>
            <w:r>
              <w:rPr>
                <w:color w:val="000000"/>
                <w:sz w:val="22"/>
              </w:rPr>
              <w:t>Assesses alignment between linguistic feedback and genre-based writing goals.</w:t>
            </w:r>
          </w:p>
        </w:tc>
      </w:tr>
    </w:tbl>
    <w:p w14:paraId="7D0E22E5" w14:textId="77777777" w:rsidR="00F214C2" w:rsidRDefault="00000000">
      <w:pPr>
        <w:spacing w:before="60"/>
      </w:pPr>
      <w:r>
        <w:rPr>
          <w:i/>
          <w:color w:val="000000"/>
        </w:rPr>
        <w:t xml:space="preserve">Note. </w:t>
      </w:r>
      <w:r>
        <w:rPr>
          <w:color w:val="000000"/>
        </w:rPr>
        <w:t>The memo template was used for triangulation and was not treated as a psychometric scale.</w:t>
      </w:r>
    </w:p>
    <w:p w14:paraId="225DA314" w14:textId="77777777" w:rsidR="00F214C2" w:rsidRDefault="00000000">
      <w:pPr>
        <w:spacing w:before="120"/>
      </w:pPr>
      <w:r>
        <w:rPr>
          <w:b/>
          <w:color w:val="000000"/>
        </w:rPr>
        <w:t>Scoring and Use of the Instruments</w:t>
      </w:r>
    </w:p>
    <w:p w14:paraId="7D4601B7" w14:textId="77777777" w:rsidR="00F214C2" w:rsidRDefault="00000000">
      <w:pPr>
        <w:ind w:firstLine="720"/>
      </w:pPr>
      <w:r>
        <w:rPr>
          <w:color w:val="000000"/>
        </w:rPr>
        <w:t>Together, these instruments provided complementary forms of evidence. The LBSQ established learner background and script-ecology profiles; the parallel writing tasks generated comparable pre-test and post-test writing samples; the analytic rubric produced ordinal writing-performance scores; the interview protocol explained learners’ perceptions of script learning, genre awareness, and feedback; and the observation template linked classroom events to the patterns identified in the quantitative and qualitative analyses.</w:t>
      </w:r>
    </w:p>
    <w:p w14:paraId="01BCC651" w14:textId="38912276" w:rsidR="00F214C2" w:rsidRDefault="00000000">
      <w:pPr>
        <w:ind w:firstLine="720"/>
      </w:pPr>
      <w:r>
        <w:rPr>
          <w:color w:val="000000"/>
        </w:rPr>
        <w:t xml:space="preserve">For reporting purposes, categorical questionnaire responses </w:t>
      </w:r>
      <w:r w:rsidR="00D2280B">
        <w:rPr>
          <w:color w:val="000000"/>
        </w:rPr>
        <w:t>were</w:t>
      </w:r>
      <w:r>
        <w:rPr>
          <w:color w:val="000000"/>
        </w:rPr>
        <w:t xml:space="preserve"> summarized descriptively, Likert-type difficulty items should be reported with appropriate ordinal or scale-based descriptive statistics as justified by the analysis plan, and rubric scores should be reported by dimension and assessment point. Qualitative interview and observation data </w:t>
      </w:r>
      <w:r w:rsidR="00D2280B">
        <w:rPr>
          <w:color w:val="000000"/>
        </w:rPr>
        <w:t>were</w:t>
      </w:r>
      <w:r>
        <w:rPr>
          <w:color w:val="000000"/>
        </w:rPr>
        <w:t xml:space="preserve"> coded thematically and integrated after the quantitative findings to explain, elaborate, or qualify the statistical results.</w:t>
      </w:r>
    </w:p>
    <w:sectPr w:rsidR="00F214C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111946">
    <w:abstractNumId w:val="8"/>
  </w:num>
  <w:num w:numId="2" w16cid:durableId="1140464128">
    <w:abstractNumId w:val="6"/>
  </w:num>
  <w:num w:numId="3" w16cid:durableId="2104567631">
    <w:abstractNumId w:val="5"/>
  </w:num>
  <w:num w:numId="4" w16cid:durableId="1179929190">
    <w:abstractNumId w:val="4"/>
  </w:num>
  <w:num w:numId="5" w16cid:durableId="1781752861">
    <w:abstractNumId w:val="7"/>
  </w:num>
  <w:num w:numId="6" w16cid:durableId="773407814">
    <w:abstractNumId w:val="3"/>
  </w:num>
  <w:num w:numId="7" w16cid:durableId="771390944">
    <w:abstractNumId w:val="2"/>
  </w:num>
  <w:num w:numId="8" w16cid:durableId="927932852">
    <w:abstractNumId w:val="1"/>
  </w:num>
  <w:num w:numId="9" w16cid:durableId="193463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4CA1"/>
    <w:rsid w:val="00AA1D8D"/>
    <w:rsid w:val="00B47730"/>
    <w:rsid w:val="00CB0664"/>
    <w:rsid w:val="00D2280B"/>
    <w:rsid w:val="00F214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F9CAA"/>
  <w14:defaultImageDpi w14:val="300"/>
  <w15:docId w15:val="{6384ADB9-59EA-43E1-AC0E-9BD7FB55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9672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2026-05-25T11:41:00Z</dcterms:modified>
  <cp:category/>
</cp:coreProperties>
</file>