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530" w:rsidRDefault="00A71530" w:rsidP="00A71530">
      <w:pPr>
        <w:spacing w:before="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9FB">
        <w:rPr>
          <w:rFonts w:ascii="Times New Roman" w:hAnsi="Times New Roman" w:cs="Times New Roman"/>
          <w:sz w:val="24"/>
          <w:szCs w:val="24"/>
        </w:rPr>
        <w:t xml:space="preserve">  </w:t>
      </w:r>
      <w:r w:rsidRPr="00F429F9">
        <w:rPr>
          <w:rFonts w:ascii="Times New Roman" w:hAnsi="Times New Roman" w:cs="Times New Roman"/>
          <w:b/>
          <w:sz w:val="24"/>
          <w:szCs w:val="24"/>
        </w:rPr>
        <w:t>S5. Gels for isolation and purification of Proteins:</w:t>
      </w:r>
    </w:p>
    <w:p w:rsidR="00A71530" w:rsidRDefault="00A71530" w:rsidP="00A71530">
      <w:pPr>
        <w:spacing w:before="8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S5.1 </w:t>
      </w:r>
      <w:r w:rsidRPr="00F429F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NRF2 Digestion &amp; </w:t>
      </w:r>
      <w:proofErr w:type="spellStart"/>
      <w:r w:rsidRPr="00F429F9">
        <w:rPr>
          <w:rFonts w:ascii="Times New Roman" w:hAnsi="Times New Roman" w:cs="Times New Roman"/>
          <w:b/>
          <w:bCs/>
          <w:sz w:val="24"/>
          <w:szCs w:val="24"/>
          <w:lang w:val="en-US"/>
        </w:rPr>
        <w:t>Capta</w:t>
      </w:r>
      <w:proofErr w:type="spellEnd"/>
      <w:r w:rsidRPr="00F429F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Column Elution:</w:t>
      </w:r>
    </w:p>
    <w:p w:rsidR="00A71530" w:rsidRDefault="00A71530" w:rsidP="00A71530">
      <w:pPr>
        <w:spacing w:before="8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3BF188CE" wp14:editId="3C1A0F84">
            <wp:extent cx="6019800" cy="2886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84" r="32333" b="2107"/>
                    <a:stretch/>
                  </pic:blipFill>
                  <pic:spPr bwMode="auto">
                    <a:xfrm>
                      <a:off x="0" y="0"/>
                      <a:ext cx="6037287" cy="289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530" w:rsidRDefault="00A71530" w:rsidP="00A71530">
      <w:pPr>
        <w:spacing w:before="80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B039F0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Figure S1: SDS–PAGE analysis of NRF2 digestion. Lane 1: molecular weight marker (Std); Lane 3: digested NRF2 (FT); Lanes 5 and 7: empty fractions. A distinct band corresponding to NRF2 (~68 </w:t>
      </w:r>
      <w:proofErr w:type="spellStart"/>
      <w:r w:rsidRPr="00B039F0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kDa</w:t>
      </w:r>
      <w:proofErr w:type="spellEnd"/>
      <w:r w:rsidRPr="00B039F0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) is observed in the FT lane, with no detectable bands in the empty fractions.</w:t>
      </w:r>
    </w:p>
    <w:p w:rsidR="00A71530" w:rsidRDefault="00A71530" w:rsidP="00A71530">
      <w:pPr>
        <w:spacing w:before="80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val="en-US"/>
        </w:rPr>
        <w:drawing>
          <wp:inline distT="0" distB="0" distL="0" distR="0" wp14:anchorId="4ED21C22" wp14:editId="6D8E34BE">
            <wp:extent cx="5819775" cy="3195320"/>
            <wp:effectExtent l="0" t="0" r="952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127" cy="3204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1530" w:rsidRPr="00B039F0" w:rsidRDefault="00A71530" w:rsidP="00A71530">
      <w:pPr>
        <w:spacing w:before="80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B039F0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S2</w:t>
      </w:r>
      <w:r w:rsidRPr="00B039F0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. SDS–PAGE analysis of NRF2 purification and elution fractions. Lane 1: molecular weight marker; Lane 3: Elution fraction 12 (E12); Lane 5: Elution fraction 14 (E14); Lane 7: Elution fraction 16 (E16); Lane 9: Elution fraction 18 (E18). A prominent band corresponding to NRF2 (~68 </w:t>
      </w:r>
      <w:proofErr w:type="spellStart"/>
      <w:r w:rsidRPr="00B039F0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kDa</w:t>
      </w:r>
      <w:proofErr w:type="spellEnd"/>
      <w:r w:rsidRPr="00B039F0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) is observed across elution fractions, with increasing intensity in later fractions, indicating successful purification and elution.</w:t>
      </w:r>
    </w:p>
    <w:p w:rsidR="00A71530" w:rsidRPr="00F429F9" w:rsidRDefault="00A71530" w:rsidP="00A71530">
      <w:pPr>
        <w:spacing w:before="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38A488D" wp14:editId="6B0DEF82">
            <wp:extent cx="5491480" cy="2888959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719" cy="2897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1530" w:rsidRDefault="00A71530" w:rsidP="00A71530">
      <w:pPr>
        <w:spacing w:before="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39F0">
        <w:rPr>
          <w:rStyle w:val="Strong"/>
          <w:rFonts w:ascii="Times New Roman" w:hAnsi="Times New Roman" w:cs="Times New Roman"/>
          <w:i/>
          <w:sz w:val="24"/>
          <w:szCs w:val="24"/>
        </w:rPr>
        <w:t xml:space="preserve">Figure </w:t>
      </w:r>
      <w:r>
        <w:rPr>
          <w:rStyle w:val="Strong"/>
          <w:rFonts w:ascii="Times New Roman" w:hAnsi="Times New Roman" w:cs="Times New Roman"/>
          <w:i/>
          <w:sz w:val="24"/>
          <w:szCs w:val="24"/>
        </w:rPr>
        <w:t>S3</w:t>
      </w:r>
      <w:r w:rsidRPr="00B039F0">
        <w:rPr>
          <w:rStyle w:val="Strong"/>
          <w:rFonts w:ascii="Times New Roman" w:hAnsi="Times New Roman" w:cs="Times New Roman"/>
          <w:i/>
          <w:sz w:val="24"/>
          <w:szCs w:val="24"/>
        </w:rPr>
        <w:t>. SDS–PAGE analysis of HO-1 protein digestion and elution.</w:t>
      </w:r>
      <w:r w:rsidRPr="00B039F0">
        <w:rPr>
          <w:rFonts w:ascii="Times New Roman" w:hAnsi="Times New Roman" w:cs="Times New Roman"/>
          <w:b/>
          <w:i/>
          <w:sz w:val="24"/>
          <w:szCs w:val="24"/>
        </w:rPr>
        <w:t xml:space="preserve"> Lane 1: molecular weight marker (Std); Lane 3: Digestion (3:1); Lane 5: 50 mM Tris fraction; Lane 7: 125 mM imidazole fraction. A prominent band corresponding to HO-1 (~32 </w:t>
      </w:r>
      <w:proofErr w:type="spellStart"/>
      <w:r w:rsidRPr="00B039F0">
        <w:rPr>
          <w:rFonts w:ascii="Times New Roman" w:hAnsi="Times New Roman" w:cs="Times New Roman"/>
          <w:b/>
          <w:i/>
          <w:sz w:val="24"/>
          <w:szCs w:val="24"/>
        </w:rPr>
        <w:t>kDa</w:t>
      </w:r>
      <w:proofErr w:type="spellEnd"/>
      <w:r w:rsidRPr="00B039F0">
        <w:rPr>
          <w:rFonts w:ascii="Times New Roman" w:hAnsi="Times New Roman" w:cs="Times New Roman"/>
          <w:b/>
          <w:i/>
          <w:sz w:val="24"/>
          <w:szCs w:val="24"/>
        </w:rPr>
        <w:t>) is observed in the digestion and imidazole-eluted fractions, indicating successful cleavage and recovery of the target protein.</w:t>
      </w:r>
    </w:p>
    <w:p w:rsidR="00A71530" w:rsidRDefault="00A71530" w:rsidP="00A71530">
      <w:pPr>
        <w:spacing w:before="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10AA4777" wp14:editId="6F844FCF">
            <wp:extent cx="5857875" cy="29432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360" cy="2948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1530" w:rsidRPr="00B039F0" w:rsidRDefault="00A71530" w:rsidP="00A71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n-IN"/>
        </w:rPr>
      </w:pPr>
      <w:r w:rsidRPr="00B039F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IN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IN"/>
        </w:rPr>
        <w:t>S4</w:t>
      </w:r>
      <w:r w:rsidRPr="00B039F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IN"/>
        </w:rPr>
        <w:t>. SDS–PAGE analysis of purification and elution fractions.</w:t>
      </w:r>
      <w:r w:rsidRPr="00B039F0">
        <w:rPr>
          <w:rFonts w:ascii="Times New Roman" w:eastAsia="Times New Roman" w:hAnsi="Times New Roman" w:cs="Times New Roman"/>
          <w:b/>
          <w:i/>
          <w:sz w:val="24"/>
          <w:szCs w:val="24"/>
          <w:lang w:eastAsia="en-IN"/>
        </w:rPr>
        <w:t xml:space="preserve"> Lane 1: molecular weight marker (Std); Lane 3: Elution 8 (E8); Lane 5: Elution 10 (E10); Lane 7: Elution 12 (E12); Lane 9: Elution 14 (E14). A prominent band corresponding to the target protein (~32 </w:t>
      </w:r>
      <w:proofErr w:type="spellStart"/>
      <w:r w:rsidRPr="00B039F0">
        <w:rPr>
          <w:rFonts w:ascii="Times New Roman" w:eastAsia="Times New Roman" w:hAnsi="Times New Roman" w:cs="Times New Roman"/>
          <w:b/>
          <w:i/>
          <w:sz w:val="24"/>
          <w:szCs w:val="24"/>
          <w:lang w:eastAsia="en-IN"/>
        </w:rPr>
        <w:t>kDa</w:t>
      </w:r>
      <w:proofErr w:type="spellEnd"/>
      <w:r w:rsidRPr="00B039F0">
        <w:rPr>
          <w:rFonts w:ascii="Times New Roman" w:eastAsia="Times New Roman" w:hAnsi="Times New Roman" w:cs="Times New Roman"/>
          <w:b/>
          <w:i/>
          <w:sz w:val="24"/>
          <w:szCs w:val="24"/>
          <w:lang w:eastAsia="en-IN"/>
        </w:rPr>
        <w:t xml:space="preserve"> for HO-1) is observed across elution fractions, confirming successful purification and recovery.</w:t>
      </w:r>
    </w:p>
    <w:p w:rsidR="00A71530" w:rsidRDefault="00A71530" w:rsidP="00A71530">
      <w:pPr>
        <w:spacing w:before="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inline distT="0" distB="0" distL="0" distR="0" wp14:anchorId="41F69F27" wp14:editId="2D4464D3">
            <wp:extent cx="5721369" cy="30099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695" cy="3012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1530" w:rsidRDefault="00A71530" w:rsidP="00A71530">
      <w:pPr>
        <w:spacing w:before="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6A95">
        <w:rPr>
          <w:rFonts w:ascii="Times New Roman" w:hAnsi="Times New Roman" w:cs="Times New Roman"/>
          <w:b/>
          <w:i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i/>
          <w:sz w:val="24"/>
          <w:szCs w:val="24"/>
        </w:rPr>
        <w:t>S5</w:t>
      </w:r>
      <w:r w:rsidRPr="00986A95">
        <w:rPr>
          <w:rFonts w:ascii="Times New Roman" w:hAnsi="Times New Roman" w:cs="Times New Roman"/>
          <w:b/>
          <w:i/>
          <w:sz w:val="24"/>
          <w:szCs w:val="24"/>
        </w:rPr>
        <w:t xml:space="preserve">. SDS–PAGE analysis of NQO1 digestion and purification. Lane 1: molecular weight marker (Std); Lane 3: Digestion (3:1); Lane 5: 50 mM Tris fraction; Lane 7: 125 mM imidazole fraction. A distinct band corresponding to NQO1 (~31 </w:t>
      </w:r>
      <w:proofErr w:type="spellStart"/>
      <w:r w:rsidRPr="00986A95">
        <w:rPr>
          <w:rFonts w:ascii="Times New Roman" w:hAnsi="Times New Roman" w:cs="Times New Roman"/>
          <w:b/>
          <w:i/>
          <w:sz w:val="24"/>
          <w:szCs w:val="24"/>
        </w:rPr>
        <w:t>kDa</w:t>
      </w:r>
      <w:proofErr w:type="spellEnd"/>
      <w:r w:rsidRPr="00986A95">
        <w:rPr>
          <w:rFonts w:ascii="Times New Roman" w:hAnsi="Times New Roman" w:cs="Times New Roman"/>
          <w:b/>
          <w:i/>
          <w:sz w:val="24"/>
          <w:szCs w:val="24"/>
        </w:rPr>
        <w:t>) is observed in the digestion and imidazole-eluted fractions, confirming successful cleavage and recovery of the target protein.</w:t>
      </w:r>
    </w:p>
    <w:p w:rsidR="00A71530" w:rsidRDefault="00A71530" w:rsidP="00A71530">
      <w:pPr>
        <w:spacing w:before="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33DCBB55" wp14:editId="360B8D10">
            <wp:extent cx="5854449" cy="30099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364" cy="3021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1530" w:rsidRDefault="00A71530" w:rsidP="00A71530">
      <w:pPr>
        <w:spacing w:before="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6A95">
        <w:rPr>
          <w:rFonts w:ascii="Times New Roman" w:hAnsi="Times New Roman" w:cs="Times New Roman"/>
          <w:b/>
          <w:i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i/>
          <w:sz w:val="24"/>
          <w:szCs w:val="24"/>
        </w:rPr>
        <w:t>S6</w:t>
      </w:r>
      <w:r w:rsidRPr="00986A95">
        <w:rPr>
          <w:rFonts w:ascii="Times New Roman" w:hAnsi="Times New Roman" w:cs="Times New Roman"/>
          <w:b/>
          <w:i/>
          <w:sz w:val="24"/>
          <w:szCs w:val="24"/>
        </w:rPr>
        <w:t xml:space="preserve">. SDS–PAGE analysis of purification and elution fractions. Lane 1: molecular weight marker (Std); Lane 3: post-lysis wash (PLW); Lane 5: Load; Lane 7: Elution 8 (E8); Lane 9: Elution 10 (E10). A prominent band corresponding to the target protein (~31–32 </w:t>
      </w:r>
      <w:proofErr w:type="spellStart"/>
      <w:r w:rsidRPr="00986A95">
        <w:rPr>
          <w:rFonts w:ascii="Times New Roman" w:hAnsi="Times New Roman" w:cs="Times New Roman"/>
          <w:b/>
          <w:i/>
          <w:sz w:val="24"/>
          <w:szCs w:val="24"/>
        </w:rPr>
        <w:t>kDa</w:t>
      </w:r>
      <w:proofErr w:type="spellEnd"/>
      <w:r w:rsidRPr="00986A95">
        <w:rPr>
          <w:rFonts w:ascii="Times New Roman" w:hAnsi="Times New Roman" w:cs="Times New Roman"/>
          <w:b/>
          <w:i/>
          <w:sz w:val="24"/>
          <w:szCs w:val="24"/>
        </w:rPr>
        <w:t xml:space="preserve"> for NQO1, if applicable) is enriched in the elution fractions, confirming successful purification.</w:t>
      </w:r>
    </w:p>
    <w:p w:rsidR="00A71530" w:rsidRDefault="00A71530" w:rsidP="00A71530">
      <w:pPr>
        <w:spacing w:before="8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71530" w:rsidRDefault="00A71530" w:rsidP="00A71530">
      <w:pPr>
        <w:spacing w:before="8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71530" w:rsidRDefault="00A71530" w:rsidP="00A71530">
      <w:pPr>
        <w:spacing w:before="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inline distT="0" distB="0" distL="0" distR="0" wp14:anchorId="742F68D7" wp14:editId="59D5EBA0">
            <wp:extent cx="6219825" cy="324187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683" cy="3253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A71530" w:rsidRDefault="00A71530" w:rsidP="00A71530">
      <w:pPr>
        <w:spacing w:before="8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71530" w:rsidRPr="00B039F0" w:rsidRDefault="00A71530" w:rsidP="00A71530">
      <w:pPr>
        <w:spacing w:before="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6A95">
        <w:rPr>
          <w:rFonts w:ascii="Times New Roman" w:hAnsi="Times New Roman" w:cs="Times New Roman"/>
          <w:b/>
          <w:i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i/>
          <w:sz w:val="24"/>
          <w:szCs w:val="24"/>
        </w:rPr>
        <w:t>S7</w:t>
      </w:r>
      <w:r w:rsidRPr="00986A95">
        <w:rPr>
          <w:rFonts w:ascii="Times New Roman" w:hAnsi="Times New Roman" w:cs="Times New Roman"/>
          <w:b/>
          <w:i/>
          <w:sz w:val="24"/>
          <w:szCs w:val="24"/>
        </w:rPr>
        <w:t xml:space="preserve">. Schematic representation of </w:t>
      </w:r>
      <w:proofErr w:type="spellStart"/>
      <w:r w:rsidRPr="00986A95">
        <w:rPr>
          <w:rFonts w:ascii="Times New Roman" w:hAnsi="Times New Roman" w:cs="Times New Roman"/>
          <w:b/>
          <w:i/>
          <w:sz w:val="24"/>
          <w:szCs w:val="24"/>
        </w:rPr>
        <w:t>ZnCl</w:t>
      </w:r>
      <w:proofErr w:type="spellEnd"/>
      <w:r w:rsidRPr="00986A95">
        <w:rPr>
          <w:rFonts w:ascii="Times New Roman" w:hAnsi="Times New Roman" w:cs="Times New Roman"/>
          <w:b/>
          <w:i/>
          <w:sz w:val="24"/>
          <w:szCs w:val="24"/>
        </w:rPr>
        <w:t xml:space="preserve">₂ treatment protocol. Cells were treated with 0.1 M </w:t>
      </w:r>
      <w:proofErr w:type="spellStart"/>
      <w:r w:rsidRPr="00986A95">
        <w:rPr>
          <w:rFonts w:ascii="Times New Roman" w:hAnsi="Times New Roman" w:cs="Times New Roman"/>
          <w:b/>
          <w:i/>
          <w:sz w:val="24"/>
          <w:szCs w:val="24"/>
        </w:rPr>
        <w:t>ZnCl</w:t>
      </w:r>
      <w:proofErr w:type="spellEnd"/>
      <w:r w:rsidRPr="00986A95">
        <w:rPr>
          <w:rFonts w:ascii="Times New Roman" w:hAnsi="Times New Roman" w:cs="Times New Roman"/>
          <w:b/>
          <w:i/>
          <w:sz w:val="24"/>
          <w:szCs w:val="24"/>
        </w:rPr>
        <w:t>₂ (0.5 CV), followed by sequential processing steps as indicated by arrows. The diagram outlines the workflow used for chemical treatment and downstream analysis.</w:t>
      </w:r>
    </w:p>
    <w:p w:rsidR="00816110" w:rsidRDefault="00816110"/>
    <w:sectPr w:rsidR="00816110" w:rsidSect="00633F5A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5831" w:rsidRDefault="00BA5831" w:rsidP="00A71530">
      <w:pPr>
        <w:spacing w:after="0" w:line="240" w:lineRule="auto"/>
      </w:pPr>
      <w:r>
        <w:separator/>
      </w:r>
    </w:p>
  </w:endnote>
  <w:endnote w:type="continuationSeparator" w:id="0">
    <w:p w:rsidR="00BA5831" w:rsidRDefault="00BA5831" w:rsidP="00A7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99270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4A55" w:rsidRDefault="00BA5831">
        <w:pPr>
          <w:pStyle w:val="Footer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FA4A55" w:rsidRDefault="00BA58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5831" w:rsidRDefault="00BA5831" w:rsidP="00A71530">
      <w:pPr>
        <w:spacing w:after="0" w:line="240" w:lineRule="auto"/>
      </w:pPr>
      <w:r>
        <w:separator/>
      </w:r>
    </w:p>
  </w:footnote>
  <w:footnote w:type="continuationSeparator" w:id="0">
    <w:p w:rsidR="00BA5831" w:rsidRDefault="00BA5831" w:rsidP="00A71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A55" w:rsidRPr="00B23355" w:rsidRDefault="00A71530">
    <w:pPr>
      <w:pStyle w:val="Header"/>
      <w:rPr>
        <w:lang w:val="en-US"/>
      </w:rPr>
    </w:pPr>
    <w:r w:rsidRPr="00A71530">
      <w:rPr>
        <w:lang w:val="en-US"/>
      </w:rPr>
      <w:t>supplementary file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30"/>
    <w:rsid w:val="00816110"/>
    <w:rsid w:val="00A71530"/>
    <w:rsid w:val="00BA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22D50"/>
  <w15:chartTrackingRefBased/>
  <w15:docId w15:val="{A6A0321B-399D-4D04-B9A1-C6BD8471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15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1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530"/>
  </w:style>
  <w:style w:type="paragraph" w:styleId="Footer">
    <w:name w:val="footer"/>
    <w:basedOn w:val="Normal"/>
    <w:link w:val="FooterChar"/>
    <w:uiPriority w:val="99"/>
    <w:unhideWhenUsed/>
    <w:rsid w:val="00A71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530"/>
  </w:style>
  <w:style w:type="character" w:styleId="Strong">
    <w:name w:val="Strong"/>
    <w:basedOn w:val="DefaultParagraphFont"/>
    <w:uiPriority w:val="22"/>
    <w:qFormat/>
    <w:rsid w:val="00A715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AB.COM</dc:creator>
  <cp:keywords/>
  <dc:description/>
  <cp:lastModifiedBy>AB.COM</cp:lastModifiedBy>
  <cp:revision>1</cp:revision>
  <dcterms:created xsi:type="dcterms:W3CDTF">2026-02-25T06:08:00Z</dcterms:created>
  <dcterms:modified xsi:type="dcterms:W3CDTF">2026-02-25T06:09:00Z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e0ee2691-68b4-4090-a1e3-f2da431c1cb5</vt:lpwstr>
  </property>
</Properties>
</file>