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2095" w:tblpY="450"/>
        <w:tblOverlap w:val="never"/>
        <w:tblW w:w="8685" w:type="dxa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3660"/>
        <w:gridCol w:w="3870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8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Cs w:val="21"/>
              </w:rPr>
              <w:t>Table S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P</w:t>
            </w:r>
            <w:r>
              <w:rPr>
                <w:bCs/>
                <w:szCs w:val="21"/>
              </w:rPr>
              <w:t>rimer names and sequences amplified by SSR-PCR</w:t>
            </w:r>
            <w:r>
              <w:rPr>
                <w:rFonts w:hint="eastAsia"/>
                <w:bCs/>
                <w:szCs w:val="21"/>
              </w:rPr>
              <w:t>.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the primer</w:t>
            </w:r>
          </w:p>
        </w:tc>
        <w:tc>
          <w:tcPr>
            <w:tcW w:w="3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Upstream primer sequence (5’-3’)</w:t>
            </w:r>
          </w:p>
        </w:tc>
        <w:tc>
          <w:tcPr>
            <w:tcW w:w="38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Downstream primer sequence (5’-3’)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YM02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TAGATTTCGCTTTTCCACTAGC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CCTAATCATCATCATCGTCATC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YM03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TCACTCAAACAATGAGCGTAG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GATGGCTGCTGCATGACTG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YM07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AGCATTGGGTCCTTTCATCC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ACAATTCACACAAAGCATGGC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YM11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GGATGGCGTAGAGGAAGAGG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GGATAAGACCACGAGTGTTGC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YM15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CCATCTCCTCCCTTATCTACAC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GGGATTGAAGTTCCAGAGACTA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YM16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TGAAGAGAATGTTGAGATCGTACC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TATCCGGCCCTCTCATTGG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YM18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GACATTGGGGATCTCTTATCAT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TAGCAGCAGTAACGTTAAGGAA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YM19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ACGGAAGCAGCAAGAGGAG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GTGTCATCAGCATCTGGGC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YM20</w:t>
            </w:r>
          </w:p>
        </w:tc>
        <w:tc>
          <w:tcPr>
            <w:tcW w:w="3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GTTGCCACACTTGGTGCC</w:t>
            </w:r>
          </w:p>
        </w:tc>
        <w:tc>
          <w:tcPr>
            <w:tcW w:w="38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TGGTGAGACCTGAGAATAATTAATGG</w:t>
            </w:r>
          </w:p>
        </w:tc>
      </w:tr>
    </w:tbl>
    <w:p>
      <w:pPr>
        <w:spacing w:line="360" w:lineRule="auto"/>
        <w:jc w:val="left"/>
        <w:rPr>
          <w:bCs/>
          <w:szCs w:val="21"/>
          <w:highlight w:val="yellow"/>
        </w:rPr>
      </w:pPr>
      <w:bookmarkStart w:id="0" w:name="_GoBack"/>
      <w:bookmarkEnd w:id="0"/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14EC5"/>
    <w:rsid w:val="1AEA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