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34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992"/>
        <w:gridCol w:w="1276"/>
        <w:gridCol w:w="1417"/>
        <w:gridCol w:w="709"/>
        <w:gridCol w:w="992"/>
        <w:gridCol w:w="1418"/>
        <w:gridCol w:w="1134"/>
        <w:gridCol w:w="1134"/>
        <w:gridCol w:w="1276"/>
        <w:gridCol w:w="1134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03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bookmarkStart w:id="0" w:name="OLE_LINK149"/>
            <w:bookmarkStart w:id="1" w:name="OLE_LINK17"/>
            <w:r>
              <w:rPr>
                <w:rFonts w:eastAsia="Times New Roman"/>
                <w:b/>
                <w:kern w:val="0"/>
                <w:szCs w:val="21"/>
              </w:rPr>
              <w:t>Table S</w:t>
            </w: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4</w:t>
            </w:r>
            <w:r>
              <w:rPr>
                <w:rFonts w:eastAsia="Times New Roman"/>
                <w:kern w:val="0"/>
                <w:szCs w:val="21"/>
              </w:rPr>
              <w:t xml:space="preserve"> qualitative and quantitative character</w:t>
            </w:r>
            <w:r>
              <w:rPr>
                <w:rFonts w:hint="default" w:eastAsiaTheme="minorEastAsia"/>
                <w:kern w:val="0"/>
                <w:szCs w:val="21"/>
              </w:rPr>
              <w:t>s</w:t>
            </w:r>
            <w:r>
              <w:rPr>
                <w:rFonts w:eastAsia="Times New Roman"/>
                <w:kern w:val="0"/>
                <w:szCs w:val="21"/>
              </w:rPr>
              <w:t xml:space="preserve"> of 26 purple yams.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bookmarkStart w:id="2" w:name="OLE_LINK6" w:colFirst="7" w:colLast="11"/>
            <w:r>
              <w:rPr>
                <w:rFonts w:eastAsia="Times New Roman"/>
                <w:kern w:val="0"/>
                <w:sz w:val="18"/>
                <w:szCs w:val="18"/>
              </w:rPr>
              <w:t>Sample number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Accession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LS/LC/PC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LMC/LVC/LT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SWC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RTS/PRT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TFT/TSC/TFC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LL (cm)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LW (cm)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PL (cm)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Style w:val="6"/>
                <w:rFonts w:eastAsia="Times New Roman"/>
                <w:sz w:val="18"/>
                <w:szCs w:val="18"/>
              </w:rPr>
              <w:t>CDLB</w:t>
            </w:r>
            <w:r>
              <w:rPr>
                <w:rFonts w:eastAsia="Times New Roman"/>
                <w:kern w:val="0"/>
                <w:sz w:val="18"/>
                <w:szCs w:val="18"/>
              </w:rPr>
              <w:t xml:space="preserve"> (cm)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DBL (cm)</w:t>
            </w:r>
          </w:p>
        </w:tc>
      </w:tr>
      <w:bookmarkEnd w:id="2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PY-4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G/P/PR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12.95 ± 0.91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7.75 ± 0.56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6.25 ± 0.43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2.51 ± 0.49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5.86 ± 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PY-12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15.37 ± 1.15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8.38 ± 0.93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7.43 ± 0.87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2.85 ± 0.37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7.56 ± 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15.34 ± 0.59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8.71 ± 0.60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8.41 ± 0.63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2.81 ± 0.24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6.25 ± 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PY-31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16.14 ± 1.58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8.14 ± 1.19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10.03 ± 1.99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3.00 ± 0.67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5.71 ± 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PY-34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10.80 ± 0.58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5.02 ± 0.27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5.27 ± 0.26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1.39 ± 0.17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3.55 ± 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PY-35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16.27 ± 1.27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8.15 ± 0.96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7.97 ± 0.77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1.91 ± 0.74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6.89 ± 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PY-36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P/YG/P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19.66 ± 0.83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11.36 ± 0.51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7.31 ± 0.29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4.30 ± 0.55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8.00 ± 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PY-38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F/ET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18.08 ± 1.12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10.54 ± 0.91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8.48 ± 0.76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2.31 ± 0.25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8.24 ± 1.42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PY-40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S/B/PR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14.58 ± 1.60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7.34 ± 0.44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6.10 ± 0.38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2.40 ± 0.22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5.11 ± 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PY-47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13.42 ± 0.74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7.59 ± 0.35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6.19 ± 0.49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1.79 ± 0.36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6.11 ± 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PY-58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G//B/PR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13.14 ± 0.80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7.66 ± 0.35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7.89 ± 0.47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2.40 ± 1.10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5.45 ± 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PY-88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S/G/P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14.13 ± 0.90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8.67 ± 0.50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8.13 ± 0.44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3.04 ± 0.36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6.64 ± 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widowControl/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PY-177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G/G/PW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22.41 ± 1.71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13.20 ± 1.08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10.71 ± 1.42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3.46 ± 0.87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8.82 ± 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PY-181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8.54 ± 1.00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4.74 ± 1.04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4.53 ± 1.03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1.39 ± 0.39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3.46 ± 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PY-192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M/U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14.48 ± 1.08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8.18 ± 0.56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7.54 ± 0.89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2.79 ± 0.32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6.37 ± 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PY-212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M/U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S/B/OP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21.31 ± 0.98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12.64 ± 1.64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10.80 ± 0.73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4.31 ± 0.72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8.92 ± 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PY-220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G/B/OPR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19.51 ± 1.39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11.32 ± 0.85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9.58 ± 0.89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3.23 ± 0.36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9.31 ± 1.46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PY-221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F/ET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G/B/PW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19.14 ± 1.34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12.15 ± 1.04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10.85 ± 1.27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3.21 ± 0.66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9.68 ± 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PY-222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F/ET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19.34 ± 1.83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9.87 ± 1.29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9.60 ± 1.68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3.46 ± 0.64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7.99 ± 1.23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PY-224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G/B/OPR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19.99 ± 1.24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12.46 ± 0.86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8.22 ± 0.81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1.31 ± 0.31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8.03 ± 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PY-233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G/B/P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18.32 ± 1.22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8.92 ± 0.43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9.20 ± 1.53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2.61 ± 0.36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8.14 ± 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PY-238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P/P/P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F/ET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G/G/OPR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16.89 ± 1.87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8.67 ± 0.89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8.64 ± 1.17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2.27 ± 0.36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7.66 ± 1.41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PY-241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P/YG/L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S/P/PW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21.74 ± 1.88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11.44 ± 1.78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12.16 ± 1.89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4.66 ± 1.04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7.18 ± 0.93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PY-246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P/P/P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F/ET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S/G/P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16.99 ± 1.55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10.18 ± 0.96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9.39 ± 1.57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3.33 ± 0.61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9.33 ± 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i/>
                <w:kern w:val="0"/>
                <w:sz w:val="18"/>
                <w:szCs w:val="18"/>
              </w:rPr>
            </w:pPr>
            <w:r>
              <w:rPr>
                <w:rFonts w:eastAsia="Times New Roman"/>
                <w:i/>
                <w:kern w:val="0"/>
                <w:sz w:val="18"/>
                <w:szCs w:val="18"/>
              </w:rPr>
              <w:t>(Continued)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bCs/>
                <w:kern w:val="0"/>
                <w:sz w:val="18"/>
                <w:szCs w:val="18"/>
              </w:rPr>
            </w:pPr>
            <w:r>
              <w:rPr>
                <w:rFonts w:eastAsia="Times New Roman"/>
                <w:bCs/>
                <w:kern w:val="0"/>
                <w:sz w:val="18"/>
                <w:szCs w:val="18"/>
              </w:rPr>
              <w:t>PY-251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O/YG/AGPB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P/P/P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G/G/P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14.73 ± 1.79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9.13 ± 1.15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10.23 ± 0.80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2.11 ± 0.38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5.59 ± 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PY-253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O/DG/AGPB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G/YG/L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PR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F/U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kern w:val="0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G/G/OP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20.58±1.65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12.93±1.07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10.98±1.39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4.01±0.67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8.43±0.50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034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Calibri" w:hAnsi="Calibri" w:eastAsia="Times New Roman"/>
                <w:sz w:val="18"/>
                <w:szCs w:val="18"/>
              </w:rPr>
            </w:pPr>
            <w:r>
              <w:rPr>
                <w:rFonts w:eastAsia="Times New Roman"/>
                <w:kern w:val="0"/>
                <w:sz w:val="18"/>
                <w:szCs w:val="18"/>
              </w:rPr>
              <w:t>LS: Sagittate (S) and Ovate (O) ; LC: Yellowish green (YG) and Dark green (DG); PC: All green with purple base (AGPB); LMV: Green (G) and Purple (P); LVC: Yellowish green (YG), Green (G) and Purple (P); LT: Leathery (L) and Papery (P); SWC: Purple red (PR); RTS: Few (F) and Many (M); PRT: Upper (U) and Entire tuber (ET); TFT: Smooth</w:t>
            </w:r>
            <w:r>
              <w:rPr>
                <w:rFonts w:eastAsiaTheme="minorEastAsia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kern w:val="0"/>
                <w:sz w:val="18"/>
                <w:szCs w:val="18"/>
              </w:rPr>
              <w:t>(S) and Grainy</w:t>
            </w:r>
            <w:r>
              <w:rPr>
                <w:rFonts w:eastAsiaTheme="minorEastAsia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kern w:val="0"/>
                <w:sz w:val="18"/>
                <w:szCs w:val="18"/>
              </w:rPr>
              <w:t>(G); TSC: Brown</w:t>
            </w:r>
            <w:r>
              <w:rPr>
                <w:rFonts w:eastAsiaTheme="minorEastAsia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kern w:val="0"/>
                <w:sz w:val="18"/>
                <w:szCs w:val="18"/>
              </w:rPr>
              <w:t>(B), Greyish</w:t>
            </w:r>
            <w:r>
              <w:rPr>
                <w:rFonts w:eastAsiaTheme="minorEastAsia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kern w:val="0"/>
                <w:sz w:val="18"/>
                <w:szCs w:val="18"/>
              </w:rPr>
              <w:t>(G) and Purple</w:t>
            </w:r>
            <w:r>
              <w:rPr>
                <w:rFonts w:eastAsiaTheme="minorEastAsia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kern w:val="0"/>
                <w:sz w:val="18"/>
                <w:szCs w:val="18"/>
              </w:rPr>
              <w:t>(P); TFC: Purple-red (PR), Purple (P), Outer purple red (OPR), Purple with white (PW) and Outer purple (OP). Other abbreviations used in this table are shown in Table 2.</w:t>
            </w:r>
          </w:p>
        </w:tc>
      </w:tr>
      <w:bookmarkEnd w:id="1"/>
    </w:tbl>
    <w:p>
      <w:bookmarkStart w:id="3" w:name="_GoBack"/>
      <w:bookmarkEnd w:id="3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5CF9"/>
    <w:rsid w:val="4DBD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