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980A6" w14:textId="77777777" w:rsidR="009B268F" w:rsidRDefault="009B268F" w:rsidP="009B268F">
      <w:pPr>
        <w:widowControl w:val="0"/>
        <w:jc w:val="both"/>
        <w:rPr>
          <w:rFonts w:eastAsia="DengXian"/>
          <w:b/>
          <w:bCs/>
          <w:szCs w:val="26"/>
          <w:lang w:val="en-US"/>
        </w:rPr>
      </w:pPr>
      <w:r>
        <w:rPr>
          <w:rFonts w:eastAsia="DengXian"/>
          <w:b/>
          <w:bCs/>
          <w:szCs w:val="26"/>
          <w:lang w:val="en-US"/>
        </w:rPr>
        <w:t>Appendix</w:t>
      </w:r>
    </w:p>
    <w:p w14:paraId="04691F2C" w14:textId="77777777" w:rsidR="009B268F" w:rsidRDefault="009B268F" w:rsidP="009B268F">
      <w:pPr>
        <w:widowControl w:val="0"/>
        <w:jc w:val="both"/>
        <w:rPr>
          <w:rFonts w:eastAsia="DengXian"/>
          <w:b/>
          <w:bCs/>
          <w:szCs w:val="26"/>
          <w:lang w:val="en-US"/>
        </w:rPr>
      </w:pPr>
      <w:r>
        <w:rPr>
          <w:rFonts w:eastAsia="DengXian"/>
          <w:b/>
          <w:bCs/>
          <w:szCs w:val="26"/>
          <w:lang w:val="en-US"/>
        </w:rPr>
        <w:t>Appendix A</w:t>
      </w:r>
    </w:p>
    <w:p w14:paraId="4FDD9DAC" w14:textId="77777777" w:rsidR="009B268F" w:rsidRDefault="009B268F" w:rsidP="009B268F">
      <w:pPr>
        <w:widowControl w:val="0"/>
        <w:jc w:val="both"/>
        <w:rPr>
          <w:rFonts w:eastAsia="DengXian"/>
          <w:i/>
          <w:iCs/>
          <w:szCs w:val="26"/>
          <w:lang w:val="en-US"/>
        </w:rPr>
      </w:pPr>
    </w:p>
    <w:p w14:paraId="03F6B349" w14:textId="77777777" w:rsidR="009B268F" w:rsidRDefault="009B268F" w:rsidP="009B268F">
      <w:pPr>
        <w:widowControl w:val="0"/>
        <w:jc w:val="both"/>
        <w:rPr>
          <w:rFonts w:eastAsia="DengXian"/>
          <w:szCs w:val="26"/>
        </w:rPr>
      </w:pPr>
      <w:r>
        <w:rPr>
          <w:rFonts w:eastAsia="DengXian"/>
          <w:szCs w:val="26"/>
        </w:rPr>
        <w:t>Table A1 presents the variable codes corresponding to the correlation analysis in Table 6. These codes are used to identify the ten core variables included in the correlation matrix.</w:t>
      </w:r>
    </w:p>
    <w:p w14:paraId="2A48999D" w14:textId="77777777" w:rsidR="009B268F" w:rsidRDefault="009B268F" w:rsidP="009B268F">
      <w:pPr>
        <w:widowControl w:val="0"/>
        <w:jc w:val="both"/>
        <w:rPr>
          <w:rFonts w:eastAsia="DengXian"/>
          <w:szCs w:val="26"/>
          <w:lang w:val="en-US"/>
        </w:rPr>
      </w:pPr>
    </w:p>
    <w:p w14:paraId="3E39E850" w14:textId="77777777" w:rsidR="009B268F" w:rsidRDefault="009B268F" w:rsidP="009B268F">
      <w:pPr>
        <w:widowControl w:val="0"/>
        <w:jc w:val="center"/>
        <w:rPr>
          <w:rFonts w:eastAsia="DengXian"/>
          <w:b/>
          <w:bCs/>
          <w:szCs w:val="26"/>
          <w:lang w:val="en-US"/>
        </w:rPr>
      </w:pPr>
      <w:r>
        <w:rPr>
          <w:b/>
          <w:bCs/>
        </w:rPr>
        <w:t>Table A1. Variable Codes Used in the Correlation Matrix</w:t>
      </w:r>
    </w:p>
    <w:tbl>
      <w:tblPr>
        <w:tblStyle w:val="TableGrid"/>
        <w:tblW w:w="5000" w:type="pct"/>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460"/>
        <w:gridCol w:w="6900"/>
      </w:tblGrid>
      <w:tr w:rsidR="009B268F" w14:paraId="28115447" w14:textId="77777777" w:rsidTr="0070683D">
        <w:tc>
          <w:tcPr>
            <w:tcW w:w="1314" w:type="pct"/>
            <w:tcBorders>
              <w:top w:val="single" w:sz="8" w:space="0" w:color="auto"/>
              <w:bottom w:val="single" w:sz="8" w:space="0" w:color="auto"/>
            </w:tcBorders>
            <w:shd w:val="clear" w:color="FFFFFF" w:fill="FFFFFF"/>
          </w:tcPr>
          <w:p w14:paraId="4E921B74" w14:textId="77777777" w:rsidR="009B268F" w:rsidRDefault="009B268F" w:rsidP="0070683D">
            <w:pPr>
              <w:jc w:val="both"/>
              <w:rPr>
                <w:b/>
                <w:color w:val="000000"/>
              </w:rPr>
            </w:pPr>
            <w:r>
              <w:rPr>
                <w:b/>
                <w:bCs/>
                <w:color w:val="000000"/>
                <w:szCs w:val="22"/>
              </w:rPr>
              <w:t>Number</w:t>
            </w:r>
          </w:p>
        </w:tc>
        <w:tc>
          <w:tcPr>
            <w:tcW w:w="3686" w:type="pct"/>
            <w:tcBorders>
              <w:top w:val="single" w:sz="8" w:space="0" w:color="auto"/>
              <w:bottom w:val="single" w:sz="8" w:space="0" w:color="auto"/>
            </w:tcBorders>
            <w:shd w:val="clear" w:color="FFFFFF" w:fill="FFFFFF"/>
          </w:tcPr>
          <w:p w14:paraId="56341B8A" w14:textId="77777777" w:rsidR="009B268F" w:rsidRDefault="009B268F" w:rsidP="0070683D">
            <w:pPr>
              <w:jc w:val="both"/>
              <w:rPr>
                <w:b/>
                <w:color w:val="000000"/>
              </w:rPr>
            </w:pPr>
            <w:r>
              <w:rPr>
                <w:b/>
                <w:bCs/>
                <w:color w:val="000000"/>
                <w:szCs w:val="22"/>
              </w:rPr>
              <w:t>Variable Name</w:t>
            </w:r>
          </w:p>
        </w:tc>
      </w:tr>
      <w:tr w:rsidR="009B268F" w14:paraId="0EF62F2B" w14:textId="77777777" w:rsidTr="0070683D">
        <w:tc>
          <w:tcPr>
            <w:tcW w:w="1314" w:type="pct"/>
            <w:tcBorders>
              <w:top w:val="single" w:sz="8" w:space="0" w:color="auto"/>
            </w:tcBorders>
            <w:shd w:val="clear" w:color="FFFFFF" w:fill="FFFFFF"/>
          </w:tcPr>
          <w:p w14:paraId="3BDAE4C9" w14:textId="77777777" w:rsidR="009B268F" w:rsidRDefault="009B268F" w:rsidP="0070683D">
            <w:pPr>
              <w:jc w:val="both"/>
              <w:rPr>
                <w:color w:val="000000"/>
              </w:rPr>
            </w:pPr>
            <w:r>
              <w:rPr>
                <w:color w:val="000000"/>
                <w:szCs w:val="22"/>
              </w:rPr>
              <w:t>1</w:t>
            </w:r>
          </w:p>
        </w:tc>
        <w:tc>
          <w:tcPr>
            <w:tcW w:w="3686" w:type="pct"/>
            <w:tcBorders>
              <w:top w:val="single" w:sz="8" w:space="0" w:color="auto"/>
            </w:tcBorders>
            <w:shd w:val="clear" w:color="FFFFFF" w:fill="FFFFFF"/>
          </w:tcPr>
          <w:p w14:paraId="5787C750" w14:textId="77777777" w:rsidR="009B268F" w:rsidRDefault="009B268F" w:rsidP="0070683D">
            <w:pPr>
              <w:jc w:val="both"/>
              <w:rPr>
                <w:color w:val="000000"/>
              </w:rPr>
            </w:pPr>
            <w:r>
              <w:rPr>
                <w:color w:val="000000"/>
                <w:szCs w:val="22"/>
              </w:rPr>
              <w:t>Overall career planning</w:t>
            </w:r>
          </w:p>
        </w:tc>
      </w:tr>
      <w:tr w:rsidR="009B268F" w14:paraId="78A0D100" w14:textId="77777777" w:rsidTr="0070683D">
        <w:tc>
          <w:tcPr>
            <w:tcW w:w="1314" w:type="pct"/>
            <w:shd w:val="clear" w:color="FFFFFF" w:fill="FFFFFF"/>
          </w:tcPr>
          <w:p w14:paraId="157C35B4" w14:textId="77777777" w:rsidR="009B268F" w:rsidRDefault="009B268F" w:rsidP="0070683D">
            <w:pPr>
              <w:jc w:val="both"/>
              <w:rPr>
                <w:color w:val="000000"/>
              </w:rPr>
            </w:pPr>
            <w:r>
              <w:rPr>
                <w:color w:val="000000"/>
                <w:szCs w:val="22"/>
              </w:rPr>
              <w:t>2</w:t>
            </w:r>
          </w:p>
        </w:tc>
        <w:tc>
          <w:tcPr>
            <w:tcW w:w="3686" w:type="pct"/>
            <w:shd w:val="clear" w:color="FFFFFF" w:fill="FFFFFF"/>
          </w:tcPr>
          <w:p w14:paraId="5924ECE4" w14:textId="77777777" w:rsidR="009B268F" w:rsidRDefault="009B268F" w:rsidP="0070683D">
            <w:pPr>
              <w:jc w:val="both"/>
              <w:rPr>
                <w:color w:val="000000"/>
              </w:rPr>
            </w:pPr>
            <w:r>
              <w:rPr>
                <w:color w:val="000000"/>
                <w:szCs w:val="22"/>
              </w:rPr>
              <w:t>Career exploration</w:t>
            </w:r>
          </w:p>
        </w:tc>
      </w:tr>
      <w:tr w:rsidR="009B268F" w14:paraId="67C3E324" w14:textId="77777777" w:rsidTr="0070683D">
        <w:tc>
          <w:tcPr>
            <w:tcW w:w="1314" w:type="pct"/>
            <w:shd w:val="clear" w:color="FFFFFF" w:fill="FFFFFF"/>
          </w:tcPr>
          <w:p w14:paraId="4C7ED599" w14:textId="77777777" w:rsidR="009B268F" w:rsidRDefault="009B268F" w:rsidP="0070683D">
            <w:pPr>
              <w:jc w:val="both"/>
              <w:rPr>
                <w:color w:val="000000"/>
              </w:rPr>
            </w:pPr>
            <w:r>
              <w:rPr>
                <w:color w:val="000000"/>
                <w:szCs w:val="22"/>
              </w:rPr>
              <w:t>3</w:t>
            </w:r>
          </w:p>
        </w:tc>
        <w:tc>
          <w:tcPr>
            <w:tcW w:w="3686" w:type="pct"/>
            <w:shd w:val="clear" w:color="FFFFFF" w:fill="FFFFFF"/>
          </w:tcPr>
          <w:p w14:paraId="38D53E4D" w14:textId="77777777" w:rsidR="009B268F" w:rsidRDefault="009B268F" w:rsidP="0070683D">
            <w:pPr>
              <w:jc w:val="both"/>
              <w:rPr>
                <w:color w:val="000000"/>
              </w:rPr>
            </w:pPr>
            <w:r>
              <w:rPr>
                <w:color w:val="000000"/>
                <w:szCs w:val="22"/>
              </w:rPr>
              <w:t>Career goal clarity</w:t>
            </w:r>
          </w:p>
        </w:tc>
      </w:tr>
      <w:tr w:rsidR="009B268F" w14:paraId="3C936A9E" w14:textId="77777777" w:rsidTr="0070683D">
        <w:tc>
          <w:tcPr>
            <w:tcW w:w="1314" w:type="pct"/>
            <w:shd w:val="clear" w:color="FFFFFF" w:fill="FFFFFF"/>
          </w:tcPr>
          <w:p w14:paraId="60EDCDBE" w14:textId="77777777" w:rsidR="009B268F" w:rsidRDefault="009B268F" w:rsidP="0070683D">
            <w:pPr>
              <w:jc w:val="both"/>
              <w:rPr>
                <w:color w:val="000000"/>
              </w:rPr>
            </w:pPr>
            <w:r>
              <w:rPr>
                <w:color w:val="000000"/>
                <w:szCs w:val="22"/>
              </w:rPr>
              <w:t>4</w:t>
            </w:r>
          </w:p>
        </w:tc>
        <w:tc>
          <w:tcPr>
            <w:tcW w:w="3686" w:type="pct"/>
            <w:shd w:val="clear" w:color="FFFFFF" w:fill="FFFFFF"/>
          </w:tcPr>
          <w:p w14:paraId="1DFAE0EB" w14:textId="77777777" w:rsidR="009B268F" w:rsidRDefault="009B268F" w:rsidP="0070683D">
            <w:pPr>
              <w:jc w:val="both"/>
              <w:rPr>
                <w:color w:val="000000"/>
              </w:rPr>
            </w:pPr>
            <w:r>
              <w:rPr>
                <w:color w:val="000000"/>
                <w:szCs w:val="22"/>
              </w:rPr>
              <w:t>Career planning execution</w:t>
            </w:r>
          </w:p>
        </w:tc>
      </w:tr>
      <w:tr w:rsidR="009B268F" w14:paraId="6AC70FE2" w14:textId="77777777" w:rsidTr="0070683D">
        <w:tc>
          <w:tcPr>
            <w:tcW w:w="1314" w:type="pct"/>
            <w:shd w:val="clear" w:color="FFFFFF" w:fill="FFFFFF"/>
          </w:tcPr>
          <w:p w14:paraId="7E6E01AB" w14:textId="77777777" w:rsidR="009B268F" w:rsidRDefault="009B268F" w:rsidP="0070683D">
            <w:pPr>
              <w:jc w:val="both"/>
              <w:rPr>
                <w:color w:val="000000"/>
              </w:rPr>
            </w:pPr>
            <w:r>
              <w:rPr>
                <w:color w:val="000000"/>
                <w:szCs w:val="22"/>
              </w:rPr>
              <w:t>5</w:t>
            </w:r>
          </w:p>
        </w:tc>
        <w:tc>
          <w:tcPr>
            <w:tcW w:w="3686" w:type="pct"/>
            <w:shd w:val="clear" w:color="FFFFFF" w:fill="FFFFFF"/>
          </w:tcPr>
          <w:p w14:paraId="5D42E7E4" w14:textId="77777777" w:rsidR="009B268F" w:rsidRDefault="009B268F" w:rsidP="0070683D">
            <w:pPr>
              <w:jc w:val="both"/>
              <w:rPr>
                <w:color w:val="000000"/>
              </w:rPr>
            </w:pPr>
            <w:r>
              <w:rPr>
                <w:color w:val="000000"/>
                <w:szCs w:val="22"/>
              </w:rPr>
              <w:t>Overall learning engagement</w:t>
            </w:r>
          </w:p>
        </w:tc>
      </w:tr>
      <w:tr w:rsidR="009B268F" w14:paraId="6F6D3934" w14:textId="77777777" w:rsidTr="0070683D">
        <w:tc>
          <w:tcPr>
            <w:tcW w:w="1314" w:type="pct"/>
            <w:shd w:val="clear" w:color="FFFFFF" w:fill="FFFFFF"/>
          </w:tcPr>
          <w:p w14:paraId="71B94D2E" w14:textId="77777777" w:rsidR="009B268F" w:rsidRDefault="009B268F" w:rsidP="0070683D">
            <w:pPr>
              <w:jc w:val="both"/>
              <w:rPr>
                <w:color w:val="000000"/>
              </w:rPr>
            </w:pPr>
            <w:r>
              <w:rPr>
                <w:color w:val="000000"/>
                <w:szCs w:val="22"/>
              </w:rPr>
              <w:t>6</w:t>
            </w:r>
          </w:p>
        </w:tc>
        <w:tc>
          <w:tcPr>
            <w:tcW w:w="3686" w:type="pct"/>
            <w:shd w:val="clear" w:color="FFFFFF" w:fill="FFFFFF"/>
          </w:tcPr>
          <w:p w14:paraId="6CD2D61E" w14:textId="77777777" w:rsidR="009B268F" w:rsidRDefault="009B268F" w:rsidP="0070683D">
            <w:pPr>
              <w:jc w:val="both"/>
              <w:rPr>
                <w:color w:val="000000"/>
              </w:rPr>
            </w:pPr>
            <w:r>
              <w:rPr>
                <w:color w:val="000000"/>
                <w:szCs w:val="22"/>
              </w:rPr>
              <w:t>Cognitive engagement</w:t>
            </w:r>
          </w:p>
        </w:tc>
      </w:tr>
      <w:tr w:rsidR="009B268F" w14:paraId="3242BC54" w14:textId="77777777" w:rsidTr="0070683D">
        <w:tc>
          <w:tcPr>
            <w:tcW w:w="1314" w:type="pct"/>
            <w:shd w:val="clear" w:color="FFFFFF" w:fill="FFFFFF"/>
          </w:tcPr>
          <w:p w14:paraId="4C3866EB" w14:textId="77777777" w:rsidR="009B268F" w:rsidRDefault="009B268F" w:rsidP="0070683D">
            <w:pPr>
              <w:jc w:val="both"/>
              <w:rPr>
                <w:color w:val="000000"/>
              </w:rPr>
            </w:pPr>
            <w:r>
              <w:rPr>
                <w:color w:val="000000"/>
                <w:szCs w:val="22"/>
              </w:rPr>
              <w:t>7</w:t>
            </w:r>
          </w:p>
        </w:tc>
        <w:tc>
          <w:tcPr>
            <w:tcW w:w="3686" w:type="pct"/>
            <w:shd w:val="clear" w:color="FFFFFF" w:fill="FFFFFF"/>
          </w:tcPr>
          <w:p w14:paraId="2AD115EC" w14:textId="77777777" w:rsidR="009B268F" w:rsidRDefault="009B268F" w:rsidP="0070683D">
            <w:pPr>
              <w:jc w:val="both"/>
              <w:rPr>
                <w:color w:val="000000"/>
              </w:rPr>
            </w:pPr>
            <w:r>
              <w:rPr>
                <w:color w:val="000000"/>
                <w:szCs w:val="22"/>
              </w:rPr>
              <w:t>Behavioral engagement</w:t>
            </w:r>
          </w:p>
        </w:tc>
      </w:tr>
      <w:tr w:rsidR="009B268F" w14:paraId="14753208" w14:textId="77777777" w:rsidTr="0070683D">
        <w:tc>
          <w:tcPr>
            <w:tcW w:w="1314" w:type="pct"/>
            <w:shd w:val="clear" w:color="FFFFFF" w:fill="FFFFFF"/>
          </w:tcPr>
          <w:p w14:paraId="453FA1D4" w14:textId="77777777" w:rsidR="009B268F" w:rsidRDefault="009B268F" w:rsidP="0070683D">
            <w:pPr>
              <w:jc w:val="both"/>
              <w:rPr>
                <w:color w:val="000000"/>
              </w:rPr>
            </w:pPr>
            <w:r>
              <w:rPr>
                <w:color w:val="000000"/>
                <w:szCs w:val="22"/>
              </w:rPr>
              <w:t>8</w:t>
            </w:r>
          </w:p>
        </w:tc>
        <w:tc>
          <w:tcPr>
            <w:tcW w:w="3686" w:type="pct"/>
            <w:shd w:val="clear" w:color="FFFFFF" w:fill="FFFFFF"/>
          </w:tcPr>
          <w:p w14:paraId="35302E83" w14:textId="77777777" w:rsidR="009B268F" w:rsidRDefault="009B268F" w:rsidP="0070683D">
            <w:pPr>
              <w:jc w:val="both"/>
              <w:rPr>
                <w:color w:val="000000"/>
              </w:rPr>
            </w:pPr>
            <w:r>
              <w:rPr>
                <w:color w:val="000000"/>
                <w:szCs w:val="22"/>
              </w:rPr>
              <w:t>Practical engagement</w:t>
            </w:r>
          </w:p>
        </w:tc>
      </w:tr>
      <w:tr w:rsidR="009B268F" w14:paraId="4B21A472" w14:textId="77777777" w:rsidTr="0070683D">
        <w:tc>
          <w:tcPr>
            <w:tcW w:w="1314" w:type="pct"/>
            <w:tcBorders>
              <w:bottom w:val="nil"/>
            </w:tcBorders>
            <w:shd w:val="clear" w:color="FFFFFF" w:fill="FFFFFF"/>
          </w:tcPr>
          <w:p w14:paraId="6F0D1998" w14:textId="77777777" w:rsidR="009B268F" w:rsidRDefault="009B268F" w:rsidP="0070683D">
            <w:pPr>
              <w:jc w:val="both"/>
              <w:rPr>
                <w:color w:val="000000"/>
              </w:rPr>
            </w:pPr>
            <w:r>
              <w:rPr>
                <w:color w:val="000000"/>
                <w:szCs w:val="22"/>
              </w:rPr>
              <w:t>9</w:t>
            </w:r>
          </w:p>
        </w:tc>
        <w:tc>
          <w:tcPr>
            <w:tcW w:w="3686" w:type="pct"/>
            <w:tcBorders>
              <w:bottom w:val="nil"/>
            </w:tcBorders>
            <w:shd w:val="clear" w:color="FFFFFF" w:fill="FFFFFF"/>
          </w:tcPr>
          <w:p w14:paraId="649BE15D" w14:textId="77777777" w:rsidR="009B268F" w:rsidRDefault="009B268F" w:rsidP="0070683D">
            <w:pPr>
              <w:jc w:val="both"/>
              <w:rPr>
                <w:color w:val="000000"/>
              </w:rPr>
            </w:pPr>
            <w:r>
              <w:rPr>
                <w:color w:val="000000"/>
                <w:szCs w:val="22"/>
              </w:rPr>
              <w:t>Professional identity</w:t>
            </w:r>
          </w:p>
        </w:tc>
      </w:tr>
      <w:tr w:rsidR="009B268F" w14:paraId="15868D6E" w14:textId="77777777" w:rsidTr="0070683D">
        <w:tc>
          <w:tcPr>
            <w:tcW w:w="1314" w:type="pct"/>
            <w:tcBorders>
              <w:top w:val="nil"/>
              <w:bottom w:val="single" w:sz="8" w:space="0" w:color="auto"/>
            </w:tcBorders>
            <w:shd w:val="clear" w:color="FFFFFF" w:fill="FFFFFF"/>
          </w:tcPr>
          <w:p w14:paraId="64AE8653" w14:textId="77777777" w:rsidR="009B268F" w:rsidRDefault="009B268F" w:rsidP="0070683D">
            <w:pPr>
              <w:jc w:val="both"/>
              <w:rPr>
                <w:color w:val="000000"/>
              </w:rPr>
            </w:pPr>
            <w:r>
              <w:rPr>
                <w:color w:val="000000"/>
                <w:szCs w:val="22"/>
              </w:rPr>
              <w:t>10</w:t>
            </w:r>
          </w:p>
        </w:tc>
        <w:tc>
          <w:tcPr>
            <w:tcW w:w="3686" w:type="pct"/>
            <w:tcBorders>
              <w:top w:val="nil"/>
              <w:bottom w:val="single" w:sz="8" w:space="0" w:color="auto"/>
            </w:tcBorders>
            <w:shd w:val="clear" w:color="FFFFFF" w:fill="FFFFFF"/>
          </w:tcPr>
          <w:p w14:paraId="166400FC" w14:textId="77777777" w:rsidR="009B268F" w:rsidRDefault="009B268F" w:rsidP="0070683D">
            <w:pPr>
              <w:jc w:val="both"/>
              <w:rPr>
                <w:color w:val="000000"/>
              </w:rPr>
            </w:pPr>
            <w:r>
              <w:rPr>
                <w:color w:val="000000"/>
                <w:szCs w:val="22"/>
              </w:rPr>
              <w:t>Academic self-efficacy</w:t>
            </w:r>
          </w:p>
        </w:tc>
      </w:tr>
    </w:tbl>
    <w:p w14:paraId="65EC6C2E" w14:textId="77777777" w:rsidR="009B268F" w:rsidRDefault="009B268F" w:rsidP="009B268F">
      <w:pPr>
        <w:widowControl w:val="0"/>
        <w:jc w:val="both"/>
        <w:rPr>
          <w:rFonts w:eastAsia="DengXian"/>
          <w:i/>
          <w:iCs/>
          <w:szCs w:val="26"/>
          <w:lang w:val="en-US"/>
        </w:rPr>
      </w:pPr>
    </w:p>
    <w:p w14:paraId="39FF1BE5" w14:textId="77777777" w:rsidR="009B268F" w:rsidRDefault="009B268F" w:rsidP="009B268F">
      <w:pPr>
        <w:widowControl w:val="0"/>
        <w:jc w:val="both"/>
        <w:rPr>
          <w:rFonts w:eastAsia="DengXian"/>
          <w:b/>
          <w:bCs/>
          <w:szCs w:val="26"/>
          <w:lang w:val="en-US"/>
        </w:rPr>
      </w:pPr>
      <w:r>
        <w:rPr>
          <w:rFonts w:eastAsia="DengXian"/>
          <w:b/>
          <w:bCs/>
          <w:szCs w:val="26"/>
          <w:lang w:val="en-US"/>
        </w:rPr>
        <w:t>Appendix B</w:t>
      </w:r>
    </w:p>
    <w:p w14:paraId="0ADDEB59" w14:textId="77777777" w:rsidR="009B268F" w:rsidRDefault="009B268F" w:rsidP="009B268F">
      <w:pPr>
        <w:widowControl w:val="0"/>
        <w:jc w:val="both"/>
        <w:rPr>
          <w:rFonts w:eastAsia="DengXian"/>
          <w:i/>
          <w:iCs/>
          <w:szCs w:val="26"/>
          <w:lang w:val="en-US"/>
        </w:rPr>
      </w:pPr>
    </w:p>
    <w:p w14:paraId="7E9A6FEC" w14:textId="77777777" w:rsidR="009B268F" w:rsidRDefault="009B268F" w:rsidP="009B268F">
      <w:pPr>
        <w:widowControl w:val="0"/>
        <w:jc w:val="center"/>
        <w:rPr>
          <w:rFonts w:eastAsia="DengXian"/>
          <w:b/>
          <w:bCs/>
          <w:szCs w:val="26"/>
          <w:lang w:val="en-US"/>
        </w:rPr>
      </w:pPr>
      <w:r>
        <w:rPr>
          <w:b/>
          <w:bCs/>
        </w:rPr>
        <w:t>Table B1. Heterogeneity Analysis Results by Undergraduate Type</w:t>
      </w:r>
    </w:p>
    <w:tbl>
      <w:tblPr>
        <w:tblStyle w:val="TableGrid"/>
        <w:tblW w:w="5000" w:type="pct"/>
        <w:tblBorders>
          <w:top w:val="single" w:sz="12" w:space="0" w:color="000000"/>
          <w:left w:val="none" w:sz="4" w:space="0" w:color="auto"/>
          <w:bottom w:val="single" w:sz="12" w:space="0" w:color="000000"/>
          <w:right w:val="none" w:sz="4" w:space="0" w:color="auto"/>
          <w:insideH w:val="none" w:sz="4" w:space="0" w:color="auto"/>
          <w:insideV w:val="none" w:sz="4" w:space="0" w:color="auto"/>
        </w:tblBorders>
        <w:tblLook w:val="04A0" w:firstRow="1" w:lastRow="0" w:firstColumn="1" w:lastColumn="0" w:noHBand="0" w:noVBand="1"/>
      </w:tblPr>
      <w:tblGrid>
        <w:gridCol w:w="4500"/>
        <w:gridCol w:w="4860"/>
      </w:tblGrid>
      <w:tr w:rsidR="009B268F" w14:paraId="4104A2C7" w14:textId="77777777" w:rsidTr="0070683D">
        <w:tc>
          <w:tcPr>
            <w:tcW w:w="2404" w:type="pct"/>
            <w:tcBorders>
              <w:top w:val="single" w:sz="8" w:space="0" w:color="auto"/>
              <w:left w:val="nil"/>
              <w:bottom w:val="single" w:sz="8" w:space="0" w:color="auto"/>
              <w:right w:val="nil"/>
            </w:tcBorders>
            <w:shd w:val="clear" w:color="FFFFFF" w:fill="FFFFFF"/>
          </w:tcPr>
          <w:p w14:paraId="05C4B297" w14:textId="77777777" w:rsidR="009B268F" w:rsidRDefault="009B268F" w:rsidP="0070683D">
            <w:pPr>
              <w:jc w:val="both"/>
              <w:rPr>
                <w:b/>
                <w:color w:val="000000"/>
              </w:rPr>
            </w:pPr>
            <w:r>
              <w:rPr>
                <w:b/>
                <w:bCs/>
                <w:color w:val="000000"/>
                <w:szCs w:val="22"/>
              </w:rPr>
              <w:t>Variable</w:t>
            </w:r>
          </w:p>
        </w:tc>
        <w:tc>
          <w:tcPr>
            <w:tcW w:w="2596" w:type="pct"/>
            <w:tcBorders>
              <w:top w:val="single" w:sz="8" w:space="0" w:color="auto"/>
              <w:left w:val="nil"/>
              <w:bottom w:val="single" w:sz="8" w:space="0" w:color="auto"/>
              <w:right w:val="nil"/>
            </w:tcBorders>
            <w:shd w:val="clear" w:color="FFFFFF" w:fill="FFFFFF"/>
          </w:tcPr>
          <w:p w14:paraId="6603F616" w14:textId="77777777" w:rsidR="009B268F" w:rsidRDefault="009B268F" w:rsidP="0070683D">
            <w:pPr>
              <w:jc w:val="both"/>
              <w:rPr>
                <w:b/>
                <w:color w:val="000000"/>
              </w:rPr>
            </w:pPr>
            <w:r>
              <w:rPr>
                <w:b/>
                <w:bCs/>
                <w:color w:val="000000"/>
                <w:szCs w:val="22"/>
              </w:rPr>
              <w:t>Model 9: Learning Engagement</w:t>
            </w:r>
          </w:p>
        </w:tc>
      </w:tr>
      <w:tr w:rsidR="009B268F" w14:paraId="14AA15FE" w14:textId="77777777" w:rsidTr="0070683D">
        <w:tc>
          <w:tcPr>
            <w:tcW w:w="2404" w:type="pct"/>
            <w:tcBorders>
              <w:top w:val="single" w:sz="8" w:space="0" w:color="auto"/>
            </w:tcBorders>
            <w:shd w:val="clear" w:color="FFFFFF" w:fill="FFFFFF"/>
          </w:tcPr>
          <w:p w14:paraId="69E57EA3" w14:textId="77777777" w:rsidR="009B268F" w:rsidRDefault="009B268F" w:rsidP="0070683D">
            <w:pPr>
              <w:jc w:val="both"/>
              <w:rPr>
                <w:color w:val="000000"/>
              </w:rPr>
            </w:pPr>
            <w:r>
              <w:rPr>
                <w:color w:val="000000"/>
                <w:szCs w:val="22"/>
              </w:rPr>
              <w:t>Career planning</w:t>
            </w:r>
          </w:p>
        </w:tc>
        <w:tc>
          <w:tcPr>
            <w:tcW w:w="2596" w:type="pct"/>
            <w:tcBorders>
              <w:top w:val="single" w:sz="8" w:space="0" w:color="auto"/>
            </w:tcBorders>
            <w:shd w:val="clear" w:color="FFFFFF" w:fill="FFFFFF"/>
          </w:tcPr>
          <w:p w14:paraId="243824F5" w14:textId="77777777" w:rsidR="009B268F" w:rsidRDefault="009B268F" w:rsidP="0070683D">
            <w:pPr>
              <w:jc w:val="both"/>
              <w:rPr>
                <w:color w:val="000000"/>
                <w:szCs w:val="22"/>
              </w:rPr>
            </w:pPr>
            <w:r>
              <w:rPr>
                <w:color w:val="000000"/>
                <w:szCs w:val="22"/>
              </w:rPr>
              <w:t>0.9075</w:t>
            </w:r>
            <w:r>
              <w:rPr>
                <w:color w:val="000000"/>
                <w:szCs w:val="22"/>
                <w:vertAlign w:val="superscript"/>
              </w:rPr>
              <w:t>***</w:t>
            </w:r>
            <w:r>
              <w:rPr>
                <w:color w:val="000000"/>
                <w:szCs w:val="22"/>
              </w:rPr>
              <w:t xml:space="preserve"> </w:t>
            </w:r>
          </w:p>
          <w:p w14:paraId="18EE9A81" w14:textId="77777777" w:rsidR="009B268F" w:rsidRDefault="009B268F" w:rsidP="0070683D">
            <w:pPr>
              <w:jc w:val="both"/>
              <w:rPr>
                <w:color w:val="000000"/>
              </w:rPr>
            </w:pPr>
            <w:r>
              <w:rPr>
                <w:color w:val="000000"/>
                <w:szCs w:val="22"/>
              </w:rPr>
              <w:t>(0.0203)</w:t>
            </w:r>
          </w:p>
        </w:tc>
      </w:tr>
      <w:tr w:rsidR="009B268F" w14:paraId="0F091FF6" w14:textId="77777777" w:rsidTr="0070683D">
        <w:tc>
          <w:tcPr>
            <w:tcW w:w="2404" w:type="pct"/>
            <w:shd w:val="clear" w:color="FFFFFF" w:fill="FFFFFF"/>
          </w:tcPr>
          <w:p w14:paraId="5C1A5D8E" w14:textId="77777777" w:rsidR="009B268F" w:rsidRDefault="009B268F" w:rsidP="0070683D">
            <w:pPr>
              <w:jc w:val="both"/>
              <w:rPr>
                <w:color w:val="000000"/>
              </w:rPr>
            </w:pPr>
            <w:r>
              <w:rPr>
                <w:color w:val="000000"/>
                <w:szCs w:val="22"/>
              </w:rPr>
              <w:t>Undergraduate type</w:t>
            </w:r>
          </w:p>
        </w:tc>
        <w:tc>
          <w:tcPr>
            <w:tcW w:w="2596" w:type="pct"/>
            <w:shd w:val="clear" w:color="FFFFFF" w:fill="FFFFFF"/>
          </w:tcPr>
          <w:p w14:paraId="7A83F7D5" w14:textId="77777777" w:rsidR="009B268F" w:rsidRDefault="009B268F" w:rsidP="0070683D">
            <w:pPr>
              <w:jc w:val="both"/>
              <w:rPr>
                <w:color w:val="000000"/>
                <w:szCs w:val="22"/>
              </w:rPr>
            </w:pPr>
            <w:r>
              <w:rPr>
                <w:color w:val="000000"/>
                <w:szCs w:val="22"/>
              </w:rPr>
              <w:t xml:space="preserve">0.0314 </w:t>
            </w:r>
          </w:p>
          <w:p w14:paraId="33C7B21F" w14:textId="77777777" w:rsidR="009B268F" w:rsidRDefault="009B268F" w:rsidP="0070683D">
            <w:pPr>
              <w:jc w:val="both"/>
              <w:rPr>
                <w:color w:val="000000"/>
              </w:rPr>
            </w:pPr>
            <w:r>
              <w:rPr>
                <w:color w:val="000000"/>
                <w:szCs w:val="22"/>
              </w:rPr>
              <w:t>(0.0587)</w:t>
            </w:r>
          </w:p>
        </w:tc>
      </w:tr>
      <w:tr w:rsidR="009B268F" w14:paraId="0DF48FC8" w14:textId="77777777" w:rsidTr="0070683D">
        <w:tc>
          <w:tcPr>
            <w:tcW w:w="2404" w:type="pct"/>
            <w:shd w:val="clear" w:color="FFFFFF" w:fill="FFFFFF"/>
          </w:tcPr>
          <w:p w14:paraId="6C1BEBE4" w14:textId="77777777" w:rsidR="009B268F" w:rsidRDefault="009B268F" w:rsidP="0070683D">
            <w:pPr>
              <w:jc w:val="both"/>
              <w:rPr>
                <w:color w:val="000000"/>
              </w:rPr>
            </w:pPr>
            <w:r>
              <w:rPr>
                <w:color w:val="000000"/>
                <w:szCs w:val="22"/>
              </w:rPr>
              <w:t>Career planning × Undergraduate type</w:t>
            </w:r>
          </w:p>
        </w:tc>
        <w:tc>
          <w:tcPr>
            <w:tcW w:w="2596" w:type="pct"/>
            <w:shd w:val="clear" w:color="FFFFFF" w:fill="FFFFFF"/>
          </w:tcPr>
          <w:p w14:paraId="06358DA1" w14:textId="77777777" w:rsidR="009B268F" w:rsidRDefault="009B268F" w:rsidP="0070683D">
            <w:pPr>
              <w:jc w:val="both"/>
              <w:rPr>
                <w:color w:val="000000"/>
                <w:szCs w:val="22"/>
              </w:rPr>
            </w:pPr>
            <w:r>
              <w:rPr>
                <w:color w:val="000000"/>
                <w:szCs w:val="22"/>
              </w:rPr>
              <w:t xml:space="preserve">-0.0220 </w:t>
            </w:r>
          </w:p>
          <w:p w14:paraId="4F872072" w14:textId="77777777" w:rsidR="009B268F" w:rsidRDefault="009B268F" w:rsidP="0070683D">
            <w:pPr>
              <w:jc w:val="both"/>
              <w:rPr>
                <w:color w:val="000000"/>
              </w:rPr>
            </w:pPr>
            <w:r>
              <w:rPr>
                <w:color w:val="000000"/>
                <w:szCs w:val="22"/>
              </w:rPr>
              <w:t>(0.0248)</w:t>
            </w:r>
          </w:p>
        </w:tc>
      </w:tr>
      <w:tr w:rsidR="009B268F" w14:paraId="6188014A" w14:textId="77777777" w:rsidTr="0070683D">
        <w:tc>
          <w:tcPr>
            <w:tcW w:w="2404" w:type="pct"/>
            <w:tcBorders>
              <w:bottom w:val="single" w:sz="4" w:space="0" w:color="auto"/>
            </w:tcBorders>
            <w:shd w:val="clear" w:color="FFFFFF" w:fill="FFFFFF"/>
          </w:tcPr>
          <w:p w14:paraId="7A3CA160" w14:textId="77777777" w:rsidR="009B268F" w:rsidRDefault="009B268F" w:rsidP="0070683D">
            <w:pPr>
              <w:jc w:val="both"/>
              <w:rPr>
                <w:color w:val="000000"/>
              </w:rPr>
            </w:pPr>
            <w:r>
              <w:rPr>
                <w:color w:val="000000"/>
                <w:szCs w:val="22"/>
              </w:rPr>
              <w:t>Controls</w:t>
            </w:r>
          </w:p>
        </w:tc>
        <w:tc>
          <w:tcPr>
            <w:tcW w:w="2596" w:type="pct"/>
            <w:tcBorders>
              <w:bottom w:val="single" w:sz="4" w:space="0" w:color="auto"/>
            </w:tcBorders>
            <w:shd w:val="clear" w:color="FFFFFF" w:fill="FFFFFF"/>
          </w:tcPr>
          <w:p w14:paraId="0307E926" w14:textId="77777777" w:rsidR="009B268F" w:rsidRDefault="009B268F" w:rsidP="0070683D">
            <w:pPr>
              <w:jc w:val="both"/>
              <w:rPr>
                <w:color w:val="000000"/>
              </w:rPr>
            </w:pPr>
            <w:r>
              <w:rPr>
                <w:color w:val="000000"/>
                <w:szCs w:val="22"/>
              </w:rPr>
              <w:t>Yes</w:t>
            </w:r>
          </w:p>
        </w:tc>
      </w:tr>
      <w:tr w:rsidR="009B268F" w14:paraId="56E28EF8" w14:textId="77777777" w:rsidTr="0070683D">
        <w:tc>
          <w:tcPr>
            <w:tcW w:w="2404" w:type="pct"/>
            <w:tcBorders>
              <w:top w:val="single" w:sz="4" w:space="0" w:color="auto"/>
              <w:left w:val="nil"/>
              <w:bottom w:val="nil"/>
              <w:right w:val="nil"/>
            </w:tcBorders>
            <w:shd w:val="clear" w:color="FFFFFF" w:fill="FFFFFF"/>
          </w:tcPr>
          <w:p w14:paraId="39A64D5A" w14:textId="77777777" w:rsidR="009B268F" w:rsidRDefault="009B268F" w:rsidP="0070683D">
            <w:pPr>
              <w:jc w:val="both"/>
              <w:rPr>
                <w:color w:val="000000"/>
              </w:rPr>
            </w:pPr>
            <w:r>
              <w:rPr>
                <w:color w:val="000000"/>
                <w:szCs w:val="22"/>
              </w:rPr>
              <w:t>R²</w:t>
            </w:r>
          </w:p>
        </w:tc>
        <w:tc>
          <w:tcPr>
            <w:tcW w:w="2596" w:type="pct"/>
            <w:tcBorders>
              <w:top w:val="single" w:sz="4" w:space="0" w:color="auto"/>
              <w:left w:val="nil"/>
              <w:bottom w:val="nil"/>
              <w:right w:val="nil"/>
            </w:tcBorders>
            <w:shd w:val="clear" w:color="FFFFFF" w:fill="FFFFFF"/>
          </w:tcPr>
          <w:p w14:paraId="3BF23B87" w14:textId="77777777" w:rsidR="009B268F" w:rsidRDefault="009B268F" w:rsidP="0070683D">
            <w:pPr>
              <w:jc w:val="both"/>
              <w:rPr>
                <w:color w:val="000000"/>
              </w:rPr>
            </w:pPr>
            <w:r>
              <w:rPr>
                <w:color w:val="000000"/>
                <w:szCs w:val="22"/>
              </w:rPr>
              <w:t>0.8366</w:t>
            </w:r>
          </w:p>
        </w:tc>
      </w:tr>
      <w:tr w:rsidR="009B268F" w14:paraId="3306BD06" w14:textId="77777777" w:rsidTr="0070683D">
        <w:tc>
          <w:tcPr>
            <w:tcW w:w="2404" w:type="pct"/>
            <w:tcBorders>
              <w:top w:val="nil"/>
            </w:tcBorders>
            <w:shd w:val="clear" w:color="FFFFFF" w:fill="FFFFFF"/>
          </w:tcPr>
          <w:p w14:paraId="4C93B3A2" w14:textId="77777777" w:rsidR="009B268F" w:rsidRDefault="009B268F" w:rsidP="0070683D">
            <w:pPr>
              <w:jc w:val="both"/>
              <w:rPr>
                <w:color w:val="000000"/>
              </w:rPr>
            </w:pPr>
            <w:r>
              <w:rPr>
                <w:color w:val="000000"/>
                <w:szCs w:val="22"/>
              </w:rPr>
              <w:t>Adj. R²</w:t>
            </w:r>
          </w:p>
        </w:tc>
        <w:tc>
          <w:tcPr>
            <w:tcW w:w="2596" w:type="pct"/>
            <w:tcBorders>
              <w:top w:val="nil"/>
            </w:tcBorders>
            <w:shd w:val="clear" w:color="FFFFFF" w:fill="FFFFFF"/>
          </w:tcPr>
          <w:p w14:paraId="595F2B23" w14:textId="77777777" w:rsidR="009B268F" w:rsidRDefault="009B268F" w:rsidP="0070683D">
            <w:pPr>
              <w:jc w:val="both"/>
              <w:rPr>
                <w:color w:val="000000"/>
              </w:rPr>
            </w:pPr>
            <w:r>
              <w:rPr>
                <w:color w:val="000000"/>
                <w:szCs w:val="22"/>
              </w:rPr>
              <w:t>0.8342</w:t>
            </w:r>
          </w:p>
        </w:tc>
      </w:tr>
      <w:tr w:rsidR="009B268F" w14:paraId="7782A02C" w14:textId="77777777" w:rsidTr="0070683D">
        <w:tc>
          <w:tcPr>
            <w:tcW w:w="2404" w:type="pct"/>
            <w:tcBorders>
              <w:bottom w:val="single" w:sz="8" w:space="0" w:color="auto"/>
            </w:tcBorders>
            <w:shd w:val="clear" w:color="FFFFFF" w:fill="FFFFFF"/>
          </w:tcPr>
          <w:p w14:paraId="248E6AD2" w14:textId="77777777" w:rsidR="009B268F" w:rsidRDefault="009B268F" w:rsidP="0070683D">
            <w:pPr>
              <w:jc w:val="both"/>
              <w:rPr>
                <w:color w:val="000000"/>
              </w:rPr>
            </w:pPr>
            <w:r>
              <w:rPr>
                <w:color w:val="000000"/>
                <w:szCs w:val="22"/>
              </w:rPr>
              <w:t>N</w:t>
            </w:r>
          </w:p>
        </w:tc>
        <w:tc>
          <w:tcPr>
            <w:tcW w:w="2596" w:type="pct"/>
            <w:tcBorders>
              <w:bottom w:val="single" w:sz="8" w:space="0" w:color="auto"/>
            </w:tcBorders>
            <w:shd w:val="clear" w:color="FFFFFF" w:fill="FFFFFF"/>
          </w:tcPr>
          <w:p w14:paraId="06A4B363" w14:textId="77777777" w:rsidR="009B268F" w:rsidRDefault="009B268F" w:rsidP="0070683D">
            <w:pPr>
              <w:jc w:val="both"/>
              <w:rPr>
                <w:color w:val="000000"/>
              </w:rPr>
            </w:pPr>
            <w:r>
              <w:rPr>
                <w:color w:val="000000"/>
                <w:szCs w:val="22"/>
              </w:rPr>
              <w:t>2100</w:t>
            </w:r>
          </w:p>
        </w:tc>
      </w:tr>
    </w:tbl>
    <w:p w14:paraId="6947B590" w14:textId="77777777" w:rsidR="009B268F" w:rsidRDefault="009B268F" w:rsidP="009B268F">
      <w:pPr>
        <w:widowControl w:val="0"/>
        <w:jc w:val="both"/>
        <w:rPr>
          <w:rFonts w:eastAsia="DengXian"/>
          <w:i/>
          <w:iCs/>
          <w:szCs w:val="26"/>
          <w:lang w:val="en-US"/>
        </w:rPr>
      </w:pPr>
      <w:r>
        <w:rPr>
          <w:rFonts w:eastAsia="DengXian"/>
          <w:i/>
          <w:iCs/>
          <w:szCs w:val="26"/>
          <w:lang w:val="en-US"/>
        </w:rPr>
        <w:t>Note: Robust standard errors in parentheses;</w:t>
      </w:r>
      <w:r>
        <w:rPr>
          <w:rFonts w:eastAsia="DengXian"/>
          <w:i/>
          <w:iCs/>
          <w:szCs w:val="26"/>
          <w:vertAlign w:val="superscript"/>
          <w:lang w:val="en-US"/>
        </w:rPr>
        <w:t xml:space="preserve"> ***</w:t>
      </w:r>
      <w:r>
        <w:rPr>
          <w:rFonts w:eastAsia="DengXian"/>
          <w:i/>
          <w:iCs/>
          <w:szCs w:val="26"/>
          <w:lang w:val="en-US"/>
        </w:rPr>
        <w:t xml:space="preserve">, </w:t>
      </w:r>
      <w:r>
        <w:rPr>
          <w:rFonts w:eastAsia="DengXian"/>
          <w:i/>
          <w:iCs/>
          <w:szCs w:val="26"/>
          <w:vertAlign w:val="superscript"/>
          <w:lang w:val="en-US"/>
        </w:rPr>
        <w:t>**</w:t>
      </w:r>
      <w:r>
        <w:rPr>
          <w:rFonts w:eastAsia="DengXian"/>
          <w:i/>
          <w:iCs/>
          <w:szCs w:val="26"/>
          <w:lang w:val="en-US"/>
        </w:rPr>
        <w:t xml:space="preserve">, </w:t>
      </w:r>
      <w:r>
        <w:rPr>
          <w:rFonts w:eastAsia="DengXian"/>
          <w:i/>
          <w:iCs/>
          <w:szCs w:val="26"/>
          <w:vertAlign w:val="superscript"/>
          <w:lang w:val="en-US"/>
        </w:rPr>
        <w:t xml:space="preserve">* </w:t>
      </w:r>
      <w:r>
        <w:rPr>
          <w:rFonts w:eastAsia="DengXian"/>
          <w:i/>
          <w:iCs/>
          <w:szCs w:val="26"/>
          <w:lang w:val="en-US"/>
        </w:rPr>
        <w:t>denote significance at the 1%, 5%, and 10% levels, respectively. The interaction term coefficient does not reach statistical significance (p = 0.374), indicating that the moderating effect of undergraduate type on the relationship between career planning and learning engagement is not significant.</w:t>
      </w:r>
    </w:p>
    <w:p w14:paraId="7F0D3FA2" w14:textId="77777777" w:rsidR="009B268F" w:rsidRDefault="009B268F" w:rsidP="009B268F">
      <w:pPr>
        <w:widowControl w:val="0"/>
        <w:jc w:val="both"/>
        <w:rPr>
          <w:rFonts w:eastAsia="DengXian"/>
          <w:i/>
          <w:iCs/>
          <w:szCs w:val="26"/>
          <w:lang w:val="en-US"/>
        </w:rPr>
      </w:pPr>
    </w:p>
    <w:p w14:paraId="3A4F2064" w14:textId="77777777" w:rsidR="009B268F" w:rsidRDefault="009B268F" w:rsidP="009B268F">
      <w:pPr>
        <w:widowControl w:val="0"/>
        <w:jc w:val="both"/>
        <w:rPr>
          <w:rFonts w:eastAsia="DengXian"/>
          <w:i/>
          <w:iCs/>
          <w:szCs w:val="26"/>
          <w:lang w:val="en-US"/>
        </w:rPr>
      </w:pPr>
      <w:r>
        <w:t>To further test whether the effect of career planning on learning engagement differs by undergraduate type, this paper introduces an interaction term between career planning and undergraduate type into the baseline regression model. As shown in Appendix Table B1, the main effect of career planning remains significantly positive, while the coefficient on the interaction term between career planning and undergraduate type is -0.0220, which does not reach statistical significance (p = 0.374), indicating that the positive effect of career planning on learning engagement does not differ significantly between vocational undergraduate and applied undergraduate students. This study, therefore, concludes that career planning, as an important factor influencing learning engagement, has a broadly universal positive effect that does not vary substantially with undergraduate type.</w:t>
      </w:r>
    </w:p>
    <w:p w14:paraId="089A5D98" w14:textId="77777777" w:rsidR="009B268F" w:rsidRDefault="009B268F" w:rsidP="009B268F">
      <w:pPr>
        <w:widowControl w:val="0"/>
        <w:ind w:left="480" w:hangingChars="200" w:hanging="480"/>
        <w:jc w:val="both"/>
        <w:rPr>
          <w:color w:val="000000"/>
          <w:lang w:val="en-US"/>
        </w:rPr>
      </w:pPr>
    </w:p>
    <w:p w14:paraId="25054BB7" w14:textId="77777777" w:rsidR="00E023F9" w:rsidRDefault="00E023F9"/>
    <w:sectPr w:rsidR="00E023F9" w:rsidSect="009B268F">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7CEFE" w14:textId="77777777" w:rsidR="009B268F" w:rsidRDefault="009B26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1E2CB" w14:textId="77777777" w:rsidR="009B268F" w:rsidRDefault="009B26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4207A" w14:textId="77777777" w:rsidR="009B268F" w:rsidRDefault="009B268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D1B21" w14:textId="77777777" w:rsidR="009B268F" w:rsidRDefault="009B26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F0964" w14:textId="77777777" w:rsidR="009B268F" w:rsidRDefault="009B26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80945" w14:textId="77777777" w:rsidR="009B268F" w:rsidRDefault="009B26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68F"/>
    <w:rsid w:val="000C4033"/>
    <w:rsid w:val="00173ED8"/>
    <w:rsid w:val="002F50B1"/>
    <w:rsid w:val="004B42CB"/>
    <w:rsid w:val="005F2B46"/>
    <w:rsid w:val="006E1731"/>
    <w:rsid w:val="00866D74"/>
    <w:rsid w:val="00882A73"/>
    <w:rsid w:val="00906905"/>
    <w:rsid w:val="0095305D"/>
    <w:rsid w:val="009B268F"/>
    <w:rsid w:val="00A15388"/>
    <w:rsid w:val="00B10170"/>
    <w:rsid w:val="00B260B7"/>
    <w:rsid w:val="00B85331"/>
    <w:rsid w:val="00C94D66"/>
    <w:rsid w:val="00DE7E69"/>
    <w:rsid w:val="00E023F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C5EBC"/>
  <w15:chartTrackingRefBased/>
  <w15:docId w15:val="{3DA0FDB9-DFE9-47ED-9D6E-B365D16A5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68F"/>
    <w:pPr>
      <w:spacing w:after="0" w:line="240" w:lineRule="auto"/>
    </w:pPr>
    <w:rPr>
      <w:rFonts w:ascii="Times New Roman" w:eastAsiaTheme="minorEastAsia" w:hAnsi="Times New Roman" w:cs="Times New Roman"/>
      <w:kern w:val="0"/>
      <w:lang w:val="en-GB" w:eastAsia="zh-CN"/>
      <w14:ligatures w14:val="none"/>
    </w:rPr>
  </w:style>
  <w:style w:type="paragraph" w:styleId="Heading1">
    <w:name w:val="heading 1"/>
    <w:basedOn w:val="Normal"/>
    <w:next w:val="Normal"/>
    <w:link w:val="Heading1Char"/>
    <w:uiPriority w:val="9"/>
    <w:qFormat/>
    <w:rsid w:val="009B268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IN" w:eastAsia="en-US"/>
      <w14:ligatures w14:val="standardContextual"/>
    </w:rPr>
  </w:style>
  <w:style w:type="paragraph" w:styleId="Heading2">
    <w:name w:val="heading 2"/>
    <w:basedOn w:val="Normal"/>
    <w:next w:val="Normal"/>
    <w:link w:val="Heading2Char"/>
    <w:uiPriority w:val="9"/>
    <w:semiHidden/>
    <w:unhideWhenUsed/>
    <w:qFormat/>
    <w:rsid w:val="009B268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IN" w:eastAsia="en-US"/>
      <w14:ligatures w14:val="standardContextual"/>
    </w:rPr>
  </w:style>
  <w:style w:type="paragraph" w:styleId="Heading3">
    <w:name w:val="heading 3"/>
    <w:basedOn w:val="Normal"/>
    <w:next w:val="Normal"/>
    <w:link w:val="Heading3Char"/>
    <w:uiPriority w:val="9"/>
    <w:semiHidden/>
    <w:unhideWhenUsed/>
    <w:qFormat/>
    <w:rsid w:val="009B268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IN" w:eastAsia="en-US"/>
      <w14:ligatures w14:val="standardContextual"/>
    </w:rPr>
  </w:style>
  <w:style w:type="paragraph" w:styleId="Heading4">
    <w:name w:val="heading 4"/>
    <w:basedOn w:val="Normal"/>
    <w:next w:val="Normal"/>
    <w:link w:val="Heading4Char"/>
    <w:uiPriority w:val="9"/>
    <w:semiHidden/>
    <w:unhideWhenUsed/>
    <w:qFormat/>
    <w:rsid w:val="009B268F"/>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IN" w:eastAsia="en-US"/>
      <w14:ligatures w14:val="standardContextual"/>
    </w:rPr>
  </w:style>
  <w:style w:type="paragraph" w:styleId="Heading5">
    <w:name w:val="heading 5"/>
    <w:basedOn w:val="Normal"/>
    <w:next w:val="Normal"/>
    <w:link w:val="Heading5Char"/>
    <w:uiPriority w:val="9"/>
    <w:semiHidden/>
    <w:unhideWhenUsed/>
    <w:qFormat/>
    <w:rsid w:val="009B268F"/>
    <w:pPr>
      <w:keepNext/>
      <w:keepLines/>
      <w:spacing w:before="80" w:after="40" w:line="278" w:lineRule="auto"/>
      <w:outlineLvl w:val="4"/>
    </w:pPr>
    <w:rPr>
      <w:rFonts w:asciiTheme="minorHAnsi" w:eastAsiaTheme="majorEastAsia" w:hAnsiTheme="minorHAnsi" w:cstheme="majorBidi"/>
      <w:color w:val="0F4761" w:themeColor="accent1" w:themeShade="BF"/>
      <w:kern w:val="2"/>
      <w:lang w:val="en-IN" w:eastAsia="en-US"/>
      <w14:ligatures w14:val="standardContextual"/>
    </w:rPr>
  </w:style>
  <w:style w:type="paragraph" w:styleId="Heading6">
    <w:name w:val="heading 6"/>
    <w:basedOn w:val="Normal"/>
    <w:next w:val="Normal"/>
    <w:link w:val="Heading6Char"/>
    <w:uiPriority w:val="9"/>
    <w:semiHidden/>
    <w:unhideWhenUsed/>
    <w:qFormat/>
    <w:rsid w:val="009B268F"/>
    <w:pPr>
      <w:keepNext/>
      <w:keepLines/>
      <w:spacing w:before="40" w:line="278" w:lineRule="auto"/>
      <w:outlineLvl w:val="5"/>
    </w:pPr>
    <w:rPr>
      <w:rFonts w:asciiTheme="minorHAnsi" w:eastAsiaTheme="majorEastAsia" w:hAnsiTheme="minorHAnsi" w:cstheme="majorBidi"/>
      <w:i/>
      <w:iCs/>
      <w:color w:val="595959" w:themeColor="text1" w:themeTint="A6"/>
      <w:kern w:val="2"/>
      <w:lang w:val="en-IN" w:eastAsia="en-US"/>
      <w14:ligatures w14:val="standardContextual"/>
    </w:rPr>
  </w:style>
  <w:style w:type="paragraph" w:styleId="Heading7">
    <w:name w:val="heading 7"/>
    <w:basedOn w:val="Normal"/>
    <w:next w:val="Normal"/>
    <w:link w:val="Heading7Char"/>
    <w:uiPriority w:val="9"/>
    <w:semiHidden/>
    <w:unhideWhenUsed/>
    <w:qFormat/>
    <w:rsid w:val="009B268F"/>
    <w:pPr>
      <w:keepNext/>
      <w:keepLines/>
      <w:spacing w:before="40" w:line="278" w:lineRule="auto"/>
      <w:outlineLvl w:val="6"/>
    </w:pPr>
    <w:rPr>
      <w:rFonts w:asciiTheme="minorHAnsi" w:eastAsiaTheme="majorEastAsia" w:hAnsiTheme="minorHAnsi" w:cstheme="majorBidi"/>
      <w:color w:val="595959" w:themeColor="text1" w:themeTint="A6"/>
      <w:kern w:val="2"/>
      <w:lang w:val="en-IN" w:eastAsia="en-US"/>
      <w14:ligatures w14:val="standardContextual"/>
    </w:rPr>
  </w:style>
  <w:style w:type="paragraph" w:styleId="Heading8">
    <w:name w:val="heading 8"/>
    <w:basedOn w:val="Normal"/>
    <w:next w:val="Normal"/>
    <w:link w:val="Heading8Char"/>
    <w:uiPriority w:val="9"/>
    <w:semiHidden/>
    <w:unhideWhenUsed/>
    <w:qFormat/>
    <w:rsid w:val="009B268F"/>
    <w:pPr>
      <w:keepNext/>
      <w:keepLines/>
      <w:spacing w:line="278" w:lineRule="auto"/>
      <w:outlineLvl w:val="7"/>
    </w:pPr>
    <w:rPr>
      <w:rFonts w:asciiTheme="minorHAnsi" w:eastAsiaTheme="majorEastAsia" w:hAnsiTheme="minorHAnsi" w:cstheme="majorBidi"/>
      <w:i/>
      <w:iCs/>
      <w:color w:val="272727" w:themeColor="text1" w:themeTint="D8"/>
      <w:kern w:val="2"/>
      <w:lang w:val="en-IN" w:eastAsia="en-US"/>
      <w14:ligatures w14:val="standardContextual"/>
    </w:rPr>
  </w:style>
  <w:style w:type="paragraph" w:styleId="Heading9">
    <w:name w:val="heading 9"/>
    <w:basedOn w:val="Normal"/>
    <w:next w:val="Normal"/>
    <w:link w:val="Heading9Char"/>
    <w:uiPriority w:val="9"/>
    <w:semiHidden/>
    <w:unhideWhenUsed/>
    <w:qFormat/>
    <w:rsid w:val="009B268F"/>
    <w:pPr>
      <w:keepNext/>
      <w:keepLines/>
      <w:spacing w:line="278" w:lineRule="auto"/>
      <w:outlineLvl w:val="8"/>
    </w:pPr>
    <w:rPr>
      <w:rFonts w:asciiTheme="minorHAnsi" w:eastAsiaTheme="majorEastAsia" w:hAnsiTheme="minorHAnsi" w:cstheme="majorBidi"/>
      <w:color w:val="272727" w:themeColor="text1" w:themeTint="D8"/>
      <w:kern w:val="2"/>
      <w:lang w:val="en-IN"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6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26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26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26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26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26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26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26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268F"/>
    <w:rPr>
      <w:rFonts w:eastAsiaTheme="majorEastAsia" w:cstheme="majorBidi"/>
      <w:color w:val="272727" w:themeColor="text1" w:themeTint="D8"/>
    </w:rPr>
  </w:style>
  <w:style w:type="paragraph" w:styleId="Title">
    <w:name w:val="Title"/>
    <w:basedOn w:val="Normal"/>
    <w:next w:val="Normal"/>
    <w:link w:val="TitleChar"/>
    <w:uiPriority w:val="10"/>
    <w:qFormat/>
    <w:rsid w:val="009B268F"/>
    <w:pPr>
      <w:spacing w:after="80"/>
      <w:contextualSpacing/>
    </w:pPr>
    <w:rPr>
      <w:rFonts w:asciiTheme="majorHAnsi" w:eastAsiaTheme="majorEastAsia" w:hAnsiTheme="majorHAnsi" w:cstheme="majorBidi"/>
      <w:spacing w:val="-10"/>
      <w:kern w:val="28"/>
      <w:sz w:val="56"/>
      <w:szCs w:val="56"/>
      <w:lang w:val="en-IN" w:eastAsia="en-US"/>
      <w14:ligatures w14:val="standardContextual"/>
    </w:rPr>
  </w:style>
  <w:style w:type="character" w:customStyle="1" w:styleId="TitleChar">
    <w:name w:val="Title Char"/>
    <w:basedOn w:val="DefaultParagraphFont"/>
    <w:link w:val="Title"/>
    <w:uiPriority w:val="10"/>
    <w:rsid w:val="009B26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68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IN" w:eastAsia="en-US"/>
      <w14:ligatures w14:val="standardContextual"/>
    </w:rPr>
  </w:style>
  <w:style w:type="character" w:customStyle="1" w:styleId="SubtitleChar">
    <w:name w:val="Subtitle Char"/>
    <w:basedOn w:val="DefaultParagraphFont"/>
    <w:link w:val="Subtitle"/>
    <w:uiPriority w:val="11"/>
    <w:rsid w:val="009B26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68F"/>
    <w:pPr>
      <w:spacing w:before="160" w:after="160" w:line="278" w:lineRule="auto"/>
      <w:jc w:val="center"/>
    </w:pPr>
    <w:rPr>
      <w:rFonts w:asciiTheme="minorHAnsi" w:eastAsiaTheme="minorHAnsi" w:hAnsiTheme="minorHAnsi" w:cstheme="minorBidi"/>
      <w:i/>
      <w:iCs/>
      <w:color w:val="404040" w:themeColor="text1" w:themeTint="BF"/>
      <w:kern w:val="2"/>
      <w:lang w:val="en-IN" w:eastAsia="en-US"/>
      <w14:ligatures w14:val="standardContextual"/>
    </w:rPr>
  </w:style>
  <w:style w:type="character" w:customStyle="1" w:styleId="QuoteChar">
    <w:name w:val="Quote Char"/>
    <w:basedOn w:val="DefaultParagraphFont"/>
    <w:link w:val="Quote"/>
    <w:uiPriority w:val="29"/>
    <w:rsid w:val="009B268F"/>
    <w:rPr>
      <w:i/>
      <w:iCs/>
      <w:color w:val="404040" w:themeColor="text1" w:themeTint="BF"/>
    </w:rPr>
  </w:style>
  <w:style w:type="paragraph" w:styleId="ListParagraph">
    <w:name w:val="List Paragraph"/>
    <w:basedOn w:val="Normal"/>
    <w:uiPriority w:val="34"/>
    <w:qFormat/>
    <w:rsid w:val="009B268F"/>
    <w:pPr>
      <w:spacing w:after="160" w:line="278" w:lineRule="auto"/>
      <w:ind w:left="720"/>
      <w:contextualSpacing/>
    </w:pPr>
    <w:rPr>
      <w:rFonts w:asciiTheme="minorHAnsi" w:eastAsiaTheme="minorHAnsi" w:hAnsiTheme="minorHAnsi" w:cstheme="minorBidi"/>
      <w:kern w:val="2"/>
      <w:lang w:val="en-IN" w:eastAsia="en-US"/>
      <w14:ligatures w14:val="standardContextual"/>
    </w:rPr>
  </w:style>
  <w:style w:type="character" w:styleId="IntenseEmphasis">
    <w:name w:val="Intense Emphasis"/>
    <w:basedOn w:val="DefaultParagraphFont"/>
    <w:uiPriority w:val="21"/>
    <w:qFormat/>
    <w:rsid w:val="009B268F"/>
    <w:rPr>
      <w:i/>
      <w:iCs/>
      <w:color w:val="0F4761" w:themeColor="accent1" w:themeShade="BF"/>
    </w:rPr>
  </w:style>
  <w:style w:type="paragraph" w:styleId="IntenseQuote">
    <w:name w:val="Intense Quote"/>
    <w:basedOn w:val="Normal"/>
    <w:next w:val="Normal"/>
    <w:link w:val="IntenseQuoteChar"/>
    <w:uiPriority w:val="30"/>
    <w:qFormat/>
    <w:rsid w:val="009B268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IN" w:eastAsia="en-US"/>
      <w14:ligatures w14:val="standardContextual"/>
    </w:rPr>
  </w:style>
  <w:style w:type="character" w:customStyle="1" w:styleId="IntenseQuoteChar">
    <w:name w:val="Intense Quote Char"/>
    <w:basedOn w:val="DefaultParagraphFont"/>
    <w:link w:val="IntenseQuote"/>
    <w:uiPriority w:val="30"/>
    <w:rsid w:val="009B268F"/>
    <w:rPr>
      <w:i/>
      <w:iCs/>
      <w:color w:val="0F4761" w:themeColor="accent1" w:themeShade="BF"/>
    </w:rPr>
  </w:style>
  <w:style w:type="character" w:styleId="IntenseReference">
    <w:name w:val="Intense Reference"/>
    <w:basedOn w:val="DefaultParagraphFont"/>
    <w:uiPriority w:val="32"/>
    <w:qFormat/>
    <w:rsid w:val="009B268F"/>
    <w:rPr>
      <w:b/>
      <w:bCs/>
      <w:smallCaps/>
      <w:color w:val="0F4761" w:themeColor="accent1" w:themeShade="BF"/>
      <w:spacing w:val="5"/>
    </w:rPr>
  </w:style>
  <w:style w:type="paragraph" w:styleId="Footer">
    <w:name w:val="footer"/>
    <w:basedOn w:val="Normal"/>
    <w:link w:val="FooterChar"/>
    <w:uiPriority w:val="99"/>
    <w:unhideWhenUsed/>
    <w:rsid w:val="009B268F"/>
    <w:pPr>
      <w:tabs>
        <w:tab w:val="center" w:pos="4153"/>
        <w:tab w:val="right" w:pos="8306"/>
      </w:tabs>
      <w:snapToGrid w:val="0"/>
    </w:pPr>
    <w:rPr>
      <w:sz w:val="18"/>
      <w:szCs w:val="18"/>
    </w:rPr>
  </w:style>
  <w:style w:type="character" w:customStyle="1" w:styleId="FooterChar">
    <w:name w:val="Footer Char"/>
    <w:basedOn w:val="DefaultParagraphFont"/>
    <w:link w:val="Footer"/>
    <w:uiPriority w:val="99"/>
    <w:qFormat/>
    <w:rsid w:val="009B268F"/>
    <w:rPr>
      <w:rFonts w:ascii="Times New Roman" w:eastAsiaTheme="minorEastAsia" w:hAnsi="Times New Roman" w:cs="Times New Roman"/>
      <w:kern w:val="0"/>
      <w:sz w:val="18"/>
      <w:szCs w:val="18"/>
      <w:lang w:val="en-GB" w:eastAsia="zh-CN"/>
      <w14:ligatures w14:val="none"/>
    </w:rPr>
  </w:style>
  <w:style w:type="paragraph" w:styleId="Header">
    <w:name w:val="header"/>
    <w:basedOn w:val="Normal"/>
    <w:link w:val="HeaderChar"/>
    <w:uiPriority w:val="99"/>
    <w:unhideWhenUsed/>
    <w:rsid w:val="009B268F"/>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qFormat/>
    <w:rsid w:val="009B268F"/>
    <w:rPr>
      <w:rFonts w:ascii="Times New Roman" w:eastAsiaTheme="minorEastAsia" w:hAnsi="Times New Roman" w:cs="Times New Roman"/>
      <w:kern w:val="0"/>
      <w:sz w:val="18"/>
      <w:szCs w:val="18"/>
      <w:lang w:val="en-GB" w:eastAsia="zh-CN"/>
      <w14:ligatures w14:val="none"/>
    </w:rPr>
  </w:style>
  <w:style w:type="table" w:styleId="TableGrid">
    <w:name w:val="Table Grid"/>
    <w:basedOn w:val="TableNormal"/>
    <w:uiPriority w:val="39"/>
    <w:rsid w:val="009B268F"/>
    <w:pPr>
      <w:spacing w:after="0" w:line="240" w:lineRule="auto"/>
    </w:pPr>
    <w:rPr>
      <w:rFonts w:ascii="Times New Roman" w:eastAsiaTheme="minorEastAsia"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1764</Characters>
  <Application>Microsoft Office Word</Application>
  <DocSecurity>0</DocSecurity>
  <Lines>14</Lines>
  <Paragraphs>4</Paragraphs>
  <ScaleCrop>false</ScaleCrop>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Trupti Sudge</dc:creator>
  <cp:keywords/>
  <dc:description/>
  <cp:lastModifiedBy>Trupti Sudge</cp:lastModifiedBy>
  <cp:revision>1</cp:revision>
  <dcterms:created xsi:type="dcterms:W3CDTF">2026-07-09T11:44:00Z</dcterms:created>
  <dcterms:modified xsi:type="dcterms:W3CDTF">2026-07-09T11:44:00Z</dcterms:modified>
</cp:coreProperties>
</file>