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D911CD">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both"/>
        <w:textAlignment w:val="auto"/>
        <w:rPr>
          <w:rFonts w:hint="default" w:ascii="Times New Roman" w:hAnsi="Times New Roman" w:cs="Times New Roman"/>
          <w:b w:val="0"/>
          <w:bCs w:val="0"/>
          <w:sz w:val="20"/>
          <w:szCs w:val="20"/>
        </w:rPr>
      </w:pPr>
      <w:r>
        <w:rPr>
          <w:rFonts w:hint="default" w:ascii="Times New Roman" w:hAnsi="Times New Roman" w:cs="Times New Roman"/>
          <w:b w:val="0"/>
          <w:bCs w:val="0"/>
          <w:sz w:val="20"/>
          <w:szCs w:val="20"/>
        </w:rPr>
        <w:t xml:space="preserve">May </w:t>
      </w:r>
      <w:r>
        <w:rPr>
          <w:rFonts w:hint="eastAsia" w:ascii="Times New Roman" w:hAnsi="Times New Roman" w:cs="Times New Roman"/>
          <w:b w:val="0"/>
          <w:bCs w:val="0"/>
          <w:sz w:val="20"/>
          <w:szCs w:val="20"/>
          <w:lang w:val="en-US" w:eastAsia="zh-CN"/>
        </w:rPr>
        <w:t>25</w:t>
      </w:r>
      <w:r>
        <w:rPr>
          <w:rFonts w:hint="default" w:ascii="Times New Roman" w:hAnsi="Times New Roman" w:cs="Times New Roman"/>
          <w:b w:val="0"/>
          <w:bCs w:val="0"/>
          <w:sz w:val="20"/>
          <w:szCs w:val="20"/>
        </w:rPr>
        <w:t>, 2026</w:t>
      </w:r>
    </w:p>
    <w:p w14:paraId="46619D56">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both"/>
        <w:textAlignment w:val="auto"/>
        <w:rPr>
          <w:rFonts w:hint="default" w:ascii="Times New Roman" w:hAnsi="Times New Roman" w:cs="Times New Roman"/>
          <w:b w:val="0"/>
          <w:bCs w:val="0"/>
          <w:sz w:val="20"/>
          <w:szCs w:val="20"/>
        </w:rPr>
      </w:pPr>
      <w:r>
        <w:rPr>
          <w:rFonts w:hint="default" w:ascii="Times New Roman" w:hAnsi="Times New Roman" w:cs="Times New Roman"/>
          <w:b w:val="0"/>
          <w:bCs w:val="0"/>
          <w:sz w:val="20"/>
          <w:szCs w:val="20"/>
        </w:rPr>
        <w:t>Dear Editor,</w:t>
      </w:r>
    </w:p>
    <w:p w14:paraId="653AD062">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both"/>
        <w:textAlignment w:val="auto"/>
        <w:rPr>
          <w:rFonts w:hint="default" w:ascii="Times New Roman" w:hAnsi="Times New Roman" w:cs="Times New Roman"/>
          <w:b w:val="0"/>
          <w:bCs w:val="0"/>
          <w:sz w:val="20"/>
          <w:szCs w:val="20"/>
        </w:rPr>
      </w:pPr>
      <w:r>
        <w:rPr>
          <w:rFonts w:hint="default" w:ascii="Times New Roman" w:hAnsi="Times New Roman" w:cs="Times New Roman"/>
          <w:b w:val="0"/>
          <w:bCs w:val="0"/>
          <w:sz w:val="20"/>
          <w:szCs w:val="20"/>
        </w:rPr>
        <w:t xml:space="preserve">We are pleased to submit our manuscript entitled </w:t>
      </w:r>
      <w:r>
        <w:rPr>
          <w:rStyle w:val="5"/>
          <w:rFonts w:hint="default" w:ascii="Times New Roman" w:hAnsi="Times New Roman" w:cs="Times New Roman"/>
          <w:b w:val="0"/>
          <w:bCs w:val="0"/>
          <w:sz w:val="20"/>
          <w:szCs w:val="20"/>
        </w:rPr>
        <w:t>“Metagenomic Capture as an Adjunct Diagnostic Strategy for Cutaneous Infectious Granulomas: A Prospective–Retrospective Cohort Study”</w:t>
      </w:r>
      <w:r>
        <w:rPr>
          <w:rFonts w:hint="default" w:ascii="Times New Roman" w:hAnsi="Times New Roman" w:cs="Times New Roman"/>
          <w:b w:val="0"/>
          <w:bCs w:val="0"/>
          <w:sz w:val="20"/>
          <w:szCs w:val="20"/>
        </w:rPr>
        <w:t xml:space="preserve"> for consideration as an Original Article in </w:t>
      </w:r>
      <w:r>
        <w:rPr>
          <w:rStyle w:val="6"/>
          <w:rFonts w:hint="default" w:ascii="Times New Roman" w:hAnsi="Times New Roman" w:cs="Times New Roman"/>
          <w:b/>
          <w:bCs/>
          <w:sz w:val="20"/>
          <w:szCs w:val="20"/>
        </w:rPr>
        <w:t>Journal of Translational Medical</w:t>
      </w:r>
      <w:r>
        <w:rPr>
          <w:rFonts w:hint="default" w:ascii="Times New Roman" w:hAnsi="Times New Roman" w:cs="Times New Roman"/>
          <w:b/>
          <w:bCs/>
          <w:sz w:val="20"/>
          <w:szCs w:val="20"/>
        </w:rPr>
        <w:t>.</w:t>
      </w:r>
    </w:p>
    <w:p w14:paraId="2B063A09">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both"/>
        <w:textAlignment w:val="auto"/>
        <w:rPr>
          <w:rFonts w:hint="default" w:ascii="Times New Roman" w:hAnsi="Times New Roman" w:cs="Times New Roman"/>
          <w:b w:val="0"/>
          <w:bCs w:val="0"/>
          <w:sz w:val="20"/>
          <w:szCs w:val="20"/>
        </w:rPr>
      </w:pPr>
      <w:r>
        <w:rPr>
          <w:rFonts w:hint="default" w:ascii="Times New Roman" w:hAnsi="Times New Roman" w:cs="Times New Roman"/>
          <w:b w:val="0"/>
          <w:bCs w:val="0"/>
          <w:sz w:val="20"/>
          <w:szCs w:val="20"/>
        </w:rPr>
        <w:t>Cutaneous infectious granulomas (CIG) remain diagnostically challenging because clinical and histopathologic features often overlap, and conventional microbiologic methods have limited sensitivity. Accurate etiologic diagnosis is essential for guiding targeted antimicrobial therapy in clinical practice.</w:t>
      </w:r>
    </w:p>
    <w:p w14:paraId="27F08421">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both"/>
        <w:textAlignment w:val="auto"/>
        <w:rPr>
          <w:rFonts w:hint="default" w:ascii="Times New Roman" w:hAnsi="Times New Roman" w:cs="Times New Roman"/>
          <w:b w:val="0"/>
          <w:bCs w:val="0"/>
          <w:sz w:val="20"/>
          <w:szCs w:val="20"/>
        </w:rPr>
      </w:pPr>
      <w:r>
        <w:rPr>
          <w:rFonts w:hint="default" w:ascii="Times New Roman" w:hAnsi="Times New Roman" w:cs="Times New Roman"/>
          <w:b w:val="0"/>
          <w:bCs w:val="0"/>
          <w:sz w:val="20"/>
          <w:szCs w:val="20"/>
        </w:rPr>
        <w:t xml:space="preserve">In this dual-center prospective–retrospective cohort study of 117 patients with suspected granulomatous skin lesions, we evaluated the diagnostic performance of a probe capture–based metagenomic sequencing platform (MetaCAP). To ensure methodological rigor, we used a </w:t>
      </w:r>
      <w:r>
        <w:rPr>
          <w:rStyle w:val="5"/>
          <w:rFonts w:hint="default" w:ascii="Times New Roman" w:hAnsi="Times New Roman" w:cs="Times New Roman"/>
          <w:b w:val="0"/>
          <w:bCs w:val="0"/>
          <w:sz w:val="20"/>
          <w:szCs w:val="20"/>
        </w:rPr>
        <w:t>prespecified composite clinical reference standard with blinded adjudication independent of MetaCAP results</w:t>
      </w:r>
      <w:r>
        <w:rPr>
          <w:rFonts w:hint="default" w:ascii="Times New Roman" w:hAnsi="Times New Roman" w:cs="Times New Roman"/>
          <w:b w:val="0"/>
          <w:bCs w:val="0"/>
          <w:sz w:val="20"/>
          <w:szCs w:val="20"/>
        </w:rPr>
        <w:t>, thereby minimizing incorporation bias.</w:t>
      </w:r>
    </w:p>
    <w:p w14:paraId="5ED5295E">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both"/>
        <w:textAlignment w:val="auto"/>
        <w:rPr>
          <w:rFonts w:hint="default" w:ascii="Times New Roman" w:hAnsi="Times New Roman" w:cs="Times New Roman"/>
          <w:b w:val="0"/>
          <w:bCs w:val="0"/>
          <w:sz w:val="20"/>
          <w:szCs w:val="20"/>
        </w:rPr>
      </w:pPr>
      <w:r>
        <w:rPr>
          <w:rFonts w:hint="default" w:ascii="Times New Roman" w:hAnsi="Times New Roman" w:cs="Times New Roman"/>
          <w:b w:val="0"/>
          <w:bCs w:val="0"/>
          <w:sz w:val="20"/>
          <w:szCs w:val="20"/>
        </w:rPr>
        <w:t xml:space="preserve">MetaCAP demonstrated substantially higher sensitivity and overall diagnostic yield than conventional culture, with its principal value observed in conventionally negative cases. Notably, additional pathogens were identified in </w:t>
      </w:r>
      <w:r>
        <w:rPr>
          <w:rStyle w:val="5"/>
          <w:rFonts w:hint="default" w:ascii="Times New Roman" w:hAnsi="Times New Roman" w:cs="Times New Roman"/>
          <w:b w:val="0"/>
          <w:bCs w:val="0"/>
          <w:sz w:val="20"/>
          <w:szCs w:val="20"/>
        </w:rPr>
        <w:t>94.1% of culture-negative infections</w:t>
      </w:r>
      <w:r>
        <w:rPr>
          <w:rFonts w:hint="default" w:ascii="Times New Roman" w:hAnsi="Times New Roman" w:cs="Times New Roman"/>
          <w:b w:val="0"/>
          <w:bCs w:val="0"/>
          <w:sz w:val="20"/>
          <w:szCs w:val="20"/>
        </w:rPr>
        <w:t>, highlighting its ability to uncover otherwise undetected etiologies. MetaCAP also showed high specificity for noninfectious granulomas and a shorter diagnostic turnaround time.</w:t>
      </w:r>
    </w:p>
    <w:p w14:paraId="3A3FC65E">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both"/>
        <w:textAlignment w:val="auto"/>
        <w:rPr>
          <w:rFonts w:hint="default" w:ascii="Times New Roman" w:hAnsi="Times New Roman" w:cs="Times New Roman"/>
          <w:b w:val="0"/>
          <w:bCs w:val="0"/>
          <w:sz w:val="20"/>
          <w:szCs w:val="20"/>
        </w:rPr>
      </w:pPr>
      <w:r>
        <w:rPr>
          <w:rFonts w:hint="default" w:ascii="Times New Roman" w:hAnsi="Times New Roman" w:cs="Times New Roman"/>
          <w:b w:val="0"/>
          <w:bCs w:val="0"/>
          <w:sz w:val="20"/>
          <w:szCs w:val="20"/>
        </w:rPr>
        <w:t xml:space="preserve">Importantly, rather than serving as a replacement for conventional methods, MetaCAP may function as a </w:t>
      </w:r>
      <w:r>
        <w:rPr>
          <w:rStyle w:val="5"/>
          <w:rFonts w:hint="default" w:ascii="Times New Roman" w:hAnsi="Times New Roman" w:cs="Times New Roman"/>
          <w:b w:val="0"/>
          <w:bCs w:val="0"/>
          <w:sz w:val="20"/>
          <w:szCs w:val="20"/>
        </w:rPr>
        <w:t>complementary diagnostic strategy</w:t>
      </w:r>
      <w:r>
        <w:rPr>
          <w:rFonts w:hint="default" w:ascii="Times New Roman" w:hAnsi="Times New Roman" w:cs="Times New Roman"/>
          <w:b w:val="0"/>
          <w:bCs w:val="0"/>
          <w:sz w:val="20"/>
          <w:szCs w:val="20"/>
        </w:rPr>
        <w:t>, particularly in clinically challenging cases where routine testing is inconclusive. This aligns with the growing need for integrated diagnostic approaches in dermatologic infections.</w:t>
      </w:r>
    </w:p>
    <w:p w14:paraId="123943DB">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both"/>
        <w:textAlignment w:val="auto"/>
        <w:rPr>
          <w:rFonts w:hint="default" w:ascii="Times New Roman" w:hAnsi="Times New Roman" w:cs="Times New Roman"/>
          <w:b w:val="0"/>
          <w:bCs w:val="0"/>
          <w:sz w:val="20"/>
          <w:szCs w:val="20"/>
        </w:rPr>
      </w:pPr>
      <w:r>
        <w:rPr>
          <w:rFonts w:hint="default" w:ascii="Times New Roman" w:hAnsi="Times New Roman" w:cs="Times New Roman"/>
          <w:b w:val="0"/>
          <w:bCs w:val="0"/>
          <w:sz w:val="20"/>
          <w:szCs w:val="20"/>
        </w:rPr>
        <w:t xml:space="preserve">We believe this study is well suited to </w:t>
      </w:r>
      <w:r>
        <w:rPr>
          <w:rStyle w:val="6"/>
          <w:rFonts w:hint="default" w:ascii="Times New Roman" w:hAnsi="Times New Roman" w:cs="Times New Roman"/>
          <w:b/>
          <w:bCs/>
          <w:sz w:val="20"/>
          <w:szCs w:val="20"/>
        </w:rPr>
        <w:t>Journal of Translational Medical</w:t>
      </w:r>
      <w:bookmarkStart w:id="0" w:name="_GoBack"/>
      <w:bookmarkEnd w:id="0"/>
      <w:r>
        <w:rPr>
          <w:rFonts w:hint="default" w:ascii="Times New Roman" w:hAnsi="Times New Roman" w:cs="Times New Roman"/>
          <w:b w:val="0"/>
          <w:bCs w:val="0"/>
          <w:sz w:val="20"/>
          <w:szCs w:val="20"/>
        </w:rPr>
        <w:t xml:space="preserve"> given its focus on clinically meaningful advances in diagnostic strategies. To our knowledge, this is among the first studies to systematically evaluate probe capture–based metagenomic sequencing in CIG using a rigorously defined reference standard.</w:t>
      </w:r>
    </w:p>
    <w:p w14:paraId="6CDF6BBF">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both"/>
        <w:textAlignment w:val="auto"/>
        <w:rPr>
          <w:rFonts w:hint="default" w:ascii="Times New Roman" w:hAnsi="Times New Roman" w:cs="Times New Roman"/>
          <w:b w:val="0"/>
          <w:bCs w:val="0"/>
          <w:sz w:val="20"/>
          <w:szCs w:val="20"/>
        </w:rPr>
      </w:pPr>
      <w:r>
        <w:rPr>
          <w:rFonts w:hint="default" w:ascii="Times New Roman" w:hAnsi="Times New Roman" w:cs="Times New Roman"/>
          <w:b w:val="0"/>
          <w:bCs w:val="0"/>
          <w:sz w:val="20"/>
          <w:szCs w:val="20"/>
        </w:rPr>
        <w:t>This manuscript has not been published and is not under consideration elsewhere. All authors have approved the manuscript and agree with its submission. The authors declare no conflicts of interest.</w:t>
      </w:r>
    </w:p>
    <w:p w14:paraId="2349D553">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both"/>
        <w:textAlignment w:val="auto"/>
        <w:rPr>
          <w:rFonts w:hint="default" w:ascii="Times New Roman" w:hAnsi="Times New Roman" w:cs="Times New Roman"/>
          <w:b w:val="0"/>
          <w:bCs w:val="0"/>
          <w:sz w:val="20"/>
          <w:szCs w:val="20"/>
        </w:rPr>
      </w:pPr>
      <w:r>
        <w:rPr>
          <w:rFonts w:hint="default" w:ascii="Times New Roman" w:hAnsi="Times New Roman" w:cs="Times New Roman"/>
          <w:b w:val="0"/>
          <w:bCs w:val="0"/>
          <w:sz w:val="20"/>
          <w:szCs w:val="20"/>
        </w:rPr>
        <w:t>Thank you for your consideration.</w:t>
      </w:r>
    </w:p>
    <w:p w14:paraId="19AB9BE8">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both"/>
        <w:textAlignment w:val="auto"/>
        <w:rPr>
          <w:rFonts w:hint="default" w:ascii="Times New Roman" w:hAnsi="Times New Roman" w:cs="Times New Roman"/>
          <w:b w:val="0"/>
          <w:bCs w:val="0"/>
          <w:sz w:val="20"/>
          <w:szCs w:val="20"/>
        </w:rPr>
      </w:pPr>
      <w:r>
        <w:rPr>
          <w:rFonts w:hint="default" w:ascii="Times New Roman" w:hAnsi="Times New Roman" w:cs="Times New Roman"/>
          <w:b w:val="0"/>
          <w:bCs w:val="0"/>
          <w:sz w:val="20"/>
          <w:szCs w:val="20"/>
        </w:rPr>
        <w:t>Sincerely,</w:t>
      </w:r>
      <w:r>
        <w:rPr>
          <w:rFonts w:hint="default" w:ascii="Times New Roman" w:hAnsi="Times New Roman" w:cs="Times New Roman"/>
          <w:b w:val="0"/>
          <w:bCs w:val="0"/>
          <w:sz w:val="20"/>
          <w:szCs w:val="20"/>
        </w:rPr>
        <w:br w:type="textWrapping"/>
      </w:r>
      <w:r>
        <w:rPr>
          <w:rFonts w:hint="default" w:ascii="Times New Roman" w:hAnsi="Times New Roman" w:cs="Times New Roman"/>
          <w:b w:val="0"/>
          <w:bCs w:val="0"/>
          <w:sz w:val="20"/>
          <w:szCs w:val="20"/>
        </w:rPr>
        <w:t>Guan Jiang, PhD</w:t>
      </w:r>
      <w:r>
        <w:rPr>
          <w:rFonts w:hint="default" w:ascii="Times New Roman" w:hAnsi="Times New Roman" w:cs="Times New Roman"/>
          <w:b w:val="0"/>
          <w:bCs w:val="0"/>
          <w:sz w:val="20"/>
          <w:szCs w:val="20"/>
        </w:rPr>
        <w:br w:type="textWrapping"/>
      </w:r>
      <w:r>
        <w:rPr>
          <w:rFonts w:hint="default" w:ascii="Times New Roman" w:hAnsi="Times New Roman" w:cs="Times New Roman"/>
          <w:b w:val="0"/>
          <w:bCs w:val="0"/>
          <w:sz w:val="20"/>
          <w:szCs w:val="20"/>
        </w:rPr>
        <w:t>Department of Dermatology</w:t>
      </w:r>
      <w:r>
        <w:rPr>
          <w:rFonts w:hint="default" w:ascii="Times New Roman" w:hAnsi="Times New Roman" w:cs="Times New Roman"/>
          <w:b w:val="0"/>
          <w:bCs w:val="0"/>
          <w:sz w:val="20"/>
          <w:szCs w:val="20"/>
        </w:rPr>
        <w:br w:type="textWrapping"/>
      </w:r>
      <w:r>
        <w:rPr>
          <w:rFonts w:hint="default" w:ascii="Times New Roman" w:hAnsi="Times New Roman" w:cs="Times New Roman"/>
          <w:b w:val="0"/>
          <w:bCs w:val="0"/>
          <w:sz w:val="20"/>
          <w:szCs w:val="20"/>
        </w:rPr>
        <w:t>Affiliated Hospital of Xuzhou Medical University</w:t>
      </w:r>
      <w:r>
        <w:rPr>
          <w:rFonts w:hint="default" w:ascii="Times New Roman" w:hAnsi="Times New Roman" w:cs="Times New Roman"/>
          <w:b w:val="0"/>
          <w:bCs w:val="0"/>
          <w:sz w:val="20"/>
          <w:szCs w:val="20"/>
        </w:rPr>
        <w:br w:type="textWrapping"/>
      </w:r>
      <w:r>
        <w:rPr>
          <w:rFonts w:hint="default" w:ascii="Times New Roman" w:hAnsi="Times New Roman" w:cs="Times New Roman"/>
          <w:b w:val="0"/>
          <w:bCs w:val="0"/>
          <w:sz w:val="20"/>
          <w:szCs w:val="20"/>
        </w:rPr>
        <w:t>Email: dr.guanjiang@xzhmu.edu.cn</w:t>
      </w:r>
    </w:p>
    <w:p w14:paraId="47EDA107">
      <w:pPr>
        <w:keepNext w:val="0"/>
        <w:keepLines w:val="0"/>
        <w:pageBreakBefore w:val="0"/>
        <w:kinsoku/>
        <w:wordWrap/>
        <w:overflowPunct/>
        <w:topLinePunct w:val="0"/>
        <w:autoSpaceDE/>
        <w:autoSpaceDN/>
        <w:bidi w:val="0"/>
        <w:adjustRightInd/>
        <w:snapToGrid/>
        <w:spacing w:beforeAutospacing="0" w:afterAutospacing="0" w:line="360" w:lineRule="auto"/>
        <w:jc w:val="both"/>
        <w:textAlignment w:val="auto"/>
        <w:rPr>
          <w:rFonts w:hint="default" w:ascii="Times New Roman" w:hAnsi="Times New Roman" w:cs="Times New Roman"/>
          <w:b w:val="0"/>
          <w:bCs w:val="0"/>
          <w:sz w:val="20"/>
          <w:szCs w:val="2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CA836A5"/>
    <w:rsid w:val="0D9D6CE5"/>
    <w:rsid w:val="13280B57"/>
    <w:rsid w:val="23330F25"/>
    <w:rsid w:val="63DC2D4C"/>
    <w:rsid w:val="6A8279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Emphasis"/>
    <w:basedOn w:val="4"/>
    <w:qFormat/>
    <w:uiPriority w:val="0"/>
    <w:rPr>
      <w:i/>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311</Words>
  <Characters>2142</Characters>
  <Lines>0</Lines>
  <Paragraphs>0</Paragraphs>
  <TotalTime>1</TotalTime>
  <ScaleCrop>false</ScaleCrop>
  <LinksUpToDate>false</LinksUpToDate>
  <CharactersWithSpaces>2438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2026-04-30T04:55:00Z</dcterms:created>
  <dc:creator>郭淑贤</dc:creator>
  <cp:lastModifiedBy>hanhan</cp:lastModifiedBy>
  <dcterms:modified xsi:type="dcterms:W3CDTF">2026-05-25T05:41:47Z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eyJoZGlkIjoiMzEwNTM5NzYwMDRjMzkwZTVkZjY2ODkwMGIxNGU0OTUiLCJ1c2VySWQiOiIxMTY3OTA2MzYxIn0=</vt:lpwstr>
  </property>
  <property fmtid="{D5CDD505-2E9C-101B-9397-08002B2CF9AE}" pid="4" name="ICV">
    <vt:lpwstr>DA5CE45C57C34B4EAF0C5A94022E4682_12</vt:lpwstr>
  </property>
</Properties>
</file>