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307C1" w14:textId="58712A64" w:rsidR="00B7280A" w:rsidRPr="00454F50" w:rsidRDefault="00174A22" w:rsidP="00213489">
      <w:pPr>
        <w:pStyle w:val="1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Toc179550440"/>
      <w:r w:rsidRPr="00454F50">
        <w:rPr>
          <w:rFonts w:ascii="Times New Roman" w:hAnsi="Times New Roman" w:cs="Times New Roman"/>
          <w:color w:val="000000" w:themeColor="text1"/>
          <w:sz w:val="24"/>
          <w:szCs w:val="24"/>
        </w:rPr>
        <w:t>Supplemental Figures</w:t>
      </w:r>
      <w:bookmarkEnd w:id="0"/>
    </w:p>
    <w:p w14:paraId="45F2552B" w14:textId="7D1E42E1" w:rsidR="00B7280A" w:rsidRPr="00454F50" w:rsidRDefault="00B7280A" w:rsidP="00213489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F5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Supplementary Figure 1. </w:t>
      </w:r>
    </w:p>
    <w:p w14:paraId="44310048" w14:textId="2D70BC7A" w:rsidR="00B7280A" w:rsidRPr="00454F50" w:rsidRDefault="00AA5FFF" w:rsidP="003A7DF4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F5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07FBE0D5" wp14:editId="58FB5AE7">
            <wp:extent cx="5264150" cy="3757930"/>
            <wp:effectExtent l="0" t="0" r="0" b="0"/>
            <wp:docPr id="8153871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9443" w14:textId="28F9C911" w:rsidR="00B7280A" w:rsidRPr="00454F50" w:rsidRDefault="00B7280A" w:rsidP="003A7DF4">
      <w:pPr>
        <w:spacing w:line="480" w:lineRule="auto"/>
        <w:rPr>
          <w:rFonts w:ascii="Times New Roman" w:hAnsi="Times New Roman" w:cs="Times New Roman"/>
          <w:color w:val="000000" w:themeColor="text1"/>
          <w:sz w:val="22"/>
        </w:rPr>
      </w:pPr>
      <w:r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Supplementary Figure </w:t>
      </w:r>
      <w:r w:rsidR="00DC1EE8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1</w:t>
      </w:r>
      <w:r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>.</w:t>
      </w:r>
      <w:r w:rsidR="00E906D2"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SERPINE1⁺ fibroblasts represent inflammation- specific senescent cells driving disease pathogenesis.</w:t>
      </w:r>
      <w:r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Pr="00454F50">
        <w:rPr>
          <w:rFonts w:ascii="Times New Roman" w:hAnsi="Times New Roman" w:cs="Times New Roman"/>
          <w:color w:val="000000" w:themeColor="text1"/>
          <w:sz w:val="22"/>
        </w:rPr>
        <w:t xml:space="preserve">(A) </w:t>
      </w:r>
      <w:proofErr w:type="spellStart"/>
      <w:r w:rsidR="00E906D2" w:rsidRPr="00454F50">
        <w:rPr>
          <w:rFonts w:ascii="Times New Roman" w:hAnsi="Times New Roman" w:cs="Times New Roman"/>
          <w:color w:val="000000" w:themeColor="text1"/>
          <w:sz w:val="22"/>
        </w:rPr>
        <w:t>CellChat</w:t>
      </w:r>
      <w:proofErr w:type="spellEnd"/>
      <w:r w:rsidR="00E906D2" w:rsidRPr="00454F50">
        <w:rPr>
          <w:rFonts w:ascii="Times New Roman" w:hAnsi="Times New Roman" w:cs="Times New Roman"/>
          <w:color w:val="000000" w:themeColor="text1"/>
          <w:sz w:val="22"/>
        </w:rPr>
        <w:t xml:space="preserve"> analysis comparing intercellular signaling flow between inflamed and non-inflamed Crohn's disease tissues. (B) </w:t>
      </w:r>
      <w:proofErr w:type="spellStart"/>
      <w:r w:rsidR="00213489" w:rsidRPr="00454F50">
        <w:rPr>
          <w:rFonts w:ascii="Times New Roman" w:hAnsi="Times New Roman" w:cs="Times New Roman"/>
          <w:color w:val="000000" w:themeColor="text1"/>
          <w:sz w:val="22"/>
        </w:rPr>
        <w:t>CellChat</w:t>
      </w:r>
      <w:proofErr w:type="spellEnd"/>
      <w:r w:rsidR="00213489" w:rsidRPr="00454F50">
        <w:rPr>
          <w:rFonts w:ascii="Times New Roman" w:hAnsi="Times New Roman" w:cs="Times New Roman"/>
          <w:color w:val="000000" w:themeColor="text1"/>
          <w:sz w:val="22"/>
        </w:rPr>
        <w:t>-predicted MIF signaling network showing cell population roles as Senders, Receivers, Mediators, and Influencers in Crohn's disease. (C) Heatmap of marker gene expression across myeloid cell subpopulations.</w:t>
      </w:r>
    </w:p>
    <w:p w14:paraId="139024C4" w14:textId="5C41485D" w:rsidR="00B7280A" w:rsidRPr="00454F50" w:rsidRDefault="00B7280A" w:rsidP="003A7DF4">
      <w:pPr>
        <w:pStyle w:val="2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179550443"/>
      <w:r w:rsidRPr="00454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Supplementary </w:t>
      </w:r>
      <w:r w:rsidR="00366B2D" w:rsidRPr="00454F50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454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igure </w:t>
      </w:r>
      <w:r w:rsidR="00213489" w:rsidRPr="00454F50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454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End w:id="1"/>
    </w:p>
    <w:p w14:paraId="2356DD00" w14:textId="3E4C982A" w:rsidR="00B7280A" w:rsidRPr="009F734C" w:rsidRDefault="007865C3" w:rsidP="009F734C">
      <w:pPr>
        <w:rPr>
          <w:rFonts w:ascii="Times New Roman" w:hAnsi="Times New Roman" w:cs="Times New Roman" w:hint="eastAsia"/>
          <w:color w:val="000000" w:themeColor="text1"/>
          <w:sz w:val="22"/>
        </w:rPr>
      </w:pPr>
      <w:r w:rsidRPr="00454F50">
        <w:rPr>
          <w:rFonts w:ascii="Times New Roman" w:hAnsi="Times New Roman" w:cs="Times New Roman"/>
          <w:color w:val="000000" w:themeColor="text1"/>
          <w:sz w:val="22"/>
        </w:rPr>
        <w:br w:type="page"/>
      </w:r>
      <w:r w:rsidR="009F734C" w:rsidRPr="00454F5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BC6DFB5" wp14:editId="47811698">
            <wp:extent cx="5264150" cy="4788535"/>
            <wp:effectExtent l="0" t="0" r="0" b="0"/>
            <wp:docPr id="1855275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78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5FDE" w14:textId="274E74B6" w:rsidR="00BC6A57" w:rsidRPr="00454F50" w:rsidRDefault="00B7280A" w:rsidP="00AF6D05">
      <w:pPr>
        <w:spacing w:line="480" w:lineRule="auto"/>
        <w:rPr>
          <w:rFonts w:ascii="Times New Roman" w:hAnsi="Times New Roman" w:cs="Times New Roman"/>
          <w:color w:val="000000" w:themeColor="text1"/>
          <w:sz w:val="22"/>
        </w:rPr>
      </w:pPr>
      <w:r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Supplementary Figure </w:t>
      </w:r>
      <w:r w:rsidR="009F734C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2</w:t>
      </w:r>
      <w:r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>.</w:t>
      </w:r>
      <w:r w:rsidR="00213489"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="00394F1F"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IL1RN+ Macrophages Drive Fibroblasts Senescence via TNF-α Signaling. </w:t>
      </w:r>
      <w:r w:rsidRPr="00454F50">
        <w:rPr>
          <w:rFonts w:ascii="Times New Roman" w:hAnsi="Times New Roman" w:cs="Times New Roman"/>
          <w:color w:val="000000" w:themeColor="text1"/>
          <w:sz w:val="22"/>
        </w:rPr>
        <w:t>(A)</w:t>
      </w:r>
      <w:r w:rsidR="00FD0DBF" w:rsidRPr="00454F50">
        <w:rPr>
          <w:rFonts w:ascii="Times New Roman" w:hAnsi="Times New Roman" w:cs="Times New Roman"/>
          <w:color w:val="000000" w:themeColor="text1"/>
          <w:sz w:val="22"/>
        </w:rPr>
        <w:t xml:space="preserve"> Heatmap of </w:t>
      </w:r>
      <w:proofErr w:type="spellStart"/>
      <w:r w:rsidR="00FD0DBF" w:rsidRPr="00454F50">
        <w:rPr>
          <w:rFonts w:ascii="Times New Roman" w:hAnsi="Times New Roman" w:cs="Times New Roman"/>
          <w:color w:val="000000" w:themeColor="text1"/>
          <w:sz w:val="22"/>
        </w:rPr>
        <w:t>NicheNet</w:t>
      </w:r>
      <w:proofErr w:type="spellEnd"/>
      <w:r w:rsidR="00FD0DBF" w:rsidRPr="00454F50">
        <w:rPr>
          <w:rFonts w:ascii="Times New Roman" w:hAnsi="Times New Roman" w:cs="Times New Roman"/>
          <w:color w:val="000000" w:themeColor="text1"/>
          <w:sz w:val="22"/>
        </w:rPr>
        <w:t xml:space="preserve">-predicted ligand-to-receptor interaction potential for myeloid ligands targeting fibroblasts. </w:t>
      </w:r>
      <w:r w:rsidRPr="00454F50">
        <w:rPr>
          <w:rFonts w:ascii="Times New Roman" w:hAnsi="Times New Roman" w:cs="Times New Roman"/>
          <w:color w:val="000000" w:themeColor="text1"/>
          <w:sz w:val="22"/>
        </w:rPr>
        <w:t>(B</w:t>
      </w:r>
      <w:r w:rsidR="00FD0DBF" w:rsidRPr="00454F50">
        <w:rPr>
          <w:rFonts w:ascii="Times New Roman" w:hAnsi="Times New Roman" w:cs="Times New Roman"/>
          <w:color w:val="000000" w:themeColor="text1"/>
          <w:sz w:val="22"/>
        </w:rPr>
        <w:t>-C</w:t>
      </w:r>
      <w:r w:rsidRPr="00454F50">
        <w:rPr>
          <w:rFonts w:ascii="Times New Roman" w:hAnsi="Times New Roman" w:cs="Times New Roman"/>
          <w:color w:val="000000" w:themeColor="text1"/>
          <w:sz w:val="22"/>
        </w:rPr>
        <w:t>)</w:t>
      </w:r>
      <w:r w:rsidR="00FD0DBF" w:rsidRPr="00454F50">
        <w:rPr>
          <w:rFonts w:ascii="Times New Roman" w:hAnsi="Times New Roman" w:cs="Times New Roman"/>
          <w:color w:val="000000" w:themeColor="text1"/>
          <w:sz w:val="22"/>
        </w:rPr>
        <w:t xml:space="preserve"> GO and KEGG enrichment analyses of </w:t>
      </w:r>
      <w:proofErr w:type="spellStart"/>
      <w:r w:rsidR="00FD0DBF" w:rsidRPr="00454F50">
        <w:rPr>
          <w:rFonts w:ascii="Times New Roman" w:hAnsi="Times New Roman" w:cs="Times New Roman"/>
          <w:color w:val="000000" w:themeColor="text1"/>
          <w:sz w:val="22"/>
        </w:rPr>
        <w:t>NicheNet</w:t>
      </w:r>
      <w:proofErr w:type="spellEnd"/>
      <w:r w:rsidR="00FD0DBF" w:rsidRPr="00454F50">
        <w:rPr>
          <w:rFonts w:ascii="Times New Roman" w:hAnsi="Times New Roman" w:cs="Times New Roman"/>
          <w:color w:val="000000" w:themeColor="text1"/>
          <w:sz w:val="22"/>
        </w:rPr>
        <w:t>-predicted target genes.</w:t>
      </w:r>
      <w:r w:rsidRPr="00454F50">
        <w:rPr>
          <w:rFonts w:ascii="Times New Roman" w:hAnsi="Times New Roman" w:cs="Times New Roman"/>
          <w:color w:val="000000" w:themeColor="text1"/>
          <w:sz w:val="22"/>
        </w:rPr>
        <w:t xml:space="preserve"> </w:t>
      </w:r>
    </w:p>
    <w:p w14:paraId="1BD36A3C" w14:textId="4073CCFF" w:rsidR="001B100F" w:rsidRPr="00454F50" w:rsidRDefault="001B100F" w:rsidP="001B100F">
      <w:pPr>
        <w:pStyle w:val="2"/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F5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Supplementary Figure </w:t>
      </w:r>
      <w:r w:rsidR="009F734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3</w:t>
      </w:r>
      <w:r w:rsidRPr="00454F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21001932" w14:textId="2BA34457" w:rsidR="001B100F" w:rsidRPr="00454F50" w:rsidRDefault="00050002" w:rsidP="00AF6D05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1A10F40" wp14:editId="60923701">
            <wp:extent cx="5264150" cy="4914900"/>
            <wp:effectExtent l="0" t="0" r="0" b="0"/>
            <wp:docPr id="155246590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6F37B" w14:textId="56EFCB6B" w:rsidR="00646B60" w:rsidRPr="00454F50" w:rsidRDefault="00646B60" w:rsidP="00C81E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Supplementary Figure </w:t>
      </w:r>
      <w:r w:rsidR="00D30A62">
        <w:rPr>
          <w:rFonts w:ascii="Times New Roman" w:hAnsi="Times New Roman" w:cs="Times New Roman" w:hint="eastAsia"/>
          <w:b/>
          <w:bCs/>
          <w:color w:val="000000" w:themeColor="text1"/>
          <w:sz w:val="22"/>
        </w:rPr>
        <w:t>3</w:t>
      </w:r>
      <w:r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. </w:t>
      </w:r>
      <w:r w:rsidR="00D30A62" w:rsidRPr="00831801">
        <w:rPr>
          <w:rFonts w:ascii="Times New Roman" w:hAnsi="Times New Roman" w:cs="Times New Roman"/>
          <w:b/>
          <w:bCs/>
        </w:rPr>
        <w:t xml:space="preserve">SERPINE1 drives </w:t>
      </w:r>
      <w:proofErr w:type="spellStart"/>
      <w:r w:rsidR="00D30A62" w:rsidRPr="00831801">
        <w:rPr>
          <w:rFonts w:ascii="Times New Roman" w:hAnsi="Times New Roman" w:cs="Times New Roman"/>
          <w:b/>
          <w:bCs/>
        </w:rPr>
        <w:t>cGAS</w:t>
      </w:r>
      <w:proofErr w:type="spellEnd"/>
      <w:r w:rsidR="00D30A62" w:rsidRPr="00831801">
        <w:rPr>
          <w:rFonts w:ascii="Times New Roman" w:hAnsi="Times New Roman" w:cs="Times New Roman"/>
          <w:b/>
          <w:bCs/>
        </w:rPr>
        <w:t>-STING-mediated cellular senescence and pro-inflammatory signaling in Crohn's disease</w:t>
      </w:r>
      <w:r w:rsidR="00D30A62">
        <w:rPr>
          <w:rFonts w:ascii="Times New Roman" w:hAnsi="Times New Roman" w:cs="Times New Roman" w:hint="eastAsia"/>
          <w:b/>
          <w:bCs/>
        </w:rPr>
        <w:t>.</w:t>
      </w:r>
      <w:r w:rsidRPr="00454F50">
        <w:rPr>
          <w:rFonts w:ascii="Times New Roman" w:hAnsi="Times New Roman" w:cs="Times New Roman"/>
          <w:b/>
          <w:bCs/>
          <w:color w:val="000000" w:themeColor="text1"/>
          <w:sz w:val="22"/>
        </w:rPr>
        <w:t xml:space="preserve"> </w:t>
      </w:r>
      <w:r w:rsidRPr="00454F50">
        <w:rPr>
          <w:rFonts w:ascii="Times New Roman" w:hAnsi="Times New Roman" w:cs="Times New Roman"/>
          <w:color w:val="000000" w:themeColor="text1"/>
          <w:sz w:val="22"/>
        </w:rPr>
        <w:t>(A)</w:t>
      </w:r>
      <w:r w:rsidR="00C81EE6" w:rsidRPr="00C81EE6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proofErr w:type="spellStart"/>
      <w:r w:rsidR="00C81EE6" w:rsidRPr="00D30A62">
        <w:rPr>
          <w:rFonts w:ascii="Times New Roman" w:hAnsi="Times New Roman" w:cs="Times New Roman"/>
          <w:color w:val="000000" w:themeColor="text1"/>
          <w:sz w:val="22"/>
        </w:rPr>
        <w:t>CIBERSORTx</w:t>
      </w:r>
      <w:proofErr w:type="spellEnd"/>
      <w:r w:rsidR="00C81EE6" w:rsidRPr="00D30A62">
        <w:rPr>
          <w:rFonts w:ascii="Times New Roman" w:hAnsi="Times New Roman" w:cs="Times New Roman"/>
          <w:color w:val="000000" w:themeColor="text1"/>
          <w:sz w:val="22"/>
        </w:rPr>
        <w:t xml:space="preserve"> analysis of GSE16879 showing SERPINE1⁺ fibroblast proportions in ulcerative colitis patients stratified by infliximab response status (p = 7.8 × 10⁻⁴, effect size = 0.6).</w:t>
      </w:r>
      <w:r w:rsidR="00D30A62" w:rsidRPr="00D30A62">
        <w:rPr>
          <w:rFonts w:hint="eastAsia"/>
        </w:rPr>
        <w:t xml:space="preserve"> </w:t>
      </w:r>
      <w:r w:rsidRPr="00454F50">
        <w:rPr>
          <w:rFonts w:ascii="Times New Roman" w:hAnsi="Times New Roman" w:cs="Times New Roman"/>
          <w:color w:val="000000" w:themeColor="text1"/>
          <w:sz w:val="22"/>
        </w:rPr>
        <w:t>(B)</w:t>
      </w:r>
      <w:r w:rsidR="00C81EE6" w:rsidRPr="00C81EE6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C81EE6" w:rsidRPr="00D30A62">
        <w:rPr>
          <w:rFonts w:ascii="Times New Roman" w:hAnsi="Times New Roman" w:cs="Times New Roman" w:hint="eastAsia"/>
          <w:color w:val="000000" w:themeColor="text1"/>
          <w:sz w:val="22"/>
        </w:rPr>
        <w:t>Knockdown of SERPINE1 in CCD-18co cells confirmed by Western blot</w:t>
      </w:r>
      <w:r w:rsidR="00050002">
        <w:rPr>
          <w:rFonts w:ascii="Times New Roman" w:hAnsi="Times New Roman" w:cs="Times New Roman" w:hint="eastAsia"/>
          <w:color w:val="000000" w:themeColor="text1"/>
          <w:sz w:val="22"/>
        </w:rPr>
        <w:t xml:space="preserve">. </w:t>
      </w:r>
      <w:proofErr w:type="gramStart"/>
      <w:r w:rsidR="00050002">
        <w:rPr>
          <w:rFonts w:ascii="Times New Roman" w:hAnsi="Times New Roman" w:cs="Times New Roman" w:hint="eastAsia"/>
          <w:color w:val="000000" w:themeColor="text1"/>
          <w:sz w:val="22"/>
        </w:rPr>
        <w:t xml:space="preserve">(C) </w:t>
      </w:r>
      <w:r w:rsidR="00050002" w:rsidRPr="00050002">
        <w:rPr>
          <w:rFonts w:ascii="Times New Roman" w:hAnsi="Times New Roman" w:cs="Times New Roman"/>
          <w:color w:val="000000" w:themeColor="text1"/>
          <w:sz w:val="22"/>
        </w:rPr>
        <w:t>)</w:t>
      </w:r>
      <w:proofErr w:type="gramEnd"/>
      <w:r w:rsidR="00050002" w:rsidRPr="00050002">
        <w:rPr>
          <w:rFonts w:ascii="Times New Roman" w:hAnsi="Times New Roman" w:cs="Times New Roman"/>
          <w:color w:val="000000" w:themeColor="text1"/>
          <w:sz w:val="22"/>
        </w:rPr>
        <w:t xml:space="preserve"> TNF-α concentration-dependently induces SERPINE1 upregulation.</w:t>
      </w:r>
      <w:r w:rsidR="00050002" w:rsidRPr="00050002">
        <w:rPr>
          <w:rFonts w:ascii="Times New Roman" w:hAnsi="Times New Roman" w:cs="Times New Roman" w:hint="eastAsia"/>
          <w:color w:val="000000" w:themeColor="text1"/>
          <w:sz w:val="22"/>
        </w:rPr>
        <w:t xml:space="preserve"> </w:t>
      </w:r>
      <w:r w:rsidR="00D30A62">
        <w:rPr>
          <w:rFonts w:ascii="Times New Roman" w:hAnsi="Times New Roman" w:cs="Times New Roman" w:hint="eastAsia"/>
          <w:color w:val="000000" w:themeColor="text1"/>
          <w:sz w:val="22"/>
        </w:rPr>
        <w:t>(</w:t>
      </w:r>
      <w:r w:rsidR="00050002">
        <w:rPr>
          <w:rFonts w:ascii="Times New Roman" w:hAnsi="Times New Roman" w:cs="Times New Roman" w:hint="eastAsia"/>
          <w:color w:val="000000" w:themeColor="text1"/>
          <w:sz w:val="22"/>
        </w:rPr>
        <w:t>D</w:t>
      </w:r>
      <w:r w:rsidR="00D30A62">
        <w:rPr>
          <w:rFonts w:ascii="Times New Roman" w:hAnsi="Times New Roman" w:cs="Times New Roman" w:hint="eastAsia"/>
          <w:color w:val="000000" w:themeColor="text1"/>
          <w:sz w:val="22"/>
        </w:rPr>
        <w:t>)</w:t>
      </w:r>
      <w:r w:rsidR="00D30A62" w:rsidRPr="00D30A62">
        <w:rPr>
          <w:rFonts w:ascii="Times New Roman" w:hAnsi="Times New Roman" w:cs="Times New Roman"/>
          <w:color w:val="000000" w:themeColor="text1"/>
          <w:sz w:val="22"/>
        </w:rPr>
        <w:t xml:space="preserve"> </w:t>
      </w:r>
      <w:r w:rsidR="00D30A62" w:rsidRPr="00454F50">
        <w:rPr>
          <w:rFonts w:ascii="Times New Roman" w:hAnsi="Times New Roman" w:cs="Times New Roman"/>
          <w:color w:val="000000" w:themeColor="text1"/>
          <w:sz w:val="22"/>
        </w:rPr>
        <w:t xml:space="preserve">qPCR confirmation of M1 polarization: CD86, </w:t>
      </w:r>
      <w:proofErr w:type="spellStart"/>
      <w:r w:rsidR="00D30A62" w:rsidRPr="00454F50">
        <w:rPr>
          <w:rFonts w:ascii="Times New Roman" w:hAnsi="Times New Roman" w:cs="Times New Roman"/>
          <w:color w:val="000000" w:themeColor="text1"/>
          <w:sz w:val="22"/>
        </w:rPr>
        <w:t>iNOS</w:t>
      </w:r>
      <w:proofErr w:type="spellEnd"/>
      <w:r w:rsidR="00D30A62" w:rsidRPr="00454F50">
        <w:rPr>
          <w:rFonts w:ascii="Times New Roman" w:hAnsi="Times New Roman" w:cs="Times New Roman"/>
          <w:color w:val="000000" w:themeColor="text1"/>
          <w:sz w:val="22"/>
        </w:rPr>
        <w:t>, TNF-α and IL-1β are sharply up-regulated in FIB-primed macrophages after LPS stimulation (***P &lt; 0.001)</w:t>
      </w:r>
      <w:r w:rsidR="00D30A62">
        <w:rPr>
          <w:rFonts w:ascii="Times New Roman" w:hAnsi="Times New Roman" w:cs="Times New Roman" w:hint="eastAsia"/>
          <w:color w:val="000000" w:themeColor="text1"/>
          <w:sz w:val="22"/>
        </w:rPr>
        <w:t>.</w:t>
      </w:r>
      <w:r w:rsidR="00C81EE6" w:rsidRPr="00D30A62">
        <w:rPr>
          <w:rFonts w:ascii="Times New Roman" w:hAnsi="Times New Roman" w:cs="Times New Roman"/>
          <w:color w:val="000000" w:themeColor="text1"/>
          <w:sz w:val="22"/>
        </w:rPr>
        <w:t xml:space="preserve"> (</w:t>
      </w:r>
      <w:r w:rsidR="00050002">
        <w:rPr>
          <w:rFonts w:ascii="Times New Roman" w:hAnsi="Times New Roman" w:cs="Times New Roman" w:hint="eastAsia"/>
          <w:color w:val="000000" w:themeColor="text1"/>
          <w:sz w:val="22"/>
        </w:rPr>
        <w:t>E</w:t>
      </w:r>
      <w:r w:rsidR="00C81EE6" w:rsidRPr="00D30A62">
        <w:rPr>
          <w:rFonts w:ascii="Times New Roman" w:hAnsi="Times New Roman" w:cs="Times New Roman"/>
          <w:color w:val="000000" w:themeColor="text1"/>
          <w:sz w:val="22"/>
        </w:rPr>
        <w:t>)</w:t>
      </w:r>
      <w:r w:rsidR="00C81EE6" w:rsidRPr="00C81EE6">
        <w:t xml:space="preserve"> </w:t>
      </w:r>
      <w:r w:rsidR="00C81EE6" w:rsidRPr="00C81EE6">
        <w:rPr>
          <w:rFonts w:ascii="Times New Roman" w:hAnsi="Times New Roman" w:cs="Times New Roman"/>
          <w:color w:val="000000" w:themeColor="text1"/>
          <w:sz w:val="22"/>
        </w:rPr>
        <w:t>SERPINE1 knockdown suppresses M1 macrophage-fibroblast co-culture-induced inflammatory SASP expression.</w:t>
      </w:r>
    </w:p>
    <w:sectPr w:rsidR="00646B60" w:rsidRPr="00454F50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2B020" w14:textId="77777777" w:rsidR="00AE14BD" w:rsidRDefault="00AE14BD" w:rsidP="00345C77">
      <w:pPr>
        <w:rPr>
          <w:rFonts w:hint="eastAsia"/>
        </w:rPr>
      </w:pPr>
      <w:r>
        <w:separator/>
      </w:r>
    </w:p>
  </w:endnote>
  <w:endnote w:type="continuationSeparator" w:id="0">
    <w:p w14:paraId="3B50A9C9" w14:textId="77777777" w:rsidR="00AE14BD" w:rsidRDefault="00AE14BD" w:rsidP="00345C7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41012336"/>
      <w:docPartObj>
        <w:docPartGallery w:val="Page Numbers (Bottom of Page)"/>
        <w:docPartUnique/>
      </w:docPartObj>
    </w:sdtPr>
    <w:sdtContent>
      <w:p w14:paraId="148C5B1C" w14:textId="1BF39016" w:rsidR="00345C77" w:rsidRDefault="00345C77">
        <w:pPr>
          <w:pStyle w:val="a7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5E3A2FF8" w14:textId="77777777" w:rsidR="00345C77" w:rsidRDefault="00345C77">
    <w:pPr>
      <w:pStyle w:val="a7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842327" w14:textId="77777777" w:rsidR="00AE14BD" w:rsidRDefault="00AE14BD" w:rsidP="00345C77">
      <w:pPr>
        <w:rPr>
          <w:rFonts w:hint="eastAsia"/>
        </w:rPr>
      </w:pPr>
      <w:r>
        <w:separator/>
      </w:r>
    </w:p>
  </w:footnote>
  <w:footnote w:type="continuationSeparator" w:id="0">
    <w:p w14:paraId="656188D4" w14:textId="77777777" w:rsidR="00AE14BD" w:rsidRDefault="00AE14BD" w:rsidP="00345C7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54F00"/>
    <w:multiLevelType w:val="multilevel"/>
    <w:tmpl w:val="F4749B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489201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A 11th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rwes2ef6dfx0jex59tvwxfi5faaspwdr9z5&quot;&gt;GTSE1&lt;record-ids&gt;&lt;item&gt;235&lt;/item&gt;&lt;/record-ids&gt;&lt;/item&gt;&lt;/Libraries&gt;"/>
  </w:docVars>
  <w:rsids>
    <w:rsidRoot w:val="006E2F25"/>
    <w:rsid w:val="0003288F"/>
    <w:rsid w:val="00050002"/>
    <w:rsid w:val="00064E79"/>
    <w:rsid w:val="000729BC"/>
    <w:rsid w:val="00090484"/>
    <w:rsid w:val="000B783F"/>
    <w:rsid w:val="000C5095"/>
    <w:rsid w:val="000E4A49"/>
    <w:rsid w:val="00117A62"/>
    <w:rsid w:val="00124EF1"/>
    <w:rsid w:val="00143AA4"/>
    <w:rsid w:val="00152B86"/>
    <w:rsid w:val="00174A22"/>
    <w:rsid w:val="001772D8"/>
    <w:rsid w:val="001A2A9D"/>
    <w:rsid w:val="001B100F"/>
    <w:rsid w:val="001C2898"/>
    <w:rsid w:val="00200C9F"/>
    <w:rsid w:val="002130DE"/>
    <w:rsid w:val="00213489"/>
    <w:rsid w:val="00215692"/>
    <w:rsid w:val="002169E4"/>
    <w:rsid w:val="00224F84"/>
    <w:rsid w:val="0026042E"/>
    <w:rsid w:val="002979AE"/>
    <w:rsid w:val="002C63A0"/>
    <w:rsid w:val="002D22D9"/>
    <w:rsid w:val="002E7EED"/>
    <w:rsid w:val="00307074"/>
    <w:rsid w:val="00337566"/>
    <w:rsid w:val="00345C77"/>
    <w:rsid w:val="003655CD"/>
    <w:rsid w:val="00366B2D"/>
    <w:rsid w:val="00375E3E"/>
    <w:rsid w:val="00394864"/>
    <w:rsid w:val="00394F1F"/>
    <w:rsid w:val="003A2389"/>
    <w:rsid w:val="003A7DF4"/>
    <w:rsid w:val="003E6FE5"/>
    <w:rsid w:val="003F0827"/>
    <w:rsid w:val="004203AB"/>
    <w:rsid w:val="004213E0"/>
    <w:rsid w:val="00434771"/>
    <w:rsid w:val="004411B9"/>
    <w:rsid w:val="0044445B"/>
    <w:rsid w:val="00454F50"/>
    <w:rsid w:val="0047660A"/>
    <w:rsid w:val="004A14C7"/>
    <w:rsid w:val="004A29AD"/>
    <w:rsid w:val="004A3C6E"/>
    <w:rsid w:val="004A50AB"/>
    <w:rsid w:val="004C4152"/>
    <w:rsid w:val="004C74FB"/>
    <w:rsid w:val="004D6F9A"/>
    <w:rsid w:val="004F29D0"/>
    <w:rsid w:val="00501551"/>
    <w:rsid w:val="005020D2"/>
    <w:rsid w:val="00550798"/>
    <w:rsid w:val="00554564"/>
    <w:rsid w:val="00580D33"/>
    <w:rsid w:val="005A09B6"/>
    <w:rsid w:val="005B56F5"/>
    <w:rsid w:val="005D1753"/>
    <w:rsid w:val="005E520B"/>
    <w:rsid w:val="00601388"/>
    <w:rsid w:val="00602912"/>
    <w:rsid w:val="0062111A"/>
    <w:rsid w:val="00646B60"/>
    <w:rsid w:val="00651483"/>
    <w:rsid w:val="00654AB4"/>
    <w:rsid w:val="00657221"/>
    <w:rsid w:val="00667E45"/>
    <w:rsid w:val="00672FBF"/>
    <w:rsid w:val="00675F4E"/>
    <w:rsid w:val="00690E65"/>
    <w:rsid w:val="006A6B2D"/>
    <w:rsid w:val="006D41F8"/>
    <w:rsid w:val="006D4939"/>
    <w:rsid w:val="006E0CB4"/>
    <w:rsid w:val="006E2F25"/>
    <w:rsid w:val="006E460B"/>
    <w:rsid w:val="0070296F"/>
    <w:rsid w:val="00712642"/>
    <w:rsid w:val="0072410B"/>
    <w:rsid w:val="007354AB"/>
    <w:rsid w:val="00741F3A"/>
    <w:rsid w:val="007578C4"/>
    <w:rsid w:val="00763A04"/>
    <w:rsid w:val="00773BC0"/>
    <w:rsid w:val="00774E80"/>
    <w:rsid w:val="007865C3"/>
    <w:rsid w:val="007875AC"/>
    <w:rsid w:val="007A613E"/>
    <w:rsid w:val="007A7BFD"/>
    <w:rsid w:val="007C0184"/>
    <w:rsid w:val="007D18A1"/>
    <w:rsid w:val="007F3876"/>
    <w:rsid w:val="00815D5A"/>
    <w:rsid w:val="00823E30"/>
    <w:rsid w:val="008319D7"/>
    <w:rsid w:val="00852FA8"/>
    <w:rsid w:val="00870CFF"/>
    <w:rsid w:val="0088077D"/>
    <w:rsid w:val="008D2484"/>
    <w:rsid w:val="008D408D"/>
    <w:rsid w:val="0092606E"/>
    <w:rsid w:val="009423B4"/>
    <w:rsid w:val="00957241"/>
    <w:rsid w:val="009621F5"/>
    <w:rsid w:val="009C2D2D"/>
    <w:rsid w:val="009D119F"/>
    <w:rsid w:val="009F734C"/>
    <w:rsid w:val="00A04A3D"/>
    <w:rsid w:val="00A1340B"/>
    <w:rsid w:val="00A254D9"/>
    <w:rsid w:val="00A47A56"/>
    <w:rsid w:val="00A55A92"/>
    <w:rsid w:val="00AA0E9A"/>
    <w:rsid w:val="00AA4521"/>
    <w:rsid w:val="00AA5FFF"/>
    <w:rsid w:val="00AB47E1"/>
    <w:rsid w:val="00AC4284"/>
    <w:rsid w:val="00AE14BD"/>
    <w:rsid w:val="00AF6D05"/>
    <w:rsid w:val="00B10DD3"/>
    <w:rsid w:val="00B34BCC"/>
    <w:rsid w:val="00B355A0"/>
    <w:rsid w:val="00B52029"/>
    <w:rsid w:val="00B701EB"/>
    <w:rsid w:val="00B71A08"/>
    <w:rsid w:val="00B7280A"/>
    <w:rsid w:val="00B752FC"/>
    <w:rsid w:val="00B84BFA"/>
    <w:rsid w:val="00B9324E"/>
    <w:rsid w:val="00BB64C6"/>
    <w:rsid w:val="00BC0D6D"/>
    <w:rsid w:val="00BC6589"/>
    <w:rsid w:val="00BC6A57"/>
    <w:rsid w:val="00BD1740"/>
    <w:rsid w:val="00BE0FF6"/>
    <w:rsid w:val="00C15416"/>
    <w:rsid w:val="00C16486"/>
    <w:rsid w:val="00C81EE6"/>
    <w:rsid w:val="00C81FE8"/>
    <w:rsid w:val="00C8557A"/>
    <w:rsid w:val="00CB274C"/>
    <w:rsid w:val="00CB6813"/>
    <w:rsid w:val="00CF2435"/>
    <w:rsid w:val="00D3084F"/>
    <w:rsid w:val="00D30A62"/>
    <w:rsid w:val="00D46B3E"/>
    <w:rsid w:val="00D63C67"/>
    <w:rsid w:val="00D758A4"/>
    <w:rsid w:val="00D77265"/>
    <w:rsid w:val="00D9511D"/>
    <w:rsid w:val="00DB09C1"/>
    <w:rsid w:val="00DB38B9"/>
    <w:rsid w:val="00DC1EE8"/>
    <w:rsid w:val="00E061FE"/>
    <w:rsid w:val="00E13122"/>
    <w:rsid w:val="00E4380D"/>
    <w:rsid w:val="00E6736A"/>
    <w:rsid w:val="00E7610B"/>
    <w:rsid w:val="00E82FA8"/>
    <w:rsid w:val="00E906D2"/>
    <w:rsid w:val="00EB5C55"/>
    <w:rsid w:val="00F22B48"/>
    <w:rsid w:val="00F244F4"/>
    <w:rsid w:val="00F26FE9"/>
    <w:rsid w:val="00F44E86"/>
    <w:rsid w:val="00F55F3A"/>
    <w:rsid w:val="00F6751E"/>
    <w:rsid w:val="00F95064"/>
    <w:rsid w:val="00FB13F3"/>
    <w:rsid w:val="00FC708C"/>
    <w:rsid w:val="00FD0DBF"/>
    <w:rsid w:val="00FE5336"/>
    <w:rsid w:val="00FF56D6"/>
    <w:rsid w:val="00FF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C049B"/>
  <w14:defaultImageDpi w14:val="330"/>
  <w15:chartTrackingRefBased/>
  <w15:docId w15:val="{AADBBA54-660E-465E-A6E8-C3B2EE892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B6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74A2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74A2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708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74A2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174A22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3">
    <w:name w:val="Table Grid"/>
    <w:basedOn w:val="a1"/>
    <w:uiPriority w:val="39"/>
    <w:qFormat/>
    <w:rsid w:val="00174A22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1772D8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1772D8"/>
  </w:style>
  <w:style w:type="paragraph" w:styleId="TOC2">
    <w:name w:val="toc 2"/>
    <w:basedOn w:val="a"/>
    <w:next w:val="a"/>
    <w:autoRedefine/>
    <w:uiPriority w:val="39"/>
    <w:unhideWhenUsed/>
    <w:rsid w:val="001772D8"/>
    <w:pPr>
      <w:ind w:leftChars="200" w:left="420"/>
    </w:pPr>
  </w:style>
  <w:style w:type="character" w:styleId="a4">
    <w:name w:val="Hyperlink"/>
    <w:basedOn w:val="a0"/>
    <w:uiPriority w:val="99"/>
    <w:unhideWhenUsed/>
    <w:rsid w:val="001772D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345C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345C7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345C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345C77"/>
    <w:rPr>
      <w:sz w:val="18"/>
      <w:szCs w:val="18"/>
    </w:rPr>
  </w:style>
  <w:style w:type="paragraph" w:styleId="a9">
    <w:name w:val="Revision"/>
    <w:hidden/>
    <w:uiPriority w:val="99"/>
    <w:semiHidden/>
    <w:rsid w:val="005E520B"/>
  </w:style>
  <w:style w:type="character" w:customStyle="1" w:styleId="30">
    <w:name w:val="标题 3 字符"/>
    <w:basedOn w:val="a0"/>
    <w:link w:val="3"/>
    <w:uiPriority w:val="9"/>
    <w:qFormat/>
    <w:rsid w:val="00FC708C"/>
    <w:rPr>
      <w:b/>
      <w:bCs/>
      <w:sz w:val="32"/>
      <w:szCs w:val="32"/>
    </w:rPr>
  </w:style>
  <w:style w:type="paragraph" w:customStyle="1" w:styleId="EndNoteBibliographyTitle">
    <w:name w:val="EndNote Bibliography Title"/>
    <w:basedOn w:val="a"/>
    <w:link w:val="EndNoteBibliographyTitle0"/>
    <w:rsid w:val="009C2D2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9C2D2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9C2D2D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9C2D2D"/>
    <w:rPr>
      <w:rFonts w:ascii="等线" w:eastAsia="等线" w:hAnsi="等线"/>
      <w:noProof/>
      <w:sz w:val="20"/>
    </w:rPr>
  </w:style>
  <w:style w:type="paragraph" w:styleId="aa">
    <w:name w:val="List Paragraph"/>
    <w:basedOn w:val="a"/>
    <w:uiPriority w:val="34"/>
    <w:qFormat/>
    <w:rsid w:val="00FD0DBF"/>
    <w:pPr>
      <w:spacing w:after="160" w:line="278" w:lineRule="auto"/>
      <w:ind w:left="720"/>
      <w:contextualSpacing/>
      <w:jc w:val="left"/>
    </w:pPr>
    <w:rPr>
      <w:sz w:val="22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B6D41-0B98-4D1A-952E-7F8D9C550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琳珠</dc:creator>
  <cp:keywords/>
  <dc:description/>
  <cp:lastModifiedBy>普乐 刘</cp:lastModifiedBy>
  <cp:revision>12</cp:revision>
  <dcterms:created xsi:type="dcterms:W3CDTF">2025-09-21T14:53:00Z</dcterms:created>
  <dcterms:modified xsi:type="dcterms:W3CDTF">2026-05-21T13:58:00Z</dcterms:modified>
</cp:coreProperties>
</file>